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2026-08-10</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3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9" w:name="class-person"/>
    <w:p>
      <w:pPr>
        <w:pStyle w:val="berschrift2"/>
      </w:pPr>
      <w:r>
        <w:t xml:space="preserve">Class: Person</w:t>
      </w:r>
      <w:r>
        <w:t xml:space="preserve"> </w:t>
      </w:r>
      <w:bookmarkStart w:id="29" w:name="Person"/>
      <w:bookmarkEnd w:id="29"/>
    </w:p>
    <w:p>
      <w:pPr>
        <w:pStyle w:val="FirstParagraph"/>
      </w:pPr>
      <w:r>
        <w:rPr>
          <w:i/>
          <w:iCs/>
        </w:rPr>
        <w:t xml:space="preserve">A person with identifiers, names, addresses, citizenships, and occupations.</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amples"/>
    <w:p>
      <w:pPr>
        <w:pStyle w:val="berschrift3"/>
      </w:pPr>
      <w:r>
        <w:t xml:space="preserve">Examples</w:t>
      </w:r>
    </w:p>
    <w:bookmarkStart w:id="32"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5"/>
    <w:bookmarkStart w:id="36"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6"/>
    <w:bookmarkStart w:id="37"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7"/>
    <w:bookmarkEnd w:id="38"/>
    <w:bookmarkEnd w:id="39"/>
    <w:bookmarkStart w:id="43" w:name="class-name"/>
    <w:p>
      <w:pPr>
        <w:pStyle w:val="berschrift2"/>
      </w:pPr>
      <w:r>
        <w:t xml:space="preserve">Class: Name</w:t>
      </w:r>
      <w:r>
        <w:t xml:space="preserve"> </w:t>
      </w:r>
      <w:bookmarkStart w:id="40" w:name="Name"/>
      <w:bookmarkEnd w:id="40"/>
    </w:p>
    <w:p>
      <w:pPr>
        <w:pStyle w:val="FirstParagraph"/>
      </w:pPr>
      <w:r>
        <w:rPr>
          <w:i/>
          <w:iCs/>
        </w:rPr>
        <w:t xml:space="preserve">A name with a type (e.g., call name, official name), a value, and a temporal validity.</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5">
        <w:r>
          <w:rPr>
            <w:rStyle w:val="Hyperlink"/>
          </w:rPr>
          <w:t xml:space="preserve">act:NameTypeEnum</w:t>
        </w:r>
      </w:hyperlink>
    </w:p>
    <w:bookmarkStart w:id="57"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languageproficiency"/>
    <w:p>
      <w:pPr>
        <w:pStyle w:val="berschrift2"/>
      </w:pPr>
      <w:r>
        <w:t xml:space="preserve">Class: LanguageProficiency</w:t>
      </w:r>
      <w:r>
        <w:t xml:space="preserve"> </w:t>
      </w:r>
      <w:bookmarkStart w:id="59" w:name="LanguageProficiency"/>
      <w:bookmarkEnd w:id="59"/>
    </w:p>
    <w:p>
      <w:pPr>
        <w:pStyle w:val="FirstParagraph"/>
      </w:pPr>
      <w:r>
        <w:rPr>
          <w:i/>
          <w:iCs/>
        </w:rPr>
        <w:t xml:space="preserve">Language proficiency of a person indicating the language and whether it is the preferred language or native language.</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bookmarkEnd w:id="60"/>
    <w:bookmarkStart w:id="61"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citizenship"/>
    <w:p>
      <w:pPr>
        <w:pStyle w:val="berschrift2"/>
      </w:pPr>
      <w:r>
        <w:t xml:space="preserve">Class: Citizenship</w:t>
      </w:r>
      <w:r>
        <w:t xml:space="preserve"> </w:t>
      </w:r>
      <w:bookmarkStart w:id="63" w:name="Citizenship"/>
      <w:bookmarkEnd w:id="63"/>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gender"/>
    <w:p>
      <w:pPr>
        <w:pStyle w:val="berschrift2"/>
      </w:pPr>
      <w:r>
        <w:t xml:space="preserve">Class: Gender</w:t>
      </w:r>
      <w:r>
        <w:t xml:space="preserve"> </w:t>
      </w:r>
      <w:bookmarkStart w:id="67" w:name="Gender"/>
      <w:bookmarkEnd w:id="67"/>
    </w:p>
    <w:p>
      <w:pPr>
        <w:pStyle w:val="FirstParagraph"/>
      </w:pPr>
      <w:r>
        <w:rPr>
          <w:i/>
          <w:iCs/>
        </w:rPr>
        <w:t xml:space="preserve">Gender of a person indicating a gender code and temporal validity.</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72">
        <w:r>
          <w:rPr>
            <w:rStyle w:val="Hyperlink"/>
          </w:rPr>
          <w:t xml:space="preserve">act:GenderCodeEnum</w:t>
        </w:r>
      </w:hyperlink>
    </w:p>
    <w:bookmarkStart w:id="75"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75"/>
    <w:bookmarkEnd w:id="76"/>
    <w:bookmarkStart w:id="84" w:name="class-occupation"/>
    <w:p>
      <w:pPr>
        <w:pStyle w:val="berschrift2"/>
      </w:pPr>
      <w:r>
        <w:t xml:space="preserve">Class: Occupation</w:t>
      </w:r>
      <w:r>
        <w:t xml:space="preserve"> </w:t>
      </w:r>
      <w:bookmarkStart w:id="77" w:name="Occupation"/>
      <w:bookmarkEnd w:id="77"/>
    </w:p>
    <w:p>
      <w:pPr>
        <w:pStyle w:val="FirstParagraph"/>
      </w:pPr>
      <w:r>
        <w:rPr>
          <w:i/>
          <w:iCs/>
        </w:rPr>
        <w:t xml:space="preserve">Occupation or profession of a person indicating a label, an ISCO-19 code, whether the activity is paid, and temporal validity.</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of the organization or enterprise, with the language it is published in. Bilingual registers state the name in both languages; one entry is recorded per language.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8"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amples-1"/>
    <w:p>
      <w:pPr>
        <w:pStyle w:val="berschrift3"/>
      </w:pPr>
      <w:r>
        <w:t xml:space="preserve">Examples</w:t>
      </w:r>
    </w:p>
    <w:bookmarkStart w:id="81"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training"/>
    <w:p>
      <w:pPr>
        <w:pStyle w:val="berschrift2"/>
      </w:pPr>
      <w:r>
        <w:t xml:space="preserve">Class: Training</w:t>
      </w:r>
      <w:r>
        <w:t xml:space="preserve"> </w:t>
      </w:r>
      <w:bookmarkStart w:id="85" w:name="Training"/>
      <w:bookmarkEnd w:id="85"/>
    </w:p>
    <w:p>
      <w:pPr>
        <w:pStyle w:val="FirstParagraph"/>
      </w:pPr>
      <w:r>
        <w:rPr>
          <w:i/>
          <w:iCs/>
        </w:rPr>
        <w:t xml:space="preserve">Training or education of a person indicating a type (e.g., school diploma, university degree, military service), a label, an ISCO-19 code, and temporal validity.</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86"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91">
        <w:r>
          <w:rPr>
            <w:rStyle w:val="Hyperlink"/>
          </w:rPr>
          <w:t xml:space="preserve">act:TrainingTypeEnum</w:t>
        </w:r>
      </w:hyperlink>
    </w:p>
    <w:bookmarkStart w:id="13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34"/>
    <w:p>
      <w:r>
        <w:br w:type="page"/>
      </w:r>
    </w:p>
    <w:bookmarkEnd w:id="135"/>
    <w:bookmarkEnd w:id="136"/>
    <w:bookmarkStart w:id="183"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51" w:name="class-group"/>
    <w:p>
      <w:pPr>
        <w:pStyle w:val="berschrift2"/>
      </w:pPr>
      <w:r>
        <w:t xml:space="preserve">Class: Group</w:t>
      </w:r>
      <w:r>
        <w:t xml:space="preserve"> </w:t>
      </w:r>
      <w:bookmarkStart w:id="137" w:name="Group"/>
      <w:bookmarkEnd w:id="137"/>
    </w:p>
    <w:p>
      <w:pPr>
        <w:pStyle w:val="FirstParagraph"/>
      </w:pPr>
      <w:r>
        <w:rPr>
          <w:i/>
          <w:iCs/>
        </w:rPr>
        <w:t xml:space="preserve">A political group, organization, or body (e.g., party, committee, parliament, department).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8"/>
    <w:bookmarkStart w:id="139"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amples-2"/>
    <w:p>
      <w:pPr>
        <w:pStyle w:val="berschrift3"/>
      </w:pPr>
      <w:r>
        <w:t xml:space="preserve">Examples</w:t>
      </w:r>
    </w:p>
    <w:bookmarkStart w:id="140"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0"/>
    <w:bookmarkStart w:id="141"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1"/>
    <w:bookmarkStart w:id="142"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2"/>
    <w:bookmarkStart w:id="143"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3"/>
    <w:bookmarkStart w:id="144"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4"/>
    <w:bookmarkStart w:id="145"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5"/>
    <w:bookmarkStart w:id="146"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6"/>
    <w:bookmarkStart w:id="147"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7"/>
    <w:bookmarkStart w:id="148"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9"/>
    <w:bookmarkEnd w:id="150"/>
    <w:bookmarkEnd w:id="151"/>
    <w:bookmarkStart w:id="155" w:name="class-grouptype"/>
    <w:p>
      <w:pPr>
        <w:pStyle w:val="berschrift2"/>
      </w:pPr>
      <w:r>
        <w:t xml:space="preserve">Class: GroupType</w:t>
      </w:r>
      <w:r>
        <w:t xml:space="preserve"> </w:t>
      </w:r>
      <w:bookmarkStart w:id="152" w:name="GroupType"/>
      <w:bookmarkEnd w:id="152"/>
    </w:p>
    <w:p>
      <w:pPr>
        <w:pStyle w:val="FirstParagraph"/>
      </w:pPr>
      <w:r>
        <w:rPr>
          <w:i/>
          <w:iCs/>
        </w:rPr>
        <w:t xml:space="preserve">Type of group (e.g., party, committee, parliament, department).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53"/>
    <w:bookmarkStart w:id="154"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96" w:name="class-membership"/>
    <w:p>
      <w:pPr>
        <w:pStyle w:val="berschrift2"/>
      </w:pPr>
      <w:r>
        <w:t xml:space="preserve">Class: Membership</w:t>
      </w:r>
      <w:r>
        <w:t xml:space="preserve"> </w:t>
      </w:r>
      <w:bookmarkStart w:id="184" w:name="Membership"/>
      <w:bookmarkEnd w:id="184"/>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85"/>
    <w:bookmarkStart w:id="186"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amples-3"/>
    <w:p>
      <w:pPr>
        <w:pStyle w:val="berschrift3"/>
      </w:pPr>
      <w:r>
        <w:t xml:space="preserve">Examples</w:t>
      </w:r>
    </w:p>
    <w:bookmarkStart w:id="187"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7"/>
    <w:bookmarkStart w:id="188"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8"/>
    <w:bookmarkStart w:id="189"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9"/>
    <w:bookmarkStart w:id="190"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0"/>
    <w:bookmarkStart w:id="191"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1"/>
    <w:bookmarkStart w:id="192"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class-roletype"/>
    <w:p>
      <w:pPr>
        <w:pStyle w:val="berschrift2"/>
      </w:pPr>
      <w:r>
        <w:t xml:space="preserve">Class: RoleType</w:t>
      </w:r>
      <w:r>
        <w:t xml:space="preserve"> </w:t>
      </w:r>
      <w:bookmarkStart w:id="197" w:name="RoleType"/>
      <w:bookmarkEnd w:id="197"/>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9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Roles a person can have within a membership.</w:t>
      </w:r>
    </w:p>
    <w:p>
      <w:pPr>
        <w:pStyle w:val="Textkrper"/>
      </w:pPr>
      <w:r>
        <w:t xml:space="preserve">URI:</w:t>
      </w:r>
      <w:r>
        <w:t xml:space="preserve"> </w:t>
      </w:r>
      <w:hyperlink ns1:id="rId204">
        <w:r>
          <w:rPr>
            <w:rStyle w:val="Hyperlink"/>
          </w:rPr>
          <w:t xml:space="preserve">act:RoleEnum</w:t>
        </w:r>
      </w:hyperlink>
    </w:p>
    <w:bookmarkStart w:id="205"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205"/>
    <w:bookmarkEnd w:id="206"/>
    <w:bookmarkStart w:id="213" w:name="class-electoraldistrict"/>
    <w:p>
      <w:pPr>
        <w:pStyle w:val="berschrift2"/>
      </w:pPr>
      <w:r>
        <w:t xml:space="preserve">Class: ElectoralDistrict</w:t>
      </w:r>
      <w:r>
        <w:t xml:space="preserve"> </w:t>
      </w:r>
      <w:bookmarkStart w:id="207" w:name="ElectoralDistrict"/>
      <w:bookmarkEnd w:id="207"/>
    </w:p>
    <w:p>
      <w:pPr>
        <w:pStyle w:val="FirstParagraph"/>
      </w:pPr>
      <w:r>
        <w:rPr>
          <w:i/>
          <w:iCs/>
        </w:rPr>
        <w:t xml:space="preserve">Electoral district or region associated with a membership. The temporal validity is inherited from the enclosing membership.</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208"/>
    <w:bookmarkStart w:id="209"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amples-4"/>
    <w:p>
      <w:pPr>
        <w:pStyle w:val="berschrift3"/>
      </w:pPr>
      <w:r>
        <w:t xml:space="preserve">Examples</w:t>
      </w:r>
    </w:p>
    <w:bookmarkStart w:id="210"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215">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Bilingual registers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Fribourg, Valais and Bern publish the organisation name, the body and the function in two languages — in openparldata.ch’s collection this affects some 5,000 of nearly 30,000 entries. The three are therefore held multilingually, like the designation of a group: one entry per published language, with nothing translated.</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30" w:name="class-interestlink"/>
    <w:p>
      <w:pPr>
        <w:pStyle w:val="berschrift2"/>
      </w:pPr>
      <w:r>
        <w:t xml:space="preserve">Class: InterestLink</w:t>
      </w:r>
      <w:r>
        <w:t xml:space="preserve"> </w:t>
      </w:r>
      <w:bookmarkStart w:id="216" w:name="InterestLink"/>
      <w:bookmarkEnd w:id="216"/>
    </w:p>
    <w:p>
      <w:pPr>
        <w:pStyle w:val="FirstParagraph"/>
      </w:pPr>
      <w:r>
        <w:rPr>
          <w:i/>
          <w:iCs/>
        </w:rPr>
        <w:t xml:space="preserve">An interest link (conflict of interest, political financing) of a person to an organization outside the actor schema.</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of the organization or enterprise, with the language it is published in. Bilingual registers state the name in both languages; one entry is recorded per language.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Committee or board within the organization (e.g., Verwaltungsrat, Stiftungsrat, Vorstand, Aufsichtsrat, Beirat, Geschäftsleitung), with the language it is published in; one entry is recorded per language.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Function or role in the organization (e.g., Präsident/in, Vizepräsident/in, Mitglied, Delegierter, Geschäftsführer/in, Berater/in), with the language it is published in; one entry is recorded per language.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217"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amples-5"/>
    <w:p>
      <w:pPr>
        <w:pStyle w:val="berschrift3"/>
      </w:pPr>
      <w:r>
        <w:t xml:space="preserve">Examples</w:t>
      </w:r>
    </w:p>
    <w:bookmarkStart w:id="220"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0"/>
    <w:bookmarkStart w:id="221"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1"/>
    <w:bookmarkStart w:id="22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2"/>
    <w:bookmarkStart w:id="223"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3"/>
    <w:bookmarkStart w:id="224"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4"/>
    <w:bookmarkStart w:id="225"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5"/>
    <w:bookmarkStart w:id="226"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6"/>
    <w:bookmarkStart w:id="227"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7"/>
    <w:bookmarkStart w:id="228"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of interest links (conflicts of interest, political financing).</w:t>
      </w:r>
    </w:p>
    <w:p>
      <w:pPr>
        <w:pStyle w:val="Textkrper"/>
      </w:pPr>
      <w:r>
        <w:t xml:space="preserve">URI:</w:t>
      </w:r>
      <w:r>
        <w:t xml:space="preserve"> </w:t>
      </w:r>
      <w:hyperlink ns1:id="rId232">
        <w:r>
          <w:rPr>
            <w:rStyle w:val="Hyperlink"/>
          </w:rPr>
          <w:t xml:space="preserve">act:InterestTypeEnum</w:t>
        </w:r>
      </w:hyperlink>
    </w:p>
    <w:bookmarkStart w:id="23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shared-elements"/>
    <w:p>
      <w:pPr>
        <w:pStyle w:val="berschrift1"/>
      </w:pPr>
      <w:r>
        <w:t xml:space="preserve">Shared Elements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84"/>
    <w:bookmarkStart w:id="289" w:name="class-personreference"/>
    <w:p>
      <w:pPr>
        <w:pStyle w:val="berschrift2"/>
      </w:pPr>
      <w:r>
        <w:t xml:space="preserve">Class: PersonReference</w:t>
      </w:r>
      <w:r>
        <w:t xml:space="preserve"> </w:t>
      </w:r>
      <w:bookmarkStart w:id="285" w:name="PersonReference"/>
      <w:bookmarkEnd w:id="285"/>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8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groupreference"/>
    <w:p>
      <w:pPr>
        <w:pStyle w:val="berschrift2"/>
      </w:pPr>
      <w:r>
        <w:t xml:space="preserve">Class: GroupReference</w:t>
      </w:r>
      <w:r>
        <w:t xml:space="preserve"> </w:t>
      </w:r>
      <w:bookmarkStart w:id="290" w:name="GroupReference"/>
      <w:bookmarkEnd w:id="290"/>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291"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95">
        <w:r>
          <w:rPr>
            <w:rStyle w:val="Hyperlink"/>
          </w:rPr>
          <w:t xml:space="preserve">search API of geo.admin.ch</w:t>
        </w:r>
      </w:hyperlink>
      <w:r>
        <w:t xml:space="preserve"> </w:t>
      </w:r>
      <w:r>
        <w:t xml:space="preserve">or match against the</w:t>
      </w:r>
      <w:r>
        <w:t xml:space="preserve"> </w:t>
      </w:r>
      <w:hyperlink ns1:id="rId296">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97"/>
    <w:bookmarkStart w:id="305" w:name="class-address"/>
    <w:p>
      <w:pPr>
        <w:pStyle w:val="berschrift2"/>
      </w:pPr>
      <w:r>
        <w:t xml:space="preserve">Class: Address</w:t>
      </w:r>
      <w:r>
        <w:t xml:space="preserve"> </w:t>
      </w:r>
      <w:bookmarkStart w:id="298" w:name="Address"/>
      <w:bookmarkEnd w:id="298"/>
    </w:p>
    <w:p>
      <w:pPr>
        <w:pStyle w:val="FirstParagraph"/>
      </w:pPr>
      <w:r>
        <w:rPr>
          <w:i/>
          <w:iCs/>
        </w:rPr>
        <w:t xml:space="preserve">An address with a type (e.g., private address, business address) and a value.</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bookmarkStart w:id="299"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amples-6"/>
    <w:p>
      <w:pPr>
        <w:pStyle w:val="berschrift3"/>
      </w:pPr>
      <w:r>
        <w:t xml:space="preserve">Examples</w:t>
      </w:r>
    </w:p>
    <w:bookmarkStart w:id="302"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2"/>
    <w:bookmarkStart w:id="303"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of addresses.</w:t>
      </w:r>
    </w:p>
    <w:p>
      <w:pPr>
        <w:pStyle w:val="Textkrper"/>
      </w:pPr>
      <w:r>
        <w:t xml:space="preserve">URI:</w:t>
      </w:r>
      <w:r>
        <w:t xml:space="preserve"> </w:t>
      </w:r>
      <w:hyperlink ns1:id="rId307">
        <w:r>
          <w:rPr>
            <w:rStyle w:val="Hyperlink"/>
          </w:rPr>
          <w:t xml:space="preserve">act:AddressTypeEnum</w:t>
        </w:r>
      </w:hyperlink>
    </w:p>
    <w:bookmarkStart w:id="308"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308"/>
    <w:bookmarkEnd w:id="309"/>
    <w:bookmarkStart w:id="313" w:name="class-contact"/>
    <w:p>
      <w:pPr>
        <w:pStyle w:val="berschrift2"/>
      </w:pPr>
      <w:r>
        <w:t xml:space="preserve">Class: Contact</w:t>
      </w:r>
      <w:r>
        <w:t xml:space="preserve"> </w:t>
      </w:r>
      <w:bookmarkStart w:id="310" w:name="Contact"/>
      <w:bookmarkEnd w:id="310"/>
    </w:p>
    <w:p>
      <w:pPr>
        <w:pStyle w:val="FirstParagraph"/>
      </w:pPr>
      <w:r>
        <w:rPr>
          <w:i/>
          <w:iCs/>
        </w:rPr>
        <w:t xml:space="preserve">Contact information of a person indicating a type (e.g., email, LinkedIn) and a value.</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bookmarkEnd w:id="311"/>
    <w:bookmarkStart w:id="312"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314"/>
    <w:bookmarkStart w:id="318" w:name="class-hasidentification"/>
    <w:p>
      <w:pPr>
        <w:pStyle w:val="berschrift2"/>
      </w:pPr>
      <w:r>
        <w:t xml:space="preserve">Class: HasIdentification</w:t>
      </w:r>
      <w:r>
        <w:t xml:space="preserve"> </w:t>
      </w:r>
      <w:bookmarkStart w:id="315" w:name="HasIdentification"/>
      <w:bookmarkEnd w:id="315"/>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16"/>
    <w:bookmarkStart w:id="317" w:name="mixin-usage"/>
    <w:p>
      <w:pPr>
        <w:pStyle w:val="berschrift3"/>
      </w:pPr>
      <w:r>
        <w:t xml:space="preserve">Mixin Usage</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hasreferenceidentification"/>
    <w:p>
      <w:pPr>
        <w:pStyle w:val="berschrift2"/>
      </w:pPr>
      <w:r>
        <w:t xml:space="preserve">Class: HasReferenceIdentification</w:t>
      </w:r>
      <w:r>
        <w:t xml:space="preserve"> </w:t>
      </w:r>
      <w:bookmarkStart w:id="319" w:name="HasReferenceIdentification"/>
      <w:bookmarkEnd w:id="319"/>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320"/>
    <w:bookmarkStart w:id="321" w:name="mixin-usage-1"/>
    <w:p>
      <w:pPr>
        <w:pStyle w:val="berschrift3"/>
      </w:pPr>
      <w:r>
        <w:t xml:space="preserve">Mixin Usage</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hastemporalvalidity"/>
    <w:p>
      <w:pPr>
        <w:pStyle w:val="berschrift2"/>
      </w:pPr>
      <w:r>
        <w:t xml:space="preserve">Class: HasTemporalValidity</w:t>
      </w:r>
      <w:r>
        <w:t xml:space="preserve"> </w:t>
      </w:r>
      <w:bookmarkStart w:id="323" w:name="HasTemporalValidity"/>
      <w:bookmarkEnd w:id="323"/>
    </w:p>
    <w:p>
      <w:pPr>
        <w:pStyle w:val="FirstParagraph"/>
      </w:pPr>
      <w:r>
        <w:rPr>
          <w:i/>
          <w:iCs/>
        </w:rPr>
        <w:t xml:space="preserve">A mixin class that provides slots for modeling a temporal validity of information (not of an event).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bookmarkEnd w:id="324"/>
    <w:bookmarkStart w:id="325" w:name="mixin-usage-2"/>
    <w:p>
      <w:pPr>
        <w:pStyle w:val="berschrift3"/>
      </w:pPr>
      <w:r>
        <w:t xml:space="preserve">Mixin Usage</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hascreationmodificationdates"/>
    <w:p>
      <w:pPr>
        <w:pStyle w:val="berschrift2"/>
      </w:pPr>
      <w:r>
        <w:t xml:space="preserve">Class: HasCreationModificationDates</w:t>
      </w:r>
      <w:r>
        <w:t xml:space="preserve"> </w:t>
      </w:r>
      <w:bookmarkStart w:id="327" w:name="HasCreationModificationDates"/>
      <w:bookmarkEnd w:id="327"/>
    </w:p>
    <w:p>
      <w:pPr>
        <w:pStyle w:val="FirstParagraph"/>
      </w:pPr>
      <w:r>
        <w:rPr>
          <w:i/>
          <w:iCs/>
        </w:rPr>
        <w:t xml:space="preserve">A mixin class that provides slots for modeling creation and modification dates of an entity.</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328"/>
    <w:bookmarkStart w:id="329" w:name="mixin-usage-3"/>
    <w:p>
      <w:pPr>
        <w:pStyle w:val="berschrift3"/>
      </w:pPr>
      <w:r>
        <w:t xml:space="preserve">Mixin Usage</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32" w:name="safety-considerations"/>
    <w:p>
      <w:pPr>
        <w:pStyle w:val="berschrift1"/>
      </w:pPr>
      <w:r>
        <w:t xml:space="preserve">Safety considerations</w:t>
      </w:r>
    </w:p>
    <w:p>
      <w:pPr>
        <w:pStyle w:val="FirstParagraph"/>
      </w:pPr>
      <w:r>
        <w:t xml:space="preserve">This standard describes data about natural persons. Such data are personal data within the meaning of Art. 5 lit. a of the Swiss Federal Act on Data Protection (FADP, in force since 1 September 2023). Information on party affiliation, mandates and interest links allows political opinions to be inferred and therefore constitutes sensitive personal data (Art. 5 lit. c FADP).</w:t>
      </w:r>
    </w:p>
    <w:p>
      <w:pPr>
        <w:pStyle w:val="Textkrper"/>
      </w:pPr>
      <w:r>
        <w:t xml:space="preserve">The standard does not create a legal basis for publication. It structures data whose publication follows from the principle of transparency, from disclosure obligations of parliaments, or from consent. Whether a data element may be published is decided by the publishing body, not by the schema.</w:t>
      </w:r>
    </w:p>
    <w:p>
      <w:pPr>
        <w:pStyle w:val="Textkrper"/>
      </w:pPr>
      <w:r>
        <w:t xml:space="preserve">The following points require particular attention:</w:t>
      </w:r>
    </w:p>
    <w:p>
      <w:pPr>
        <w:pStyle w:val="Compact"/>
        <w:numPr>
          <w:ilvl w:val="0"/>
          <w:numId w:val="1018"/>
        </w:numPr>
      </w:pPr>
      <w:r>
        <w:rPr>
          <w:b/>
          <w:bCs/>
        </w:rPr>
        <w:t xml:space="preserve">Legal basis per element.</w:t>
      </w:r>
      <w:r>
        <w:t xml:space="preserve"> </w:t>
      </w:r>
      <w:r>
        <w:t xml:space="preserve">Not every element of the schema is publishable in every context. The publishing body verifies, for each populated element, that a legal basis or consent exists.</w:t>
      </w:r>
    </w:p>
    <w:p>
      <w:pPr>
        <w:pStyle w:val="Compact"/>
        <w:numPr>
          <w:ilvl w:val="0"/>
          <w:numId w:val="1018"/>
        </w:numPr>
      </w:pPr>
      <w:r>
        <w:rPr>
          <w:b/>
          <w:bCs/>
        </w:rPr>
        <w:t xml:space="preserve">Data minimisation.</w:t>
      </w:r>
      <w:r>
        <w:t xml:space="preserve"> </w:t>
      </w:r>
      <w:r>
        <w:t xml:space="preserve">Optional elements — in particular date of birth, address and contact details — are populated only where they are necessary for the purpose of the publication.</w:t>
      </w:r>
    </w:p>
    <w:p>
      <w:pPr>
        <w:pStyle w:val="Compact"/>
        <w:numPr>
          <w:ilvl w:val="0"/>
          <w:numId w:val="1018"/>
        </w:numPr>
      </w:pPr>
      <w:r>
        <w:rPr>
          <w:b/>
          <w:bCs/>
        </w:rPr>
        <w:t xml:space="preserve">Private residential addresses.</w:t>
      </w:r>
      <w:r>
        <w:t xml:space="preserve"> </w:t>
      </w:r>
      <w:r>
        <w:t xml:space="preserve">Their publication is the subject of parliamentary initiatives (see Annex A). Where an address is required, a business or correspondence address is to be used where possible.</w:t>
      </w:r>
    </w:p>
    <w:p>
      <w:pPr>
        <w:pStyle w:val="Compact"/>
        <w:numPr>
          <w:ilvl w:val="0"/>
          <w:numId w:val="1018"/>
        </w:numPr>
      </w:pPr>
      <w:r>
        <w:rPr>
          <w:b/>
          <w:bCs/>
        </w:rPr>
        <w:t xml:space="preserve">Aggregation.</w:t>
      </w:r>
      <w:r>
        <w:t xml:space="preserve"> </w:t>
      </w:r>
      <w:r>
        <w:t xml:space="preserve">Combining several sources can produce personality profiles that go beyond the purpose of any individual publication. Whoever combines data according to this standard re-examines the purpose limitation.</w:t>
      </w:r>
    </w:p>
    <w:p>
      <w:pPr>
        <w:pStyle w:val="Compact"/>
        <w:numPr>
          <w:ilvl w:val="0"/>
          <w:numId w:val="1018"/>
        </w:numPr>
      </w:pPr>
      <w:r>
        <w:rPr>
          <w:b/>
          <w:bCs/>
        </w:rPr>
        <w:t xml:space="preserve">Historical values in references.</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retain local attributes as of the time of linking. They must not be interpreted as the current state.</w:t>
      </w:r>
    </w:p>
    <w:p>
      <w:pPr>
        <w:pStyle w:val="Compact"/>
        <w:numPr>
          <w:ilvl w:val="0"/>
          <w:numId w:val="1018"/>
        </w:numPr>
      </w:pPr>
      <w:r>
        <w:rPr>
          <w:b/>
          <w:bCs/>
        </w:rPr>
        <w:t xml:space="preserve">Transmission and access.</w:t>
      </w:r>
      <w:r>
        <w:t xml:space="preserve"> </w:t>
      </w:r>
      <w:r>
        <w:t xml:space="preserve">Where data according to this standard are exchanged before they are public, the usual precautions apply: encrypted transport, access restricted to authorised persons, protection against modification during transmission.</w:t>
      </w:r>
    </w:p>
    <w:p>
      <w:pPr>
        <w:pStyle w:val="Compact"/>
        <w:numPr>
          <w:ilvl w:val="0"/>
          <w:numId w:val="1018"/>
        </w:numPr>
      </w:pPr>
      <w:r>
        <w:rPr>
          <w:b/>
          <w:bCs/>
        </w:rPr>
        <w:t xml:space="preserve">Processing data from third parties.</w:t>
      </w:r>
      <w:r>
        <w:t xml:space="preserve"> </w:t>
      </w:r>
      <w:r>
        <w:t xml:space="preserve">Before further processing an incoming delivery, schema validation is performed. Content transmitted in free-text fields is escaped before display.</w:t>
      </w:r>
    </w:p>
    <w:p>
      <w:r>
        <w:br w:type="page"/>
      </w:r>
    </w:p>
    <w:bookmarkEnd w:id="332"/>
    <w:bookmarkStart w:id="333" w:name="Xf6b36430cae8a20854059102669aeb9c31aab5e"/>
    <w:p>
      <w:pPr>
        <w:pStyle w:val="berschrift1"/>
      </w:pPr>
      <w:r>
        <w:t xml:space="preserve">Disclaimer/Reference to third party rights</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p>
      <w:r>
        <w:br w:type="page"/>
      </w:r>
    </w:p>
    <w:bookmarkEnd w:id="333"/>
    <w:bookmarkStart w:id="334" w:name="copyrights"/>
    <w:p>
      <w:pPr>
        <w:pStyle w:val="berschrift1"/>
      </w:pPr>
      <w:r>
        <w:t xml:space="preserve">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p>
    <w:p>
      <w:pPr>
        <w:pStyle w:val="Textkrper"/>
      </w:pPr>
      <w:r>
        <w:t xml:space="preserve">These provisions shall apply to the standards prepared by eCH only, however, not to any standards or products of third parties which include reference to eCH-standards. The standards include the relevant references to third party rights.</w:t>
      </w:r>
    </w:p>
    <w:p>
      <w:r>
        <w:br w:type="page"/>
      </w:r>
    </w:p>
    <w:bookmarkEnd w:id="334"/>
    <w:bookmarkStart w:id="349" w:name="annex-a-references-bibliography"/>
    <w:p>
      <w:pPr>
        <w:pStyle w:val="berschrift1"/>
      </w:pPr>
      <w:r>
        <w:t xml:space="preserve">Annex A – References &amp; Bibliography</w:t>
      </w:r>
    </w:p>
    <w:p>
      <w:pPr>
        <w:pStyle w:val="FirstParagraph"/>
      </w:pPr>
      <w:r>
        <w:t xml:space="preserve">Where a version is stated, it is the one this standard was developed against.</w:t>
      </w:r>
    </w:p>
    <w:bookmarkStart w:id="340"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w:t>
            </w:r>
            <w:r>
              <w:t xml:space="preserve"> </w:t>
            </w:r>
            <w:hyperlink ns1:id="rId335">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r>
              <w:t xml:space="preserve"> </w:t>
            </w:r>
            <w:hyperlink ns1:id="rId336">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w:t>
            </w:r>
            <w:r>
              <w:t xml:space="preserve"> </w:t>
            </w:r>
            <w:hyperlink ns1:id="rId337">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338">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339">
              <w:r>
                <w:rPr>
                  <w:rStyle w:val="Hyperlink"/>
                </w:rPr>
                <w:t xml:space="preserve">https://www.ech.ch/de/ech/ech-0297</w:t>
              </w:r>
            </w:hyperlink>
          </w:p>
        </w:tc>
      </w:tr>
    </w:tbl>
    <w:bookmarkEnd w:id="340"/>
    <w:bookmarkStart w:id="342"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41">
              <w:r>
                <w:rPr>
                  <w:rStyle w:val="Hyperlink"/>
                </w:rPr>
                <w:t xml:space="preserve">https://www.ech.ch/de/ech/ech-0108/6.0.0</w:t>
              </w:r>
            </w:hyperlink>
          </w:p>
        </w:tc>
      </w:tr>
    </w:tbl>
    <w:bookmarkEnd w:id="342"/>
    <w:bookmarkStart w:id="348"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43">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44">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5">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46">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47">
              <w:r>
                <w:rPr>
                  <w:rStyle w:val="Hyperlink"/>
                </w:rPr>
                <w:t xml:space="preserve">https://linkml.io</w:t>
              </w:r>
            </w:hyperlink>
          </w:p>
        </w:tc>
      </w:tr>
    </w:tbl>
    <w:p>
      <w:r>
        <w:br w:type="page"/>
      </w:r>
    </w:p>
    <w:bookmarkEnd w:id="348"/>
    <w:bookmarkEnd w:id="349"/>
    <w:bookmarkStart w:id="350" w:name="annex-b-cooperation-verification"/>
    <w:p>
      <w:pPr>
        <w:pStyle w:val="berschrift1"/>
      </w:pPr>
      <w:r>
        <w:t xml:space="preserve">Annex B – Cooperation &amp; Verification</w:t>
      </w:r>
    </w:p>
    <w:p>
      <w:pPr>
        <w:pStyle w:val="FirstParagraph"/>
      </w:pPr>
      <w:r>
        <w:t xml:space="preserve">Specialist group</w:t>
      </w:r>
      <w:r>
        <w:t xml:space="preserve"> </w:t>
      </w:r>
      <w:r>
        <w:t xml:space="preserve">“Political Affairs”</w:t>
      </w:r>
      <w:r>
        <w:t xml:space="preserve">, subgroup</w:t>
      </w:r>
      <w:r>
        <w:t xml:space="preserve"> </w:t>
      </w:r>
      <w:r>
        <w:t xml:space="preserve">“Political Actors”</w:t>
      </w:r>
      <w:r>
        <w:t xml:space="preserve">:</w:t>
      </w:r>
    </w:p>
    <w:tbl>
      <w:tblPr>
        <w:tblStyle w:val="Table"/>
        <w:tblW w:type="auto" w:w="0"/>
        <w:tblLook w:firstRow="0" w:lastRow="0" w:firstColumn="0" w:lastColumn="0" w:noHBand="0" w:noVBand="0" w:val="0000"/>
      </w:tblPr>
      <w:tblGrid>
        <w:gridCol w:w="3960"/>
        <w:gridCol w:w="3960"/>
      </w:tblGrid>
      <w:tr>
        <w:tc>
          <w:tcPr/>
          <w:p>
            <w:pPr>
              <w:pStyle w:val="Compact"/>
            </w:pPr>
            <w:r>
              <w:t xml:space="preserve">Julie Silberstein</w:t>
            </w:r>
          </w:p>
        </w:tc>
        <w:tc>
          <w:tcPr/>
          <w:p>
            <w:pPr>
              <w:pStyle w:val="Compact"/>
            </w:pPr>
            <w:r>
              <w:t xml:space="preserve">Federal Statistical Office</w:t>
            </w:r>
          </w:p>
        </w:tc>
      </w:tr>
      <w:tr>
        <w:tc>
          <w:tcPr>
            <w:shd w:val="clear" w:color="auto" w:fill="F2F2F2"/>
          </w:tcPr>
          <w:p>
            <w:pPr>
              <w:pStyle w:val="Compact"/>
            </w:pPr>
            <w:r>
              <w:t xml:space="preserve">Laurence Brandenberger</w:t>
            </w:r>
          </w:p>
        </w:tc>
        <w:tc>
          <w:tcPr>
            <w:shd w:val="clear" w:color="auto" w:fill="F2F2F2"/>
          </w:tcPr>
          <w:p>
            <w:pPr>
              <w:pStyle w:val="Compact"/>
            </w:pPr>
            <w:r>
              <w:t xml:space="preserve">University of Zurich, IPZ</w:t>
            </w:r>
          </w:p>
        </w:tc>
      </w:tr>
      <w:tr>
        <w:tc>
          <w:tcPr/>
          <w:p>
            <w:pPr>
              <w:pStyle w:val="Compact"/>
            </w:pPr>
            <w:r>
              <w:t xml:space="preserve">Daniela Koller</w:t>
            </w:r>
          </w:p>
        </w:tc>
        <w:tc>
          <w:tcPr/>
          <w:p>
            <w:pPr>
              <w:pStyle w:val="Compact"/>
            </w:pPr>
            <w:r>
              <w:t xml:space="preserve">Canton of Thurgau</w:t>
            </w:r>
          </w:p>
        </w:tc>
      </w:tr>
      <w:tr>
        <w:tc>
          <w:tcPr>
            <w:shd w:val="clear" w:color="auto" w:fill="F2F2F2"/>
          </w:tcPr>
          <w:p>
            <w:pPr>
              <w:pStyle w:val="Compact"/>
            </w:pPr>
            <w:r>
              <w:t xml:space="preserve">Thomas Roth</w:t>
            </w:r>
          </w:p>
        </w:tc>
        <w:tc>
          <w:tcPr>
            <w:shd w:val="clear" w:color="auto" w:fill="F2F2F2"/>
          </w:tcPr>
          <w:p>
            <w:pPr>
              <w:pStyle w:val="Compact"/>
            </w:pPr>
          </w:p>
        </w:tc>
      </w:tr>
      <w:tr>
        <w:tc>
          <w:tcPr/>
          <w:p>
            <w:pPr>
              <w:pStyle w:val="Compact"/>
            </w:pPr>
            <w:r>
              <w:t xml:space="preserve">Stefan Oderbolz</w:t>
            </w:r>
          </w:p>
        </w:tc>
        <w:tc>
          <w:tcPr/>
          <w:p>
            <w:pPr>
              <w:pStyle w:val="Compact"/>
            </w:pPr>
            <w:r>
              <w:t xml:space="preserve">EBP</w:t>
            </w:r>
          </w:p>
        </w:tc>
      </w:tr>
      <w:tr>
        <w:tc>
          <w:tcPr>
            <w:shd w:val="clear" w:color="auto" w:fill="F2F2F2"/>
          </w:tcPr>
          <w:p>
            <w:pPr>
              <w:pStyle w:val="Compact"/>
            </w:pPr>
            <w:r>
              <w:t xml:space="preserve">Fabian Davolio</w:t>
            </w:r>
          </w:p>
        </w:tc>
        <w:tc>
          <w:tcPr>
            <w:shd w:val="clear" w:color="auto" w:fill="F2F2F2"/>
          </w:tcPr>
          <w:p>
            <w:pPr>
              <w:pStyle w:val="Compact"/>
            </w:pPr>
            <w:r>
              <w:t xml:space="preserve">Parliamentary Services</w:t>
            </w:r>
          </w:p>
        </w:tc>
      </w:tr>
      <w:tr>
        <w:tc>
          <w:tcPr/>
          <w:p>
            <w:pPr>
              <w:pStyle w:val="Compact"/>
            </w:pPr>
            <w:r>
              <w:t xml:space="preserve">Orhan Saeedi</w:t>
            </w:r>
          </w:p>
        </w:tc>
        <w:tc>
          <w:tcPr/>
          <w:p>
            <w:pPr>
              <w:pStyle w:val="Compact"/>
            </w:pPr>
            <w:r>
              <w:t xml:space="preserve">Canton of Basel-Stadt</w:t>
            </w:r>
          </w:p>
        </w:tc>
      </w:tr>
      <w:tr>
        <w:tc>
          <w:tcPr>
            <w:shd w:val="clear" w:color="auto" w:fill="F2F2F2"/>
          </w:tcPr>
          <w:p>
            <w:pPr>
              <w:pStyle w:val="Compact"/>
            </w:pPr>
            <w:r>
              <w:t xml:space="preserve">Christian Gutknecht</w:t>
            </w:r>
          </w:p>
        </w:tc>
        <w:tc>
          <w:tcPr>
            <w:shd w:val="clear" w:color="auto" w:fill="F2F2F2"/>
          </w:tcPr>
          <w:p>
            <w:pPr>
              <w:pStyle w:val="Compact"/>
            </w:pPr>
            <w:r>
              <w:t xml:space="preserve">Glue AG</w:t>
            </w:r>
          </w:p>
        </w:tc>
      </w:tr>
      <w:tr>
        <w:tc>
          <w:tcPr/>
          <w:p>
            <w:pPr>
              <w:pStyle w:val="Compact"/>
            </w:pPr>
            <w:r>
              <w:t xml:space="preserve">Michael Luggen</w:t>
            </w:r>
          </w:p>
        </w:tc>
        <w:tc>
          <w:tcPr/>
          <w:p>
            <w:pPr>
              <w:pStyle w:val="Compact"/>
            </w:pPr>
            <w:r>
              <w:t xml:space="preserve">Federal Chancellery</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Remark</w:t>
            </w:r>
          </w:p>
        </w:tc>
      </w:tr>
      <w:tr>
        <w:tc>
          <w:tcPr>
            <w:shd w:val="clear" w:color="auto" w:fill="F2F2F2"/>
          </w:tcPr>
          <w:p>
            <w:pPr>
              <w:pStyle w:val="Compact"/>
            </w:pPr>
            <w:r>
              <w:t xml:space="preserve">1.0.0</w:t>
            </w:r>
          </w:p>
        </w:tc>
        <w:tc>
          <w:tcPr>
            <w:shd w:val="clear" w:color="auto" w:fill="F2F2F2"/>
          </w:tcPr>
          <w:p>
            <w:pPr>
              <w:pStyle w:val="Compact"/>
            </w:pPr>
            <w:r>
              <w:t xml:space="preserve">2026-08-10</w:t>
            </w:r>
          </w:p>
        </w:tc>
        <w:tc>
          <w:tcPr>
            <w:shd w:val="clear" w:color="auto" w:fill="F2F2F2"/>
          </w:tcPr>
          <w:p>
            <w:pPr>
              <w:pStyle w:val="Compact"/>
            </w:pPr>
            <w:r>
              <w:t xml:space="preserve">Specialist group</w:t>
            </w:r>
            <w:r>
              <w:t xml:space="preserve"> </w:t>
            </w:r>
            <w:r>
              <w:t xml:space="preserve">“Political Affairs”</w:t>
            </w:r>
          </w:p>
        </w:tc>
        <w:tc>
          <w:tcPr>
            <w:shd w:val="clear" w:color="auto" w:fill="F2F2F2"/>
          </w:tcPr>
          <w:p>
            <w:pPr>
              <w:pStyle w:val="Compact"/>
            </w:pPr>
            <w:r>
              <w:t xml:space="preserve">Submitted as proposal</w:t>
            </w:r>
          </w:p>
        </w:tc>
      </w:tr>
    </w:tbl>
    <w:bookmarkEnd w:id="350"/>
    <w:bookmarkStart w:id="351" w:name="annex-c-abbreviations-and-glossary"/>
    <w:p>
      <w:pPr>
        <w:pStyle w:val="berschrift1"/>
      </w:pPr>
      <w:r>
        <w:t xml:space="preserve">Annex C – Abbreviations and Glossary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FADP</w:t>
            </w:r>
          </w:p>
        </w:tc>
        <w:tc>
          <w:tcPr/>
          <w:p>
            <w:pPr>
              <w:pStyle w:val="Compact"/>
            </w:pPr>
            <w:r>
              <w:t xml:space="preserve">Swiss Federal Act on Data Protection, in force since 1 September 2023.</w:t>
            </w:r>
          </w:p>
        </w:tc>
      </w:tr>
      <w:tr>
        <w:tc>
          <w:tcPr>
            <w:shd w:val="clear" w:color="auto" w:fill="F2F2F2"/>
          </w:tcPr>
          <w:p>
            <w:pPr>
              <w:pStyle w:val="Compact"/>
            </w:pPr>
            <w:r>
              <w:t xml:space="preserve">I14Y</w:t>
            </w:r>
          </w:p>
        </w:tc>
        <w:tc>
          <w:tcPr>
            <w:shd w:val="clear" w:color="auto" w:fill="F2F2F2"/>
          </w:tcPr>
          <w:p>
            <w:pPr>
              <w:pStyle w:val="Compact"/>
            </w:pPr>
            <w:r>
              <w:t xml:space="preserve">Interoperability platform of the Federal Statistical Office; source of several code lists.</w:t>
            </w:r>
          </w:p>
        </w:tc>
      </w:tr>
      <w:tr>
        <w:tc>
          <w:tcPr/>
          <w:p>
            <w:pPr>
              <w:pStyle w:val="Compact"/>
            </w:pPr>
            <w:r>
              <w:t xml:space="preserve">IRI</w:t>
            </w:r>
          </w:p>
        </w:tc>
        <w:tc>
          <w:tcPr/>
          <w:p>
            <w:pPr>
              <w:pStyle w:val="Compact"/>
            </w:pPr>
            <w:r>
              <w:t xml:space="preserve">Internationalized Resource Identifier. Extension of the URI to the full Unicode character set.</w:t>
            </w:r>
          </w:p>
        </w:tc>
      </w:tr>
      <w:tr>
        <w:tc>
          <w:tcPr>
            <w:shd w:val="clear" w:color="auto" w:fill="F2F2F2"/>
          </w:tcPr>
          <w:p>
            <w:pPr>
              <w:pStyle w:val="Compact"/>
            </w:pPr>
            <w:r>
              <w:t xml:space="preserve">JSON-LD</w:t>
            </w:r>
          </w:p>
        </w:tc>
        <w:tc>
          <w:tcPr>
            <w:shd w:val="clear" w:color="auto" w:fill="F2F2F2"/>
          </w:tcPr>
          <w:p>
            <w:pPr>
              <w:pStyle w:val="Compact"/>
            </w:pPr>
            <w:r>
              <w:t xml:space="preserve">JSON for Linking Data. Serialisation of linked data in JSON.</w:t>
            </w:r>
          </w:p>
        </w:tc>
      </w:tr>
      <w:tr>
        <w:tc>
          <w:tcPr/>
          <w:p>
            <w:pPr>
              <w:pStyle w:val="Compact"/>
            </w:pPr>
            <w:r>
              <w:t xml:space="preserve">LINDAS</w:t>
            </w:r>
          </w:p>
        </w:tc>
        <w:tc>
          <w:tcPr/>
          <w:p>
            <w:pPr>
              <w:pStyle w:val="Compact"/>
            </w:pPr>
            <w:r>
              <w:t xml:space="preserve">Linked Data Service of the Swiss Federal Administration.</w:t>
            </w:r>
          </w:p>
        </w:tc>
      </w:tr>
      <w:tr>
        <w:tc>
          <w:tcPr>
            <w:shd w:val="clear" w:color="auto" w:fill="F2F2F2"/>
          </w:tcPr>
          <w:p>
            <w:pPr>
              <w:pStyle w:val="Compact"/>
            </w:pPr>
            <w:r>
              <w:t xml:space="preserve">LinkML</w:t>
            </w:r>
          </w:p>
        </w:tc>
        <w:tc>
          <w:tcPr>
            <w:shd w:val="clear" w:color="auto" w:fill="F2F2F2"/>
          </w:tcPr>
          <w:p>
            <w:pPr>
              <w:pStyle w:val="Compact"/>
            </w:pPr>
            <w:r>
              <w:t xml:space="preserve">Linked Data Modeling Language. The modelling language in which this standard is defined.</w:t>
            </w:r>
          </w:p>
        </w:tc>
      </w:tr>
      <w:tr>
        <w:tc>
          <w:tcPr/>
          <w:p>
            <w:pPr>
              <w:pStyle w:val="Compact"/>
            </w:pPr>
            <w:r>
              <w:t xml:space="preserve">NOGA</w:t>
            </w:r>
          </w:p>
        </w:tc>
        <w:tc>
          <w:tcPr/>
          <w:p>
            <w:pPr>
              <w:pStyle w:val="Compact"/>
            </w:pPr>
            <w:r>
              <w:t xml:space="preserve">General Classification of Economic Activities of the Federal Statistical Office.</w:t>
            </w:r>
          </w:p>
        </w:tc>
      </w:tr>
      <w:tr>
        <w:tc>
          <w:tcPr>
            <w:shd w:val="clear" w:color="auto" w:fill="F2F2F2"/>
          </w:tcPr>
          <w:p>
            <w:pPr>
              <w:pStyle w:val="Compact"/>
            </w:pPr>
            <w:r>
              <w:t xml:space="preserve">RDF</w:t>
            </w:r>
          </w:p>
        </w:tc>
        <w:tc>
          <w:tcPr>
            <w:shd w:val="clear" w:color="auto" w:fill="F2F2F2"/>
          </w:tcPr>
          <w:p>
            <w:pPr>
              <w:pStyle w:val="Compact"/>
            </w:pPr>
            <w:r>
              <w:t xml:space="preserve">Resource Description Framework. Data model for linked data; delivered here as Turtle (.ttl).</w:t>
            </w:r>
          </w:p>
        </w:tc>
      </w:tr>
      <w:tr>
        <w:tc>
          <w:tcPr/>
          <w:p>
            <w:pPr>
              <w:pStyle w:val="Compact"/>
            </w:pPr>
            <w:r>
              <w:t xml:space="preserve">UID</w:t>
            </w:r>
          </w:p>
        </w:tc>
        <w:tc>
          <w:tcPr/>
          <w:p>
            <w:pPr>
              <w:pStyle w:val="Compact"/>
            </w:pPr>
            <w:r>
              <w:t xml:space="preserve">Business Identification Number. Unique key of a Swiss enterprise according to the Federal Statistical Office.</w:t>
            </w:r>
          </w:p>
        </w:tc>
      </w:tr>
      <w:tr>
        <w:tc>
          <w:tcPr>
            <w:shd w:val="clear" w:color="auto" w:fill="F2F2F2"/>
          </w:tcPr>
          <w:p>
            <w:pPr>
              <w:pStyle w:val="Compact"/>
            </w:pPr>
            <w:r>
              <w:t xml:space="preserve">URI</w:t>
            </w:r>
          </w:p>
        </w:tc>
        <w:tc>
          <w:tcPr>
            <w:shd w:val="clear" w:color="auto" w:fill="F2F2F2"/>
          </w:tcPr>
          <w:p>
            <w:pPr>
              <w:pStyle w:val="Compact"/>
            </w:pPr>
            <w:r>
              <w:t xml:space="preserve">Uniform Resource Identifier. Unique identifier of a resource.</w:t>
            </w:r>
          </w:p>
        </w:tc>
      </w:tr>
      <w:tr>
        <w:tc>
          <w:tcPr/>
          <w:p>
            <w:pPr>
              <w:pStyle w:val="Compact"/>
            </w:pPr>
            <w:r>
              <w:t xml:space="preserve">XSD</w:t>
            </w:r>
          </w:p>
        </w:tc>
        <w:tc>
          <w:tcPr/>
          <w:p>
            <w:pPr>
              <w:pStyle w:val="Compact"/>
            </w:pPr>
            <w:r>
              <w:t xml:space="preserve">XML Schema Definition. W3C recommendation for defining structures of XML documents.</w:t>
            </w:r>
          </w:p>
        </w:tc>
      </w:tr>
    </w:tbl>
    <w:bookmarkEnd w:id="351"/>
    <w:bookmarkStart w:id="352" w:name="Xa41f8ac50b1484a1ad1046da721cd61e5113639"/>
    <w:p>
      <w:pPr>
        <w:pStyle w:val="berschrift1"/>
      </w:pPr>
      <w:r>
        <w:t xml:space="preserve">Annex D – Changes in comparison to the previous version</w:t>
      </w:r>
    </w:p>
    <w:p>
      <w:pPr>
        <w:pStyle w:val="FirstParagraph"/>
      </w:pPr>
      <w:r>
        <w:t xml:space="preserve">This is the first version.</w:t>
      </w:r>
    </w:p>
    <w:p>
      <w:r>
        <w:br w:type="page"/>
      </w:r>
    </w:p>
    <w:bookmarkEnd w:id="352"/>
    <w:bookmarkStart w:id="353" w:name="annex-e-table-of-figures"/>
    <w:p>
      <w:pPr>
        <w:pStyle w:val="berschrift1"/>
      </w:pPr>
      <w:r>
        <w:t xml:space="preserve">Annex E – Table of Figures</w:t>
      </w:r>
    </w:p>
    <w:p>
      <w:r>
        <w:fldChar w:fldCharType="begin" w:dirty="true"/>
      </w:r>
      <w:r>
        <w:instrText xml:space="preserve"> TOC \h \z \c "Abbildung" </w:instrText>
      </w:r>
      <w:r>
        <w:fldChar w:fldCharType="separate"/>
      </w:r>
      <w:r>
        <w:t>Right-click &gt; "Update field" to generate the table of figures.</w:t>
      </w:r>
      <w:r>
        <w:fldChar w:fldCharType="end"/>
      </w:r>
    </w:p>
    <w:bookmarkEnd w:id="353"/>
    <w:bookmarkStart w:id="354" w:name="annex-f-table-of-tables"/>
    <w:p>
      <w:pPr>
        <w:pStyle w:val="berschrift1"/>
      </w:pPr>
      <w:r>
        <w:t xml:space="preserve">Annex F – Table of Tables</w:t>
      </w:r>
    </w:p>
    <w:p>
      <w:r>
        <w:fldChar w:fldCharType="begin" w:dirty="true"/>
      </w:r>
      <w:r>
        <w:instrText xml:space="preserve"> TOC \h \z \c "Tabelle" </w:instrText>
      </w:r>
      <w:r>
        <w:fldChar w:fldCharType="separate"/>
      </w:r>
      <w:r>
        <w:t>Right-click &gt; "Update field" to generate the table of tables.</w:t>
      </w:r>
      <w:r>
        <w:fldChar w:fldCharType="end"/>
      </w:r>
    </w:p>
    <w:bookmarkEnd w:id="35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4"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7"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6"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41" Target="https://www.ech.ch/de/ech/ech-0108/6.0.0" TargetMode="External" /><Relationship Type="http://schemas.openxmlformats.org/officeDocument/2006/relationships/hyperlink" Id="rId335" Target="https://www.ech.ch/de/ech/ech-0292" TargetMode="External" /><Relationship Type="http://schemas.openxmlformats.org/officeDocument/2006/relationships/hyperlink" Id="rId336" Target="https://www.ech.ch/de/ech/ech-0293" TargetMode="External" /><Relationship Type="http://schemas.openxmlformats.org/officeDocument/2006/relationships/hyperlink" Id="rId337" Target="https://www.ech.ch/de/ech/ech-0295" TargetMode="External" /><Relationship Type="http://schemas.openxmlformats.org/officeDocument/2006/relationships/hyperlink" Id="rId338" Target="https://www.ech.ch/de/ech/ech-0296" TargetMode="External" /><Relationship Type="http://schemas.openxmlformats.org/officeDocument/2006/relationships/hyperlink" Id="rId339" Target="https://www.ech.ch/de/ech/ech-0297" TargetMode="External" /><Relationship Type="http://schemas.openxmlformats.org/officeDocument/2006/relationships/hyperlink" Id="rId343"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5"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4"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7"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6"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41" Target="https://www.ech.ch/de/ech/ech-0108/6.0.0" TargetMode="External" /><Relationship Type="http://schemas.openxmlformats.org/officeDocument/2006/relationships/hyperlink" Id="rId335" Target="https://www.ech.ch/de/ech/ech-0292" TargetMode="External" /><Relationship Type="http://schemas.openxmlformats.org/officeDocument/2006/relationships/hyperlink" Id="rId336" Target="https://www.ech.ch/de/ech/ech-0293" TargetMode="External" /><Relationship Type="http://schemas.openxmlformats.org/officeDocument/2006/relationships/hyperlink" Id="rId337" Target="https://www.ech.ch/de/ech/ech-0295" TargetMode="External" /><Relationship Type="http://schemas.openxmlformats.org/officeDocument/2006/relationships/hyperlink" Id="rId338" Target="https://www.ech.ch/de/ech/ech-0296" TargetMode="External" /><Relationship Type="http://schemas.openxmlformats.org/officeDocument/2006/relationships/hyperlink" Id="rId339" Target="https://www.ech.ch/de/ech/ech-0297" TargetMode="External" /><Relationship Type="http://schemas.openxmlformats.org/officeDocument/2006/relationships/hyperlink" Id="rId343"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en/official-directory-of-building-addresses" TargetMode="External" /><Relationship Type="http://schemas.openxmlformats.org/officeDocument/2006/relationships/hyperlink" Id="rId345"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2026-09-15T22:44:07Z</dcterms:created>
  <dcterms:modified xsi:type="dcterms:W3CDTF">2026-09-15T22:44:07Z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