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5"/>
    <w:bookmarkStart w:id="36"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6"/>
    <w:bookmarkStart w:id="37"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0"/>
    <w:bookmarkStart w:id="141"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1"/>
    <w:bookmarkStart w:id="142"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2"/>
    <w:bookmarkStart w:id="143"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3"/>
    <w:bookmarkStart w:id="144"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4"/>
    <w:bookmarkStart w:id="145"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5"/>
    <w:bookmarkStart w:id="146"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7"/>
    <w:bookmarkStart w:id="148"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7"/>
    <w:bookmarkStart w:id="188"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8"/>
    <w:bookmarkStart w:id="189"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0"/>
    <w:bookmarkStart w:id="221"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1"/>
    <w:bookmarkStart w:id="22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2"/>
    <w:bookmarkStart w:id="223"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3"/>
    <w:bookmarkStart w:id="224"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4"/>
    <w:bookmarkStart w:id="225"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5"/>
    <w:bookmarkStart w:id="226"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7"/>
    <w:bookmarkStart w:id="228"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2"/>
    <w:bookmarkStart w:id="303"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32" w:name="sécurité"/>
    <w:p>
      <w:pPr>
        <w:pStyle w:val="berschrift1"/>
      </w:pPr>
      <w:r>
        <w:t xml:space="preserve">Sécurité</w:t>
      </w:r>
    </w:p>
    <w:p>
      <w:pPr>
        <w:pStyle w:val="FirstParagraph"/>
      </w:pPr>
      <w:r>
        <w:t xml:space="preserve">La présente norme décrit des données concernant des personnes physiques. Il s’agit de données personnelles au sens de l’art. 5 let. a de la loi fédérale sur la protection des données (LPD, en vigueur depuis le 1er septembre 2023). Les indications sur l’appartenance à un parti, sur les mandats et sur les liens d’intérêts permettent de déduire des opinions politiques et constituent donc des données sensibles (art. 5 let. c LPD).</w:t>
      </w:r>
    </w:p>
    <w:p>
      <w:pPr>
        <w:pStyle w:val="Textkrper"/>
      </w:pPr>
      <w:r>
        <w:t xml:space="preserve">La norme ne crée aucune base légale de publication. Elle structure des données dont la publication découle du principe de transparence, d’obligations de publicité des parlements ou d’un consentement. La décision de publier un élément de données appartient à l’organe qui publie, non au schéma.</w:t>
      </w:r>
    </w:p>
    <w:p>
      <w:pPr>
        <w:pStyle w:val="Textkrper"/>
      </w:pPr>
      <w:r>
        <w:t xml:space="preserve">Lors de l’application, il convient en particulier de tenir compte des points suivants :</w:t>
      </w:r>
    </w:p>
    <w:p>
      <w:pPr>
        <w:pStyle w:val="Compact"/>
        <w:numPr>
          <w:ilvl w:val="0"/>
          <w:numId w:val="1018"/>
        </w:numPr>
      </w:pPr>
      <w:r>
        <w:rPr>
          <w:b/>
          <w:bCs/>
        </w:rPr>
        <w:t xml:space="preserve">Base légale pour chaque élément.</w:t>
      </w:r>
      <w:r>
        <w:t xml:space="preserve"> </w:t>
      </w:r>
      <w:r>
        <w:t xml:space="preserve">Tout élément du schéma n’est pas publiable dans tous les contextes. L’organe qui publie vérifie, pour chaque élément renseigné, l’existence d’une base légale ou d’un consentement.</w:t>
      </w:r>
    </w:p>
    <w:p>
      <w:pPr>
        <w:pStyle w:val="Compact"/>
        <w:numPr>
          <w:ilvl w:val="0"/>
          <w:numId w:val="1018"/>
        </w:numPr>
      </w:pPr>
      <w:r>
        <w:rPr>
          <w:b/>
          <w:bCs/>
        </w:rPr>
        <w:t xml:space="preserve">Minimisation des données.</w:t>
      </w:r>
      <w:r>
        <w:t xml:space="preserve"> </w:t>
      </w:r>
      <w:r>
        <w:t xml:space="preserve">Les éléments facultatifs — en particulier la date de naissance, l’adresse et les coordonnées — ne sont renseignés que s’ils sont nécessaires au but de la publication.</w:t>
      </w:r>
    </w:p>
    <w:p>
      <w:pPr>
        <w:pStyle w:val="Compact"/>
        <w:numPr>
          <w:ilvl w:val="0"/>
          <w:numId w:val="1018"/>
        </w:numPr>
      </w:pPr>
      <w:r>
        <w:rPr>
          <w:b/>
          <w:bCs/>
        </w:rPr>
        <w:t xml:space="preserve">Adresses privées du domicile.</w:t>
      </w:r>
      <w:r>
        <w:t xml:space="preserve"> </w:t>
      </w:r>
      <w:r>
        <w:t xml:space="preserve">Leur publication fait l’objet d’interventions parlementaires (cf. annexe A). Lorsqu’une adresse est nécessaire, il convient d’utiliser si possible une adresse professionnelle ou de correspondance.</w:t>
      </w:r>
    </w:p>
    <w:p>
      <w:pPr>
        <w:pStyle w:val="Compact"/>
        <w:numPr>
          <w:ilvl w:val="0"/>
          <w:numId w:val="1018"/>
        </w:numPr>
      </w:pPr>
      <w:r>
        <w:rPr>
          <w:b/>
          <w:bCs/>
        </w:rPr>
        <w:t xml:space="preserve">Agrégation.</w:t>
      </w:r>
      <w:r>
        <w:t xml:space="preserve"> </w:t>
      </w:r>
      <w:r>
        <w:t xml:space="preserve">Le regroupement de plusieurs sources peut produire des profils de la personnalité allant au-delà du but de chaque publication prise isolément. Quiconque regroupe des données selon la présente norme réexamine la finalité du traitement.</w:t>
      </w:r>
    </w:p>
    <w:p>
      <w:pPr>
        <w:pStyle w:val="Compact"/>
        <w:numPr>
          <w:ilvl w:val="0"/>
          <w:numId w:val="1018"/>
        </w:numPr>
      </w:pPr>
      <w:r>
        <w:rPr>
          <w:b/>
          <w:bCs/>
        </w:rPr>
        <w:t xml:space="preserve">Indications historiques dans les références.</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conservent des caractéristiques locales au moment de la mise en relation. Elles ne doivent pas être interprétées comme l’état actuel.</w:t>
      </w:r>
    </w:p>
    <w:p>
      <w:pPr>
        <w:pStyle w:val="Compact"/>
        <w:numPr>
          <w:ilvl w:val="0"/>
          <w:numId w:val="1018"/>
        </w:numPr>
      </w:pPr>
      <w:r>
        <w:rPr>
          <w:b/>
          <w:bCs/>
        </w:rPr>
        <w:t xml:space="preserve">Transmission et accès.</w:t>
      </w:r>
      <w:r>
        <w:t xml:space="preserve"> </w:t>
      </w:r>
      <w:r>
        <w:t xml:space="preserve">Lorsque des données sont échangées selon la présente norme avant d’être publiques, les précautions usuelles s’imposent : transport chiffré, accès réservé aux personnes autorisées, protection contre toute modification pendant la transmission.</w:t>
      </w:r>
    </w:p>
    <w:p>
      <w:pPr>
        <w:pStyle w:val="Compact"/>
        <w:numPr>
          <w:ilvl w:val="0"/>
          <w:numId w:val="1018"/>
        </w:numPr>
      </w:pPr>
      <w:r>
        <w:rPr>
          <w:b/>
          <w:bCs/>
        </w:rPr>
        <w:t xml:space="preserve">Traitement de données provenant de tiers.</w:t>
      </w:r>
      <w:r>
        <w:t xml:space="preserve"> </w:t>
      </w:r>
      <w:r>
        <w:t xml:space="preserve">Avant tout traitement ultérieur d’une livraison, une validation par rapport au schéma est effectuée. Les contenus transmis dans des champs de texte libre sont échappés avant l’affichage.</w:t>
      </w:r>
    </w:p>
    <w:p>
      <w:r>
        <w:br w:type="page"/>
      </w:r>
    </w:p>
    <w:bookmarkEnd w:id="332"/>
    <w:bookmarkStart w:id="333" w:name="X503ce9815446e507000e4d0fc7e002781a5572b"/>
    <w:p>
      <w:pPr>
        <w:pStyle w:val="berschrift1"/>
      </w:pPr>
      <w:r>
        <w:t xml:space="preserve">Exclusion de responsabilité – droits de tiers</w:t>
      </w:r>
    </w:p>
    <w:p>
      <w:pPr>
        <w:pStyle w:val="FirstParagraph"/>
      </w:pPr>
      <w:r>
        <w:t xml:space="preserve">Les normes élaborées par l’Association eCH et mises gratuitement à la disposition des utilisatrices et utilisateurs ainsi que les normes de tiers adoptées, ont seulement valeur de recommandations. L’Association eCH ne peut en aucun cas être tenue pour responsable des décisions ou mesures prises par une utilisatrice ou un utilisateur sur la base des documents qu’elle met à disposition. L’utilisatrice ou utilisateur est tenu(e) d’étudier attentivement les documents avant de les mettre en application et au besoin de procéder aux consultations appropriées. Les normes eCH ne remplacent en aucun cas les consultations techniques, organisationnelles ou juridiques appropriées dans un cas concret.</w:t>
      </w:r>
    </w:p>
    <w:p>
      <w:pPr>
        <w:pStyle w:val="Textkrper"/>
      </w:pPr>
      <w:r>
        <w:t xml:space="preserve">Les documents, méthodes, normes, procédés ou produits référencés dans les normes eCH peuvent le cas échéant être protégés par des dispositions légales sur les marques, les droits d’auteur ou les brevets. L’obtention des autorisations nécessaires auprès des personnes ou organisations détentrices des droits relève de la seule responsabilité de l’utilisatrice ou de l’utilisateur.</w:t>
      </w:r>
    </w:p>
    <w:p>
      <w:pPr>
        <w:pStyle w:val="Textkrper"/>
      </w:pPr>
      <w:r>
        <w:t xml:space="preserve">Bien que l’Association eCH mette tout en œuvre pour assurer la qualité des normes qu’elle publie, elle ne peut fournir aucune assurance ou garantie quant à l’absence d’erreur, l’actualité, l’exhaustivité et l’exactitude des documents et informations mis à disposition. La teneur des normes eCH peut être modifiée à tout moment sans préavis.</w:t>
      </w:r>
    </w:p>
    <w:p>
      <w:pPr>
        <w:pStyle w:val="Textkrper"/>
      </w:pPr>
      <w:r>
        <w:t xml:space="preserve">Toute responsabilité relative à des dommages que l’utilisatrice ou l’utilisateur pourrait subir par suite de l’utilisation des normes eCH est exclue dans les limites des règlementations applicables.</w:t>
      </w:r>
    </w:p>
    <w:p>
      <w:r>
        <w:br w:type="page"/>
      </w:r>
    </w:p>
    <w:bookmarkEnd w:id="333"/>
    <w:bookmarkStart w:id="334"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334"/>
    <w:bookmarkStart w:id="35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40"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5">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36">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38">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39">
              <w:r>
                <w:rPr>
                  <w:rStyle w:val="Hyperlink"/>
                </w:rPr>
                <w:t xml:space="preserve">https://www.ech.ch/de/ech/ech-0297</w:t>
              </w:r>
            </w:hyperlink>
          </w:p>
        </w:tc>
      </w:tr>
    </w:tbl>
    <w:bookmarkEnd w:id="340"/>
    <w:bookmarkStart w:id="343"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4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42">
              <w:r>
                <w:rPr>
                  <w:rStyle w:val="Hyperlink"/>
                </w:rPr>
                <w:t xml:space="preserve">https://www.ech.ch/de/ech/ech-0108/6.0.0</w:t>
              </w:r>
            </w:hyperlink>
          </w:p>
        </w:tc>
      </w:tr>
    </w:tbl>
    <w:bookmarkEnd w:id="343"/>
    <w:bookmarkStart w:id="34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5">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7">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8">
              <w:r>
                <w:rPr>
                  <w:rStyle w:val="Hyperlink"/>
                </w:rPr>
                <w:t xml:space="preserve">https://linkml.io</w:t>
              </w:r>
            </w:hyperlink>
          </w:p>
        </w:tc>
      </w:tr>
    </w:tbl>
    <w:p>
      <w:r>
        <w:br w:type="page"/>
      </w:r>
    </w:p>
    <w:bookmarkEnd w:id="349"/>
    <w:bookmarkEnd w:id="350"/>
    <w:bookmarkStart w:id="351" w:name="annexe-b-collaboration-vérification"/>
    <w:p>
      <w:pPr>
        <w:pStyle w:val="berschrift1"/>
      </w:pPr>
      <w:r>
        <w:t xml:space="preserve">Annexe B – Collaboration &amp; vérification</w:t>
      </w:r>
    </w:p>
    <w:p>
      <w:pPr>
        <w:pStyle w:val="FirstParagraph"/>
      </w:pPr>
      <w:r>
        <w:t xml:space="preserve">Groupe de spécialistes « Affaires politiques », sous-groupe « Acteurs politiques » :</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Office fédéral de la statistique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Université de Zurich, IPZ</w:t>
            </w:r>
          </w:p>
        </w:tc>
      </w:tr>
      <w:tr>
        <w:tc>
          <w:tcPr/>
          <w:p>
            <w:pPr>
              <w:pStyle w:val="Compact"/>
            </w:pPr>
            <w:r>
              <w:t xml:space="preserve">Daniela Koller</w:t>
            </w:r>
          </w:p>
        </w:tc>
        <w:tc>
          <w:tcPr/>
          <w:p>
            <w:pPr>
              <w:pStyle w:val="Compact"/>
            </w:pPr>
            <w:r>
              <w:t xml:space="preserve">Canton de Thurgovie</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Services du Parlement</w:t>
            </w:r>
          </w:p>
        </w:tc>
      </w:tr>
      <w:tr>
        <w:tc>
          <w:tcPr/>
          <w:p>
            <w:pPr>
              <w:pStyle w:val="Compact"/>
            </w:pPr>
            <w:r>
              <w:t xml:space="preserve">Orhan Saeedi</w:t>
            </w:r>
          </w:p>
        </w:tc>
        <w:tc>
          <w:tcPr/>
          <w:p>
            <w:pPr>
              <w:pStyle w:val="Compact"/>
            </w:pPr>
            <w:r>
              <w:t xml:space="preserve">Canton de Bâle-Ville</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Chancellerie fédérale</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Remarque</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Groupe de spécialistes « Affaires politiques »</w:t>
            </w:r>
          </w:p>
        </w:tc>
        <w:tc>
          <w:tcPr>
            <w:shd w:val="clear" w:color="auto" w:fill="F2F2F2"/>
          </w:tcPr>
          <w:p>
            <w:pPr>
              <w:pStyle w:val="Compact"/>
            </w:pPr>
            <w:r>
              <w:t xml:space="preserve">Dépôt en tant que proposition</w:t>
            </w:r>
          </w:p>
        </w:tc>
      </w:tr>
    </w:tbl>
    <w:bookmarkEnd w:id="351"/>
    <w:bookmarkStart w:id="352" w:name="annexe-c-abréviations-et-glossaire"/>
    <w:p>
      <w:pPr>
        <w:pStyle w:val="berschrift1"/>
      </w:pPr>
      <w:r>
        <w:t xml:space="preserve">Annexe C – Abréviations et glossaire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IDE</w:t>
            </w:r>
          </w:p>
        </w:tc>
        <w:tc>
          <w:tcPr/>
          <w:p>
            <w:pPr>
              <w:pStyle w:val="Compact"/>
            </w:pPr>
            <w:r>
              <w:t xml:space="preserve">Numéro d’identification des entreprises. Clé univoque d’une entreprise suisse selon l’Office fédéral de la statistique.</w:t>
            </w:r>
          </w:p>
        </w:tc>
      </w:tr>
      <w:tr>
        <w:tc>
          <w:tcPr>
            <w:shd w:val="clear" w:color="auto" w:fill="F2F2F2"/>
          </w:tcPr>
          <w:p>
            <w:pPr>
              <w:pStyle w:val="Compact"/>
            </w:pPr>
            <w:r>
              <w:t xml:space="preserve">I14Y</w:t>
            </w:r>
          </w:p>
        </w:tc>
        <w:tc>
          <w:tcPr>
            <w:shd w:val="clear" w:color="auto" w:fill="F2F2F2"/>
          </w:tcPr>
          <w:p>
            <w:pPr>
              <w:pStyle w:val="Compact"/>
            </w:pPr>
            <w:r>
              <w:t xml:space="preserve">Plateforme d’interopérabilité de l’Office fédéral de la statistique ; source de plusieurs listes de codes.</w:t>
            </w:r>
          </w:p>
        </w:tc>
      </w:tr>
      <w:tr>
        <w:tc>
          <w:tcPr/>
          <w:p>
            <w:pPr>
              <w:pStyle w:val="Compact"/>
            </w:pPr>
            <w:r>
              <w:t xml:space="preserve">IRI</w:t>
            </w:r>
          </w:p>
        </w:tc>
        <w:tc>
          <w:tcPr/>
          <w:p>
            <w:pPr>
              <w:pStyle w:val="Compact"/>
            </w:pPr>
            <w:r>
              <w:t xml:space="preserve">Internationalized Resource Identifier. Extension de l’URI à l’ensemble du jeu de caractères Unicode.</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Sérialisation de données liées en JSON.</w:t>
            </w:r>
          </w:p>
        </w:tc>
      </w:tr>
      <w:tr>
        <w:tc>
          <w:tcPr/>
          <w:p>
            <w:pPr>
              <w:pStyle w:val="Compact"/>
            </w:pPr>
            <w:r>
              <w:t xml:space="preserve">LINDAS</w:t>
            </w:r>
          </w:p>
        </w:tc>
        <w:tc>
          <w:tcPr/>
          <w:p>
            <w:pPr>
              <w:pStyle w:val="Compact"/>
            </w:pPr>
            <w:r>
              <w:t xml:space="preserve">Linked Data Service de l’administration fédérale suisse.</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Langage de modélisation dans lequel la présente norme est définie.</w:t>
            </w:r>
          </w:p>
        </w:tc>
      </w:tr>
      <w:tr>
        <w:tc>
          <w:tcPr/>
          <w:p>
            <w:pPr>
              <w:pStyle w:val="Compact"/>
            </w:pPr>
            <w:r>
              <w:t xml:space="preserve">LPD</w:t>
            </w:r>
          </w:p>
        </w:tc>
        <w:tc>
          <w:tcPr/>
          <w:p>
            <w:pPr>
              <w:pStyle w:val="Compact"/>
            </w:pPr>
            <w:r>
              <w:t xml:space="preserve">Loi fédérale sur la protection des données, en vigueur depuis le 1er septembre 2023.</w:t>
            </w:r>
          </w:p>
        </w:tc>
      </w:tr>
      <w:tr>
        <w:tc>
          <w:tcPr>
            <w:shd w:val="clear" w:color="auto" w:fill="F2F2F2"/>
          </w:tcPr>
          <w:p>
            <w:pPr>
              <w:pStyle w:val="Compact"/>
            </w:pPr>
            <w:r>
              <w:t xml:space="preserve">NOGA</w:t>
            </w:r>
          </w:p>
        </w:tc>
        <w:tc>
          <w:tcPr>
            <w:shd w:val="clear" w:color="auto" w:fill="F2F2F2"/>
          </w:tcPr>
          <w:p>
            <w:pPr>
              <w:pStyle w:val="Compact"/>
            </w:pPr>
            <w:r>
              <w:t xml:space="preserve">Nomenclature générale des activités économiques de l’Office fédéral de la statistique.</w:t>
            </w:r>
          </w:p>
        </w:tc>
      </w:tr>
      <w:tr>
        <w:tc>
          <w:tcPr/>
          <w:p>
            <w:pPr>
              <w:pStyle w:val="Compact"/>
            </w:pPr>
            <w:r>
              <w:t xml:space="preserve">RDF</w:t>
            </w:r>
          </w:p>
        </w:tc>
        <w:tc>
          <w:tcPr/>
          <w:p>
            <w:pPr>
              <w:pStyle w:val="Compact"/>
            </w:pPr>
            <w:r>
              <w:t xml:space="preserve">Resource Description Framework. Modèle de données pour les données liées ; livré ici au format Turtle (.ttl).</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Identifiant univoque d’une ressource.</w:t>
            </w:r>
          </w:p>
        </w:tc>
      </w:tr>
      <w:tr>
        <w:tc>
          <w:tcPr/>
          <w:p>
            <w:pPr>
              <w:pStyle w:val="Compact"/>
            </w:pPr>
            <w:r>
              <w:t xml:space="preserve">XSD</w:t>
            </w:r>
          </w:p>
        </w:tc>
        <w:tc>
          <w:tcPr/>
          <w:p>
            <w:pPr>
              <w:pStyle w:val="Compact"/>
            </w:pPr>
            <w:r>
              <w:t xml:space="preserve">XML Schema Definition. Recommandation du W3C pour la définition de structures de documents XML.</w:t>
            </w:r>
          </w:p>
        </w:tc>
      </w:tr>
    </w:tbl>
    <w:bookmarkEnd w:id="352"/>
    <w:bookmarkStart w:id="353" w:name="X08db86adf07310008ab0bee8ec03524ae40948a"/>
    <w:p>
      <w:pPr>
        <w:pStyle w:val="berschrift1"/>
      </w:pPr>
      <w:r>
        <w:t xml:space="preserve">Annexe D – Modifications par rapport à la version précédente</w:t>
      </w:r>
    </w:p>
    <w:p>
      <w:pPr>
        <w:pStyle w:val="FirstParagraph"/>
      </w:pPr>
      <w:r>
        <w:t xml:space="preserve">Il s’agit de la première version.</w:t>
      </w:r>
    </w:p>
    <w:p>
      <w:r>
        <w:br w:type="page"/>
      </w:r>
    </w:p>
    <w:bookmarkEnd w:id="353"/>
    <w:bookmarkStart w:id="354" w:name="annexe-e-liste-des-illustrations"/>
    <w:p>
      <w:pPr>
        <w:pStyle w:val="berschrift1"/>
      </w:pPr>
      <w:r>
        <w:t xml:space="preserve">Annexe E – Liste des illustrations</w:t>
      </w:r>
    </w:p>
    <w:p>
      <w:r>
        <w:fldChar w:fldCharType="begin" w:dirty="true"/>
      </w:r>
      <w:r>
        <w:instrText xml:space="preserve"> TOC \h \z \c "Abbildung" </w:instrText>
      </w:r>
      <w:r>
        <w:fldChar w:fldCharType="separate"/>
      </w:r>
      <w:r>
        <w:t>Clic droit &gt; « Mettre à jour les champs » pour générer la liste des illustrations.</w:t>
      </w:r>
      <w:r>
        <w:fldChar w:fldCharType="end"/>
      </w:r>
    </w:p>
    <w:bookmarkEnd w:id="354"/>
    <w:bookmarkStart w:id="355" w:name="annexe-f-liste-des-tableaux"/>
    <w:p>
      <w:pPr>
        <w:pStyle w:val="berschrift1"/>
      </w:pPr>
      <w:r>
        <w:t xml:space="preserve">Annexe F – Liste des tableaux</w:t>
      </w:r>
    </w:p>
    <w:p>
      <w:r>
        <w:fldChar w:fldCharType="begin" w:dirty="true"/>
      </w:r>
      <w:r>
        <w:instrText xml:space="preserve"> TOC \h \z \c "Tabelle" </w:instrText>
      </w:r>
      <w:r>
        <w:fldChar w:fldCharType="separate"/>
      </w:r>
      <w:r>
        <w:t>Clic droit &gt; « Mettre à jour les champs » pour générer la liste des tableaux.</w:t>
      </w:r>
      <w:r>
        <w:fldChar w:fldCharType="end"/>
      </w:r>
    </w:p>
    <w:bookmarkEnd w:id="35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5"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8"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7"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41" Target="https://www.ech.ch/de/ech/ech-0011/9.0.0" TargetMode="External" /><Relationship Type="http://schemas.openxmlformats.org/officeDocument/2006/relationships/hyperlink" Id="rId342"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4"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5"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8"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7"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41" Target="https://www.ech.ch/de/ech/ech-0011/9.0.0" TargetMode="External" /><Relationship Type="http://schemas.openxmlformats.org/officeDocument/2006/relationships/hyperlink" Id="rId342"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4"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2026-09-15T22:44:04Z</dcterms:created>
  <dcterms:modified xsi:type="dcterms:W3CDTF">2026-09-15T22:44:04Z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