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cf17d7a0f41a112afa79c9a0191c4b9f1a33c3"/>
    <w:p>
      <w:pPr>
        <w:pStyle w:val="berschrift4"/>
      </w:pPr>
      <w:r>
        <w:t xml:space="preserve">Example: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f099dc7ef16a5b7c125ec6a3440ae0045e79033"/>
    <w:p>
      <w:pPr>
        <w:pStyle w:val="berschrift4"/>
      </w:pPr>
      <w:r>
        <w:t xml:space="preserve">Example: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amples-2"/>
    <w:p>
      <w:pPr>
        <w:pStyle w:val="berschrift3"/>
      </w:pPr>
      <w:r>
        <w:t xml:space="preserve">Examples</w:t>
      </w:r>
    </w:p>
    <w:bookmarkStart w:id="129" w:name="example-group-groups__it"/>
    <w:p>
      <w:pPr>
        <w:pStyle w:val="berschrift4"/>
      </w:pPr>
      <w:r>
        <w:t xml:space="preserve">Example: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ample-group-groups__de"/>
    <w:p>
      <w:pPr>
        <w:pStyle w:val="berschrift4"/>
      </w:pPr>
      <w:r>
        <w:t xml:space="preserve">Example: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https://api.openparldata.ch/v1/groups/50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ample-group-groups__fr"/>
    <w:p>
      <w:pPr>
        <w:pStyle w:val="berschrift4"/>
      </w:pPr>
      <w:r>
        <w:t xml:space="preserve">Example: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https://api.openparldata.ch/v1/groups/5000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 Sie ist für die parlamentarische Aufsicht</w:t>
      </w:r>
      <w:r>
        <w:br/>
      </w:r>
      <w:r>
        <w:rPr>
          <w:rStyle w:val="AttributeTok"/>
        </w:rPr>
        <w:t xml:space="preserve">    über den Vollzug der beiden lateinischen Konkordate über den strafrechtlichen</w:t>
      </w:r>
      <w:r>
        <w:br/>
      </w:r>
      <w:r>
        <w:rPr>
          <w:rStyle w:val="AttributeTok"/>
        </w:rPr>
        <w:t xml:space="preserve">    Freiheitsentzug zuständig.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 Elle est chargée de la surveillance parlementaire de l</w:t>
      </w:r>
      <w:r>
        <w:rPr>
          <w:rStyle w:val="SpecialCharTok"/>
        </w:rPr>
        <w:t xml:space="preserve">''</w:t>
      </w:r>
      <w:r>
        <w:rPr>
          <w:rStyle w:val="StringTok"/>
        </w:rPr>
        <w:t xml:space="preserve">exécution</w:t>
      </w:r>
      <w:r>
        <w:br/>
      </w:r>
      <w:r>
        <w:rPr>
          <w:rStyle w:val="StringTok"/>
        </w:rPr>
        <w:t xml:space="preserve">    des deux concordats latins sur la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4"/>
    <w:bookmarkStart w:id="13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7"/>
    <w:bookmarkEnd w:id="168"/>
    <w:bookmarkEnd w:id="169"/>
    <w:bookmarkStart w:id="17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1"/>
    <w:bookmarkEnd w:id="172"/>
    <w:bookmarkStart w:id="17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3"/>
    <w:bookmarkStart w:id="17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7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7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amples-3"/>
    <w:p>
      <w:pPr>
        <w:pStyle w:val="berschrift3"/>
      </w:pPr>
      <w:r>
        <w:t xml:space="preserve">Examples</w:t>
      </w:r>
    </w:p>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shared-elements"/>
    <w:p>
      <w:pPr>
        <w:pStyle w:val="berschrift1"/>
      </w:pPr>
      <w:r>
        <w:t xml:space="preserve">Shared Elements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2"/>
    <w:bookmarkStart w:id="24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3"/>
    <w:bookmarkStart w:id="24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reused-classes"/>
    <w:p>
      <w:pPr>
        <w:pStyle w:val="berschrift2"/>
      </w:pPr>
      <w:r>
        <w:t xml:space="preserve">Reused Classes</w:t>
      </w:r>
    </w:p>
    <w:bookmarkEnd w:id="249"/>
    <w:bookmarkStart w:id="25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5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examples-4"/>
    <w:p>
      <w:pPr>
        <w:pStyle w:val="berschrift3"/>
      </w:pPr>
      <w:r>
        <w:t xml:space="preserve">Examples</w:t>
      </w:r>
    </w:p>
    <w:bookmarkStart w:id="25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57"/>
    <w:bookmarkEnd w:id="258"/>
    <w:bookmarkStart w:id="26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5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59"/>
    <w:bookmarkStart w:id="26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2026-07-28T07:27:49Z</dcterms:created>
  <dcterms:modified xsi:type="dcterms:W3CDTF">2026-07-28T07:27:49Z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