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9083f5c887821a1a2b62a37bd67cbc930317c9"/>
    <w:p>
      <w:pPr>
        <w:pStyle w:val="berschrift4"/>
      </w:pPr>
      <w:r>
        <w:t xml:space="preserve">Exemple :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c9b83a2a906edff8db61ac7b94e39a73cdce4ae"/>
    <w:p>
      <w:pPr>
        <w:pStyle w:val="berschrift4"/>
      </w:pPr>
      <w:r>
        <w:t xml:space="preserve">Exemple :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emples-2"/>
    <w:p>
      <w:pPr>
        <w:pStyle w:val="berschrift3"/>
      </w:pPr>
      <w:r>
        <w:t xml:space="preserve">Exemples</w:t>
      </w:r>
    </w:p>
    <w:bookmarkStart w:id="129" w:name="exemple-group-groups__it"/>
    <w:p>
      <w:pPr>
        <w:pStyle w:val="berschrift4"/>
      </w:pPr>
      <w:r>
        <w:t xml:space="preserve">Exemple :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emple-group-groups__de"/>
    <w:p>
      <w:pPr>
        <w:pStyle w:val="berschrift4"/>
      </w:pPr>
      <w:r>
        <w:t xml:space="preserve">Exemple :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https://api.openparldata.ch/v1/groups/50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emple-group-groups__fr"/>
    <w:p>
      <w:pPr>
        <w:pStyle w:val="berschrift4"/>
      </w:pPr>
      <w:r>
        <w:t xml:space="preserve">Exemple :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https://api.openparldata.ch/v1/groups/5000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 Sie ist für die parlamentarische Aufsicht</w:t>
      </w:r>
      <w:r>
        <w:br/>
      </w:r>
      <w:r>
        <w:rPr>
          <w:rStyle w:val="AttributeTok"/>
        </w:rPr>
        <w:t xml:space="preserve">    über den Vollzug der beiden lateinischen Konkordate über den strafrechtlichen</w:t>
      </w:r>
      <w:r>
        <w:br/>
      </w:r>
      <w:r>
        <w:rPr>
          <w:rStyle w:val="AttributeTok"/>
        </w:rPr>
        <w:t xml:space="preserve">    Freiheitsentzug zuständig.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 Elle est chargée de la surveillance parlementaire de l</w:t>
      </w:r>
      <w:r>
        <w:rPr>
          <w:rStyle w:val="SpecialCharTok"/>
        </w:rPr>
        <w:t xml:space="preserve">''</w:t>
      </w:r>
      <w:r>
        <w:rPr>
          <w:rStyle w:val="StringTok"/>
        </w:rPr>
        <w:t xml:space="preserve">exécution</w:t>
      </w:r>
      <w:r>
        <w:br/>
      </w:r>
      <w:r>
        <w:rPr>
          <w:rStyle w:val="StringTok"/>
        </w:rPr>
        <w:t xml:space="preserve">    des deux concordats latins sur la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4"/>
    <w:bookmarkStart w:id="13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67"/>
    <w:bookmarkEnd w:id="168"/>
    <w:bookmarkEnd w:id="169"/>
    <w:bookmarkStart w:id="17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1"/>
    <w:bookmarkEnd w:id="172"/>
    <w:bookmarkStart w:id="17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3"/>
    <w:bookmarkStart w:id="17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7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7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7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emples-3"/>
    <w:p>
      <w:pPr>
        <w:pStyle w:val="berschrift3"/>
      </w:pPr>
      <w:r>
        <w:t xml:space="preserve">Exemples</w:t>
      </w:r>
    </w:p>
    <w:bookmarkStart w:id="18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éléments-partagés"/>
    <w:p>
      <w:pPr>
        <w:pStyle w:val="berschrift1"/>
      </w:pPr>
      <w:r>
        <w:t xml:space="preserve">Éléments partagés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2"/>
    <w:bookmarkStart w:id="24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3"/>
    <w:bookmarkStart w:id="24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classes-utilisées-à-plusieurs-reprises"/>
    <w:p>
      <w:pPr>
        <w:pStyle w:val="berschrift2"/>
      </w:pPr>
      <w:r>
        <w:t xml:space="preserve">Classes utilisées à plusieurs reprises</w:t>
      </w:r>
    </w:p>
    <w:bookmarkEnd w:id="249"/>
    <w:bookmarkStart w:id="25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5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exemples-4"/>
    <w:p>
      <w:pPr>
        <w:pStyle w:val="berschrift3"/>
      </w:pPr>
      <w:r>
        <w:t xml:space="preserve">Exemples</w:t>
      </w:r>
    </w:p>
    <w:bookmarkStart w:id="253"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57"/>
    <w:bookmarkEnd w:id="258"/>
    <w:bookmarkStart w:id="26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5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59"/>
    <w:bookmarkStart w:id="26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2026-07-28T07:27:45Z</dcterms:created>
  <dcterms:modified xsi:type="dcterms:W3CDTF">2026-07-28T07:27:45Z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