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26"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13"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7"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6" w:name="beispiele"/>
    <w:p>
      <w:pPr>
        <w:pStyle w:val="berschrift4"/>
      </w:pPr>
      <w:r>
        <w:t xml:space="preserve">Beispiele</w:t>
      </w:r>
    </w:p>
    <w:bookmarkStart w:id="54" w:name="X4108a8e1a46751c5267d1781fce70b916d00e4b"/>
    <w:p>
      <w:pPr>
        <w:pStyle w:val="berschrift5"/>
      </w:pPr>
      <w:r>
        <w:t xml:space="preserve">Beispiel Identification: sr101 excerpt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p>
    <w:bookmarkEnd w:id="54"/>
    <w:bookmarkStart w:id="55" w:name="beispiel-identification-bgoe-excerpt-1-1"/>
    <w:p>
      <w:pPr>
        <w:pStyle w:val="berschrift5"/>
      </w:pPr>
      <w:r>
        <w:t xml:space="preserve">Beispiel Identification: bgoe excerpt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5"/>
    <w:bookmarkEnd w:id="56"/>
    <w:bookmarkEnd w:id="57"/>
    <w:bookmarkStart w:id="64" w:name="klasse-frbrwork"/>
    <w:p>
      <w:pPr>
        <w:pStyle w:val="berschrift3"/>
      </w:pPr>
      <w:r>
        <w:t xml:space="preserve">Klasse: FRBRWork</w:t>
      </w:r>
      <w:r>
        <w:t xml:space="preserve"> </w:t>
      </w:r>
      <w:bookmarkStart w:id="58" w:name="FRBRWork"/>
      <w:bookmarkEnd w:id="58"/>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9"/>
    <w:bookmarkStart w:id="60"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0"/>
    <w:bookmarkStart w:id="63" w:name="beispiele-1"/>
    <w:p>
      <w:pPr>
        <w:pStyle w:val="berschrift4"/>
      </w:pPr>
      <w:r>
        <w:t xml:space="preserve">Beispiele</w:t>
      </w:r>
    </w:p>
    <w:bookmarkStart w:id="61" w:name="beispiel-frbrwork-sr101-excerpt-1-1"/>
    <w:p>
      <w:pPr>
        <w:pStyle w:val="berschrift5"/>
      </w:pPr>
      <w:r>
        <w:t xml:space="preserve">Beispiel FRBRWork: sr101 excerpt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1"/>
    <w:bookmarkStart w:id="62" w:name="beispiel-frbrwork-bgoe-excerpt-1-1"/>
    <w:p>
      <w:pPr>
        <w:pStyle w:val="berschrift5"/>
      </w:pPr>
      <w:r>
        <w:t xml:space="preserve">Beispiel FRBRWork: bgoe excerpt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2"/>
    <w:bookmarkEnd w:id="63"/>
    <w:bookmarkEnd w:id="64"/>
    <w:bookmarkStart w:id="71" w:name="klasse-frbrexpression"/>
    <w:p>
      <w:pPr>
        <w:pStyle w:val="berschrift3"/>
      </w:pPr>
      <w:r>
        <w:t xml:space="preserve">Klasse: FRBRExpression</w:t>
      </w:r>
      <w:r>
        <w:t xml:space="preserve"> </w:t>
      </w:r>
      <w:bookmarkStart w:id="65" w:name="FRBRExpression"/>
      <w:bookmarkEnd w:id="65"/>
    </w:p>
    <w:p>
      <w:pPr>
        <w:pStyle w:val="FirstParagraph"/>
      </w:pPr>
      <w:r>
        <w:rPr>
          <w:i/>
          <w:iCs/>
        </w:rPr>
        <w:t xml:space="preserve">FRBR-Expression-Ebene (akn:FRBRExpression): eine sprachspezifische Version des Erlasses. Identifiziert durch einen ELI-URI mit Sprachcode.</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6"/>
    <w:bookmarkStart w:id="67"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7"/>
    <w:bookmarkStart w:id="70" w:name="beispiele-2"/>
    <w:p>
      <w:pPr>
        <w:pStyle w:val="berschrift4"/>
      </w:pPr>
      <w:r>
        <w:t xml:space="preserve">Beispiele</w:t>
      </w:r>
    </w:p>
    <w:bookmarkStart w:id="68" w:name="Xe316fe943b7ab72d27488aab9fa5b13304bd686"/>
    <w:p>
      <w:pPr>
        <w:pStyle w:val="berschrift5"/>
      </w:pPr>
      <w:r>
        <w:t xml:space="preserve">Beispiel FRBRExpression: sr101 excerpt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8"/>
    <w:bookmarkStart w:id="69" w:name="beispiel-frbrexpression-bgoe-excerpt-1-1"/>
    <w:p>
      <w:pPr>
        <w:pStyle w:val="berschrift5"/>
      </w:pPr>
      <w:r>
        <w:t xml:space="preserve">Beispiel FRBRExpression: bgoe excerpt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9"/>
    <w:bookmarkEnd w:id="70"/>
    <w:bookmarkEnd w:id="71"/>
    <w:bookmarkStart w:id="78" w:name="klasse-frbrmanifestation"/>
    <w:p>
      <w:pPr>
        <w:pStyle w:val="berschrift3"/>
      </w:pPr>
      <w:r>
        <w:t xml:space="preserve">Klasse: FRBRManifestation</w:t>
      </w:r>
      <w:r>
        <w:t xml:space="preserve"> </w:t>
      </w:r>
      <w:bookmarkStart w:id="72" w:name="FRBRManifestation"/>
      <w:bookmarkEnd w:id="72"/>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3"/>
    <w:bookmarkStart w:id="74"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4"/>
    <w:bookmarkStart w:id="77" w:name="beispiele-3"/>
    <w:p>
      <w:pPr>
        <w:pStyle w:val="berschrift4"/>
      </w:pPr>
      <w:r>
        <w:t xml:space="preserve">Beispiele</w:t>
      </w:r>
    </w:p>
    <w:bookmarkStart w:id="75" w:name="Xb71f1e7dec5e34ce761725b99634a69d4563ede"/>
    <w:p>
      <w:pPr>
        <w:pStyle w:val="berschrift5"/>
      </w:pPr>
      <w:r>
        <w:t xml:space="preserve">Beispiel FRBRManifestation: bgoe excerpt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5"/>
    <w:bookmarkStart w:id="76" w:name="Xb777b4f73963069ca8d1a5ce2aba6cef438f5da"/>
    <w:p>
      <w:pPr>
        <w:pStyle w:val="berschrift5"/>
      </w:pPr>
      <w:r>
        <w:t xml:space="preserve">Beispiel FRBRManifestation: sr101 excerpt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p>
    <w:bookmarkEnd w:id="76"/>
    <w:bookmarkEnd w:id="77"/>
    <w:bookmarkEnd w:id="78"/>
    <w:bookmarkStart w:id="89" w:name="klasse-frbrdate"/>
    <w:p>
      <w:pPr>
        <w:pStyle w:val="berschrift3"/>
      </w:pPr>
      <w:r>
        <w:t xml:space="preserve">Klasse: FRBRDate</w:t>
      </w:r>
      <w:r>
        <w:t xml:space="preserve"> </w:t>
      </w:r>
      <w:bookmarkStart w:id="79" w:name="FRBRDate"/>
      <w:bookmarkEnd w:id="79"/>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80"/>
    <w:bookmarkStart w:id="81"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1"/>
    <w:bookmarkStart w:id="88" w:name="beispiele-4"/>
    <w:p>
      <w:pPr>
        <w:pStyle w:val="berschrift4"/>
      </w:pPr>
      <w:r>
        <w:t xml:space="preserve">Beispiele</w:t>
      </w:r>
    </w:p>
    <w:bookmarkStart w:id="82" w:name="beispiel-frbrdate-sr101-excerpt-1-2"/>
    <w:p>
      <w:pPr>
        <w:pStyle w:val="berschrift5"/>
      </w:pPr>
      <w:r>
        <w:t xml:space="preserve">Beispiel FRBRDate: sr101 excerpt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2"/>
    <w:bookmarkStart w:id="83" w:name="beispiel-frbrdate-bgoe-excerpt-1-2"/>
    <w:p>
      <w:pPr>
        <w:pStyle w:val="berschrift5"/>
      </w:pPr>
      <w:r>
        <w:t xml:space="preserve">Beispiel FRBRDate: bgoe excerpt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3"/>
    <w:bookmarkStart w:id="84" w:name="beispiel-frbrdate-sr101-excerpt-1-3"/>
    <w:p>
      <w:pPr>
        <w:pStyle w:val="berschrift5"/>
      </w:pPr>
      <w:r>
        <w:t xml:space="preserve">Beispiel FRBRDate: sr101 excerpt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4"/>
    <w:bookmarkStart w:id="85" w:name="beispiel-frbrdate-bgoe-excerpt-1-3"/>
    <w:p>
      <w:pPr>
        <w:pStyle w:val="berschrift5"/>
      </w:pPr>
      <w:r>
        <w:t xml:space="preserve">Beispiel FRBRDate: bgoe excerpt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5"/>
    <w:bookmarkStart w:id="86" w:name="beispiel-frbrdate-bgoe-excerpt-1-1"/>
    <w:p>
      <w:pPr>
        <w:pStyle w:val="berschrift5"/>
      </w:pPr>
      <w:r>
        <w:t xml:space="preserve">Beispiel FRBRDate: bgoe excerpt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6"/>
    <w:bookmarkStart w:id="87" w:name="beispiel-frbrdate-sr101-excerpt-1-1"/>
    <w:p>
      <w:pPr>
        <w:pStyle w:val="berschrift5"/>
      </w:pPr>
      <w:r>
        <w:t xml:space="preserve">Beispiel FRBRDate: sr101 excerpt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7"/>
    <w:bookmarkEnd w:id="88"/>
    <w:bookmarkEnd w:id="89"/>
    <w:bookmarkStart w:id="98" w:name="klasse-frbrauthor"/>
    <w:p>
      <w:pPr>
        <w:pStyle w:val="berschrift3"/>
      </w:pPr>
      <w:r>
        <w:t xml:space="preserve">Klasse: FRBRAuthor</w:t>
      </w:r>
      <w:r>
        <w:t xml:space="preserve"> </w:t>
      </w:r>
      <w:bookmarkStart w:id="90" w:name="FRBRAuthor"/>
      <w:bookmarkEnd w:id="90"/>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91"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91"/>
    <w:bookmarkStart w:id="92"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92"/>
    <w:bookmarkStart w:id="97" w:name="beispiele-5"/>
    <w:p>
      <w:pPr>
        <w:pStyle w:val="berschrift4"/>
      </w:pPr>
      <w:r>
        <w:t xml:space="preserve">Beispiele</w:t>
      </w:r>
    </w:p>
    <w:bookmarkStart w:id="93" w:name="beispiel-frbrauthor-sr101-excerpt-1-2"/>
    <w:p>
      <w:pPr>
        <w:pStyle w:val="berschrift5"/>
      </w:pPr>
      <w:r>
        <w:t xml:space="preserve">Beispiel FRBRAuthor: sr101 excerpt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3"/>
    <w:bookmarkStart w:id="94" w:name="beispiel-frbrauthor-sr101-excerpt-1-1"/>
    <w:p>
      <w:pPr>
        <w:pStyle w:val="berschrift5"/>
      </w:pPr>
      <w:r>
        <w:t xml:space="preserve">Beispiel FRBRAuthor: sr101 excerpt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4"/>
    <w:bookmarkStart w:id="95" w:name="beispiel-frbrauthor-bgoe-excerpt-1-1"/>
    <w:p>
      <w:pPr>
        <w:pStyle w:val="berschrift5"/>
      </w:pPr>
      <w:r>
        <w:t xml:space="preserve">Beispiel FRBRAuthor: bgoe excerpt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5"/>
    <w:bookmarkStart w:id="96" w:name="beispiel-frbrauthor-bgoe-excerpt-1-2"/>
    <w:p>
      <w:pPr>
        <w:pStyle w:val="berschrift5"/>
      </w:pPr>
      <w:r>
        <w:t xml:space="preserve">Beispiel FRBRAuthor: bgoe excerpt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6"/>
    <w:bookmarkEnd w:id="97"/>
    <w:bookmarkEnd w:id="98"/>
    <w:bookmarkStart w:id="112" w:name="klasse-frbrname"/>
    <w:p>
      <w:pPr>
        <w:pStyle w:val="berschrift3"/>
      </w:pPr>
      <w:r>
        <w:t xml:space="preserve">Klasse: FRBRName</w:t>
      </w:r>
      <w:r>
        <w:t xml:space="preserve"> </w:t>
      </w:r>
      <w:bookmarkStart w:id="99" w:name="FRBRName"/>
      <w:bookmarkEnd w:id="99"/>
    </w:p>
    <w:p>
      <w:pPr>
        <w:pStyle w:val="FirstParagraph"/>
      </w:pPr>
      <w:r>
        <w:rPr>
          <w:i/>
          <w:iCs/>
        </w:rPr>
        <w:t xml:space="preserve">Ein mehrsprachiger Namenseintrag des FRBR-Works (akn:FRBRname). Enthält den offiziellen Langtitel und eine optionale Abkürzung. Ein Eintrag pro Sprache.</w:t>
      </w:r>
    </w:p>
    <w:bookmarkStart w:id="10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00"/>
    <w:bookmarkStart w:id="101"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01"/>
    <w:bookmarkStart w:id="111" w:name="beispiele-6"/>
    <w:p>
      <w:pPr>
        <w:pStyle w:val="berschrift4"/>
      </w:pPr>
      <w:r>
        <w:t xml:space="preserve">Beispiele</w:t>
      </w:r>
    </w:p>
    <w:bookmarkStart w:id="102" w:name="beispiel-frbrname-bgoe-excerpt-1-4"/>
    <w:p>
      <w:pPr>
        <w:pStyle w:val="berschrift5"/>
      </w:pPr>
      <w:r>
        <w:t xml:space="preserve">Beispiel FRBRName: bgoe excerpt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02"/>
    <w:bookmarkStart w:id="103" w:name="beispiel-frbrname-sr101-excerpt-1-3"/>
    <w:p>
      <w:pPr>
        <w:pStyle w:val="berschrift5"/>
      </w:pPr>
      <w:r>
        <w:t xml:space="preserve">Beispiel FRBRName: sr101 excerpt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03"/>
    <w:bookmarkStart w:id="104" w:name="beispiel-frbrname-bgoe-excerpt-1-3"/>
    <w:p>
      <w:pPr>
        <w:pStyle w:val="berschrift5"/>
      </w:pPr>
      <w:r>
        <w:t xml:space="preserve">Beispiel FRBRName: bgoe excerpt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04"/>
    <w:bookmarkStart w:id="105" w:name="beispiel-frbrname-sr101-excerpt-1-2"/>
    <w:p>
      <w:pPr>
        <w:pStyle w:val="berschrift5"/>
      </w:pPr>
      <w:r>
        <w:t xml:space="preserve">Beispiel FRBRName: sr101 excerpt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5"/>
    <w:bookmarkStart w:id="106" w:name="beispiel-frbrname-bgoe-excerpt-1-2"/>
    <w:p>
      <w:pPr>
        <w:pStyle w:val="berschrift5"/>
      </w:pPr>
      <w:r>
        <w:t xml:space="preserve">Beispiel FRBRName: bgoe excerpt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06"/>
    <w:bookmarkStart w:id="107" w:name="beispiel-frbrname-bgoe-excerpt-1-5"/>
    <w:p>
      <w:pPr>
        <w:pStyle w:val="berschrift5"/>
      </w:pPr>
      <w:r>
        <w:t xml:space="preserve">Beispiel FRBRName: bgoe excerpt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07"/>
    <w:bookmarkStart w:id="108" w:name="beispiel-frbrname-bgoe-excerpt-1-1"/>
    <w:p>
      <w:pPr>
        <w:pStyle w:val="berschrift5"/>
      </w:pPr>
      <w:r>
        <w:t xml:space="preserve">Beispiel FRBRName: bgoe excerpt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08"/>
    <w:bookmarkStart w:id="109" w:name="beispiel-frbrname-sr101-excerpt-1-4"/>
    <w:p>
      <w:pPr>
        <w:pStyle w:val="berschrift5"/>
      </w:pPr>
      <w:r>
        <w:t xml:space="preserve">Beispiel FRBRName: sr101 excerpt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9"/>
    <w:bookmarkStart w:id="110" w:name="beispiel-frbrname-sr101-excerpt-1-1"/>
    <w:p>
      <w:pPr>
        <w:pStyle w:val="berschrift5"/>
      </w:pPr>
      <w:r>
        <w:t xml:space="preserve">Beispiel FRBRName: sr101 excerpt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10"/>
    <w:bookmarkEnd w:id="111"/>
    <w:bookmarkEnd w:id="112"/>
    <w:bookmarkEnd w:id="113"/>
    <w:bookmarkStart w:id="114"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14"/>
    <w:bookmarkStart w:id="118" w:name="typ-eliuri"/>
    <w:p>
      <w:pPr>
        <w:pStyle w:val="berschrift2"/>
      </w:pPr>
      <w:r>
        <w:t xml:space="preserve">Typ: ELIURI</w:t>
      </w:r>
      <w:r>
        <w:t xml:space="preserve"> </w:t>
      </w:r>
      <w:bookmarkStart w:id="115" w:name="ELIURI"/>
      <w:bookmarkEnd w:id="115"/>
    </w:p>
    <w:p>
      <w:pPr>
        <w:pStyle w:val="FirstParagraph"/>
      </w:pPr>
      <w:r>
        <w:rPr>
          <w:i/>
          <w:iCs/>
        </w:rPr>
        <w:t xml:space="preserve">Ein European Legislation Identifier (ELI) URI, wie von Fedlex verwendet.</w:t>
      </w:r>
    </w:p>
    <w:p>
      <w:pPr>
        <w:pStyle w:val="Textkrper"/>
      </w:pPr>
      <w:r>
        <w:t xml:space="preserve">URI:</w:t>
      </w:r>
      <w:r>
        <w:t xml:space="preserve"> </w:t>
      </w:r>
      <w:hyperlink ns1:id="rId116">
        <w:r>
          <w:rPr>
            <w:rStyle w:val="Hyperlink"/>
          </w:rPr>
          <w:t xml:space="preserve">xsd:anyURI</w:t>
        </w:r>
      </w:hyperlink>
    </w:p>
    <w:bookmarkStart w:id="117"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16">
              <w:r>
                <w:rPr>
                  <w:rStyle w:val="Hyperlink"/>
                </w:rPr>
                <w:t xml:space="preserve">xsd:anyURI</w:t>
              </w:r>
            </w:hyperlink>
          </w:p>
        </w:tc>
      </w:tr>
    </w:tbl>
    <w:bookmarkEnd w:id="117"/>
    <w:bookmarkEnd w:id="118"/>
    <w:bookmarkStart w:id="122" w:name="typ-eidtype"/>
    <w:p>
      <w:pPr>
        <w:pStyle w:val="berschrift2"/>
      </w:pPr>
      <w:r>
        <w:t xml:space="preserve">Typ: EIdType</w:t>
      </w:r>
      <w:r>
        <w:t xml:space="preserve"> </w:t>
      </w:r>
      <w:bookmarkStart w:id="119" w:name="EIdType"/>
      <w:bookmarkEnd w:id="119"/>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20">
        <w:r>
          <w:rPr>
            <w:rStyle w:val="Hyperlink"/>
          </w:rPr>
          <w:t xml:space="preserve">xsd:string</w:t>
        </w:r>
      </w:hyperlink>
    </w:p>
    <w:bookmarkStart w:id="121"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121"/>
    <w:bookmarkEnd w:id="122"/>
    <w:bookmarkStart w:id="125" w:name="typ-anchorref"/>
    <w:p>
      <w:pPr>
        <w:pStyle w:val="berschrift2"/>
      </w:pPr>
      <w:r>
        <w:t xml:space="preserve">Typ: AnchorRef</w:t>
      </w:r>
      <w:r>
        <w:t xml:space="preserve"> </w:t>
      </w:r>
      <w:bookmarkStart w:id="123" w:name="AnchorRef"/>
      <w:bookmarkEnd w:id="123"/>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20">
        <w:r>
          <w:rPr>
            <w:rStyle w:val="Hyperlink"/>
          </w:rPr>
          <w:t xml:space="preserve">xsd:string</w:t>
        </w:r>
      </w:hyperlink>
    </w:p>
    <w:bookmarkStart w:id="124"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124"/>
    <w:p>
      <w:r>
        <w:br w:type="page"/>
      </w:r>
    </w:p>
    <w:bookmarkEnd w:id="125"/>
    <w:bookmarkEnd w:id="126"/>
    <w:bookmarkStart w:id="26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33" w:name="klasse-act"/>
    <w:p>
      <w:pPr>
        <w:pStyle w:val="berschrift3"/>
      </w:pPr>
      <w:r>
        <w:t xml:space="preserve">Klasse: Act</w:t>
      </w:r>
      <w:r>
        <w:t xml:space="preserve"> </w:t>
      </w:r>
      <w:bookmarkStart w:id="127" w:name="Act"/>
      <w:bookmarkEnd w:id="127"/>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2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128"/>
    <w:bookmarkStart w:id="129"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129"/>
    <w:bookmarkStart w:id="132" w:name="beispiele-7"/>
    <w:p>
      <w:pPr>
        <w:pStyle w:val="berschrift4"/>
      </w:pPr>
      <w:r>
        <w:t xml:space="preserve">Beispiele</w:t>
      </w:r>
    </w:p>
    <w:bookmarkStart w:id="130" w:name="beispiel-act-sr101-excerpt-1"/>
    <w:p>
      <w:pPr>
        <w:pStyle w:val="berschrift5"/>
      </w:pPr>
      <w:r>
        <w:t xml:space="preserve">Beispiel Act: sr101 excerpt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constitution</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w:t>
      </w:r>
      <w:r>
        <w:br/>
      </w:r>
      <w:r>
        <w:rPr>
          <w:rStyle w:val="NormalTok"/>
        </w:rPr>
        <w:t xml:space="preserve">                  Obwalden und Nidwalden, Glarus, Zug, Freiburg, Solothurn, Basel-Stadt</w:t>
      </w:r>
      <w:r>
        <w:br/>
      </w:r>
      <w:r>
        <w:rPr>
          <w:rStyle w:val="NormalTok"/>
        </w:rPr>
        <w:t xml:space="preserve">                  und Basel-Landschaft, Schaffhausen, Appenzell Ausserrhoden und Appenzell</w:t>
      </w:r>
      <w:r>
        <w:br/>
      </w:r>
      <w:r>
        <w:rPr>
          <w:rStyle w:val="NormalTok"/>
        </w:rPr>
        <w:t xml:space="preserve">                  Innerrhoden, St. Gallen, Graubünden, Aargau, Thurgau, Tessin, Waadt,</w:t>
      </w:r>
      <w:r>
        <w:br/>
      </w:r>
      <w:r>
        <w:rPr>
          <w:rStyle w:val="NormalTok"/>
        </w:rPr>
        <w:t xml:space="preserve">                  Wallis, Neuenburg, Genf und Jura bilden die Schweizerische Eidgenossenschaft.</w:t>
      </w:r>
    </w:p>
    <w:bookmarkEnd w:id="130"/>
    <w:bookmarkStart w:id="131" w:name="beispiel-act-bgoe-excerpt-1"/>
    <w:p>
      <w:pPr>
        <w:pStyle w:val="berschrift5"/>
      </w:pPr>
      <w:r>
        <w:t xml:space="preserve">Beispiel Act: bgoe excerpt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w:t>
      </w:r>
      <w:r>
        <w:br/>
      </w:r>
      <w:r>
        <w:rPr>
          <w:rStyle w:val="NormalTok"/>
        </w:rPr>
        <w:t xml:space="preserve">            Verwaltung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 und Gegenstand</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Dieses Gesetz soll die Transparenz über den Auftrag, die Organisation</w:t>
      </w:r>
      <w:r>
        <w:br/>
      </w:r>
      <w:r>
        <w:rPr>
          <w:rStyle w:val="NormalTok"/>
        </w:rPr>
        <w:t xml:space="preserve">                und die Tätigkeit der Verwaltung fördern. Zu diesem Zweck trägt es</w:t>
      </w:r>
      <w:r>
        <w:br/>
      </w:r>
      <w:r>
        <w:rPr>
          <w:rStyle w:val="NormalTok"/>
        </w:rPr>
        <w:t xml:space="preserve">                zur Information der Öffentlichkeit bei, indem es den Zugang zu amtlichen</w:t>
      </w:r>
      <w:r>
        <w:br/>
      </w:r>
      <w:r>
        <w:rPr>
          <w:rStyle w:val="NormalTok"/>
        </w:rPr>
        <w:t xml:space="preserve">                Dokumenten gewährleistet.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Persönlicher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w:t>
      </w:r>
      <w:r>
        <w:br/>
      </w:r>
      <w:r>
        <w:rPr>
          <w:rStyle w:val="NormalTok"/>
        </w:rPr>
        <w:t xml:space="preserve">                    die nicht der Bundesverwaltung angehören, soweit sie Erlasse oder</w:t>
      </w:r>
      <w:r>
        <w:br/>
      </w:r>
      <w:r>
        <w:rPr>
          <w:rStyle w:val="NormalTok"/>
        </w:rPr>
        <w:t xml:space="preserve">                    erstinstanzliche Verfügungen im Sinne von Artikel 5 des Bundesgesetzes</w:t>
      </w:r>
      <w:r>
        <w:br/>
      </w:r>
      <w:r>
        <w:rPr>
          <w:rStyle w:val="NormalTok"/>
        </w:rPr>
        <w:t xml:space="preserve">                    vom 20. Dezember 1968 über das Verwaltungsverfahren erlassen;</w:t>
      </w:r>
    </w:p>
    <w:bookmarkEnd w:id="131"/>
    <w:bookmarkEnd w:id="132"/>
    <w:bookmarkEnd w:id="133"/>
    <w:bookmarkStart w:id="137" w:name="enum-acttypeenum"/>
    <w:p>
      <w:pPr>
        <w:pStyle w:val="berschrift3"/>
      </w:pPr>
      <w:r>
        <w:t xml:space="preserve">Enum: ActTypeEnum</w:t>
      </w:r>
      <w:r>
        <w:t xml:space="preserve"> </w:t>
      </w:r>
      <w:bookmarkStart w:id="134" w:name="ActTypeEnum"/>
      <w:bookmarkEnd w:id="134"/>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35">
        <w:r>
          <w:rPr>
            <w:rStyle w:val="Hyperlink"/>
          </w:rPr>
          <w:t xml:space="preserve">laws:ActTypeEnum</w:t>
        </w:r>
      </w:hyperlink>
    </w:p>
    <w:bookmarkStart w:id="13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36"/>
    <w:bookmarkEnd w:id="137"/>
    <w:bookmarkStart w:id="159" w:name="vorspann-und-präambel"/>
    <w:p>
      <w:pPr>
        <w:pStyle w:val="berschrift2"/>
      </w:pPr>
      <w:r>
        <w:t xml:space="preserve">Vorspann und Präambel</w:t>
      </w:r>
    </w:p>
    <w:bookmarkStart w:id="144" w:name="klasse-preface"/>
    <w:p>
      <w:pPr>
        <w:pStyle w:val="berschrift3"/>
      </w:pPr>
      <w:r>
        <w:t xml:space="preserve">Klasse: Preface</w:t>
      </w:r>
      <w:r>
        <w:t xml:space="preserve"> </w:t>
      </w:r>
      <w:bookmarkStart w:id="138" w:name="Preface"/>
      <w:bookmarkEnd w:id="138"/>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3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39"/>
    <w:bookmarkStart w:id="140"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40"/>
    <w:bookmarkStart w:id="143" w:name="beispiele-8"/>
    <w:p>
      <w:pPr>
        <w:pStyle w:val="berschrift4"/>
      </w:pPr>
      <w:r>
        <w:t xml:space="preserve">Beispiele</w:t>
      </w:r>
    </w:p>
    <w:bookmarkStart w:id="141" w:name="beispiel-preface-sr101-excerpt-1-1"/>
    <w:p>
      <w:pPr>
        <w:pStyle w:val="berschrift5"/>
      </w:pPr>
      <w:r>
        <w:t xml:space="preserve">Beispiel Preface: sr101 excerpt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p>
    <w:bookmarkEnd w:id="141"/>
    <w:bookmarkStart w:id="142" w:name="beispiel-preface-bgoe-excerpt-1-1"/>
    <w:p>
      <w:pPr>
        <w:pStyle w:val="berschrift5"/>
      </w:pPr>
      <w:r>
        <w:t xml:space="preserve">Beispiel Preface: bgoe excerpt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p>
    <w:bookmarkEnd w:id="142"/>
    <w:bookmarkEnd w:id="143"/>
    <w:bookmarkEnd w:id="144"/>
    <w:bookmarkStart w:id="154" w:name="klasse-prefacep"/>
    <w:p>
      <w:pPr>
        <w:pStyle w:val="berschrift3"/>
      </w:pPr>
      <w:r>
        <w:t xml:space="preserve">Klasse: PrefaceP</w:t>
      </w:r>
      <w:r>
        <w:t xml:space="preserve"> </w:t>
      </w:r>
      <w:bookmarkStart w:id="145" w:name="PrefaceP"/>
      <w:bookmarkEnd w:id="145"/>
    </w:p>
    <w:p>
      <w:pPr>
        <w:pStyle w:val="FirstParagraph"/>
      </w:pPr>
      <w:r>
        <w:rPr>
          <w:i/>
          <w:iCs/>
        </w:rPr>
        <w:t xml:space="preserve">Ein Vorspann-Absatz (akn:p), der Dokumentnummer und/oder -titel umschliesst. Fedlex verlangt akn:docNumber und akn:docTitle innerhalb eines akn:p des Vorspanns (FLX-PF-001/002).</w:t>
      </w:r>
    </w:p>
    <w:bookmarkStart w:id="147"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Start w:id="146"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05"/>
        </w:numPr>
      </w:pPr>
      <w:r>
        <w:t xml:space="preserve">doc_number</w:t>
      </w:r>
    </w:p>
    <w:p>
      <w:pPr>
        <w:pStyle w:val="Compact"/>
        <w:numPr>
          <w:ilvl w:val="0"/>
          <w:numId w:val="1005"/>
        </w:numPr>
      </w:pPr>
      <w:r>
        <w:t xml:space="preserve">doc_title</w:t>
      </w:r>
    </w:p>
    <w:p>
      <w:pPr>
        <w:pStyle w:val="Compact"/>
        <w:numPr>
          <w:ilvl w:val="0"/>
          <w:numId w:val="1005"/>
        </w:numPr>
      </w:pPr>
      <w:r>
        <w:t xml:space="preserve">inline_content</w:t>
      </w:r>
    </w:p>
    <w:bookmarkEnd w:id="146"/>
    <w:bookmarkEnd w:id="147"/>
    <w:bookmarkStart w:id="148"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48"/>
    <w:bookmarkStart w:id="153" w:name="beispiele-9"/>
    <w:p>
      <w:pPr>
        <w:pStyle w:val="berschrift4"/>
      </w:pPr>
      <w:r>
        <w:t xml:space="preserve">Beispiele</w:t>
      </w:r>
    </w:p>
    <w:bookmarkStart w:id="149" w:name="beispiel-prefacep-sr101-excerpt-1-1"/>
    <w:p>
      <w:pPr>
        <w:pStyle w:val="berschrift5"/>
      </w:pPr>
      <w:r>
        <w:t xml:space="preserve">Beispiel PrefaceP: sr101 excerpt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p>
    <w:bookmarkEnd w:id="149"/>
    <w:bookmarkStart w:id="150" w:name="beispiel-prefacep-sr101-excerpt-1-2"/>
    <w:p>
      <w:pPr>
        <w:pStyle w:val="berschrift5"/>
      </w:pPr>
      <w:r>
        <w:t xml:space="preserve">Beispiel PrefaceP: sr101 excerpt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p>
    <w:bookmarkEnd w:id="150"/>
    <w:bookmarkStart w:id="151" w:name="beispiel-prefacep-bgoe-excerpt-1-1"/>
    <w:p>
      <w:pPr>
        <w:pStyle w:val="berschrift5"/>
      </w:pPr>
      <w:r>
        <w:t xml:space="preserve">Beispiel PrefaceP: bgoe excerpt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p>
    <w:bookmarkEnd w:id="151"/>
    <w:bookmarkStart w:id="152" w:name="beispiel-prefacep-bgoe-excerpt-1-2"/>
    <w:p>
      <w:pPr>
        <w:pStyle w:val="berschrift5"/>
      </w:pPr>
      <w:r>
        <w:t xml:space="preserve">Beispiel PrefaceP: bgoe excerpt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p>
    <w:bookmarkEnd w:id="152"/>
    <w:bookmarkEnd w:id="153"/>
    <w:bookmarkEnd w:id="154"/>
    <w:bookmarkStart w:id="158" w:name="klasse-preamble"/>
    <w:p>
      <w:pPr>
        <w:pStyle w:val="berschrift3"/>
      </w:pPr>
      <w:r>
        <w:t xml:space="preserve">Klasse: Preamble</w:t>
      </w:r>
      <w:r>
        <w:t xml:space="preserve"> </w:t>
      </w:r>
      <w:bookmarkStart w:id="155" w:name="Preamble"/>
      <w:bookmarkEnd w:id="155"/>
    </w:p>
    <w:p>
      <w:pPr>
        <w:pStyle w:val="FirstParagraph"/>
      </w:pPr>
      <w:r>
        <w:rPr>
          <w:i/>
          <w:iCs/>
        </w:rPr>
        <w:t xml:space="preserve">Die Präambel des Erlasses (akn:preamble) mit einleitenden Fliesstext-Absätzen vor dem Hauptteil.</w:t>
      </w:r>
    </w:p>
    <w:bookmarkStart w:id="1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56"/>
    <w:bookmarkStart w:id="15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57"/>
    <w:bookmarkEnd w:id="158"/>
    <w:bookmarkEnd w:id="159"/>
    <w:bookmarkStart w:id="198"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63" w:name="klasse-actbody"/>
    <w:p>
      <w:pPr>
        <w:pStyle w:val="berschrift3"/>
      </w:pPr>
      <w:r>
        <w:t xml:space="preserve">Klasse: ActBody</w:t>
      </w:r>
      <w:r>
        <w:t xml:space="preserve"> </w:t>
      </w:r>
      <w:bookmarkStart w:id="160" w:name="ActBody"/>
      <w:bookmarkEnd w:id="160"/>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61"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61"/>
    <w:bookmarkStart w:id="162"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62"/>
    <w:bookmarkEnd w:id="163"/>
    <w:bookmarkStart w:id="167" w:name="klasse-book"/>
    <w:p>
      <w:pPr>
        <w:pStyle w:val="berschrift3"/>
      </w:pPr>
      <w:r>
        <w:t xml:space="preserve">Klasse: Book</w:t>
      </w:r>
      <w:r>
        <w:t xml:space="preserve"> </w:t>
      </w:r>
      <w:bookmarkStart w:id="164" w:name="Book"/>
      <w:bookmarkEnd w:id="164"/>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6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65"/>
    <w:bookmarkStart w:id="166"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66"/>
    <w:bookmarkEnd w:id="167"/>
    <w:bookmarkStart w:id="173" w:name="klasse-title"/>
    <w:p>
      <w:pPr>
        <w:pStyle w:val="berschrift3"/>
      </w:pPr>
      <w:r>
        <w:t xml:space="preserve">Klasse: Title</w:t>
      </w:r>
      <w:r>
        <w:t xml:space="preserve"> </w:t>
      </w:r>
      <w:bookmarkStart w:id="168" w:name="Title"/>
      <w:bookmarkEnd w:id="168"/>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69"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69"/>
    <w:bookmarkStart w:id="170"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70"/>
    <w:bookmarkStart w:id="172" w:name="beispiele-10"/>
    <w:p>
      <w:pPr>
        <w:pStyle w:val="berschrift4"/>
      </w:pPr>
      <w:r>
        <w:t xml:space="preserve">Beispiele</w:t>
      </w:r>
    </w:p>
    <w:bookmarkStart w:id="171" w:name="X357fa987aefb477cdea216547c7869811e0cfe2"/>
    <w:p>
      <w:pPr>
        <w:pStyle w:val="berschrift5"/>
      </w:pPr>
      <w:r>
        <w:t xml:space="preserve">Beispiel Title: Titel mit Nummer, Überschrift und Artikeln</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w:t>
      </w:r>
      <w:r>
        <w:br/>
      </w:r>
      <w:r>
        <w:rPr>
          <w:rStyle w:val="NormalTok"/>
        </w:rPr>
        <w:t xml:space="preserve">              Obwalden und Nidwalden, Glarus, Zug, Freiburg, Solothurn, Basel-Stadt</w:t>
      </w:r>
      <w:r>
        <w:br/>
      </w:r>
      <w:r>
        <w:rPr>
          <w:rStyle w:val="NormalTok"/>
        </w:rPr>
        <w:t xml:space="preserve">              und Basel-Landschaft, Schaffhausen, Appenzell Ausserrhoden und Appenzell</w:t>
      </w:r>
      <w:r>
        <w:br/>
      </w:r>
      <w:r>
        <w:rPr>
          <w:rStyle w:val="NormalTok"/>
        </w:rPr>
        <w:t xml:space="preserve">              Innerrhoden, St. Gallen, Graubünden, Aargau, Thurgau, Tessin, Waadt,</w:t>
      </w:r>
      <w:r>
        <w:br/>
      </w:r>
      <w:r>
        <w:rPr>
          <w:rStyle w:val="NormalTok"/>
        </w:rPr>
        <w:t xml:space="preserve">              Wallis, Neuenburg, Genf und Jura bilden die Schweizerische Eidgenossenschaft.</w:t>
      </w:r>
    </w:p>
    <w:bookmarkEnd w:id="171"/>
    <w:bookmarkEnd w:id="172"/>
    <w:bookmarkEnd w:id="173"/>
    <w:bookmarkStart w:id="177" w:name="klasse-part"/>
    <w:p>
      <w:pPr>
        <w:pStyle w:val="berschrift3"/>
      </w:pPr>
      <w:r>
        <w:t xml:space="preserve">Klasse: Part</w:t>
      </w:r>
      <w:r>
        <w:t xml:space="preserve"> </w:t>
      </w:r>
      <w:bookmarkStart w:id="174" w:name="Part"/>
      <w:bookmarkEnd w:id="174"/>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75"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75"/>
    <w:bookmarkStart w:id="176"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76"/>
    <w:bookmarkEnd w:id="177"/>
    <w:bookmarkStart w:id="181" w:name="klasse-chapter"/>
    <w:p>
      <w:pPr>
        <w:pStyle w:val="berschrift3"/>
      </w:pPr>
      <w:r>
        <w:t xml:space="preserve">Klasse: Chapter</w:t>
      </w:r>
      <w:r>
        <w:t xml:space="preserve"> </w:t>
      </w:r>
      <w:bookmarkStart w:id="178" w:name="Chapter"/>
      <w:bookmarkEnd w:id="178"/>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79"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79"/>
    <w:bookmarkStart w:id="180"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80"/>
    <w:bookmarkEnd w:id="181"/>
    <w:bookmarkStart w:id="185" w:name="klasse-subchapter"/>
    <w:p>
      <w:pPr>
        <w:pStyle w:val="berschrift3"/>
      </w:pPr>
      <w:r>
        <w:t xml:space="preserve">Klasse: Subchapter</w:t>
      </w:r>
      <w:r>
        <w:t xml:space="preserve"> </w:t>
      </w:r>
      <w:bookmarkStart w:id="182" w:name="Subchapter"/>
      <w:bookmarkEnd w:id="182"/>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8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83"/>
    <w:bookmarkStart w:id="184"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84"/>
    <w:bookmarkEnd w:id="185"/>
    <w:bookmarkStart w:id="189" w:name="klasse-section"/>
    <w:p>
      <w:pPr>
        <w:pStyle w:val="berschrift3"/>
      </w:pPr>
      <w:r>
        <w:t xml:space="preserve">Klasse: Section</w:t>
      </w:r>
      <w:r>
        <w:t xml:space="preserve"> </w:t>
      </w:r>
      <w:bookmarkStart w:id="186" w:name="Section"/>
      <w:bookmarkEnd w:id="186"/>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8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87"/>
    <w:bookmarkStart w:id="188"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88"/>
    <w:bookmarkEnd w:id="189"/>
    <w:bookmarkStart w:id="193" w:name="klasse-subsection"/>
    <w:p>
      <w:pPr>
        <w:pStyle w:val="berschrift3"/>
      </w:pPr>
      <w:r>
        <w:t xml:space="preserve">Klasse: Subsection</w:t>
      </w:r>
      <w:r>
        <w:t xml:space="preserve"> </w:t>
      </w:r>
      <w:bookmarkStart w:id="190" w:name="Subsection"/>
      <w:bookmarkEnd w:id="190"/>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9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1"/>
    <w:bookmarkStart w:id="192"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92"/>
    <w:bookmarkEnd w:id="193"/>
    <w:bookmarkStart w:id="197" w:name="klasse-level"/>
    <w:p>
      <w:pPr>
        <w:pStyle w:val="berschrift3"/>
      </w:pPr>
      <w:r>
        <w:t xml:space="preserve">Klasse: Level</w:t>
      </w:r>
      <w:r>
        <w:t xml:space="preserve"> </w:t>
      </w:r>
      <w:bookmarkStart w:id="194" w:name="Level"/>
      <w:bookmarkEnd w:id="194"/>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9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5"/>
    <w:bookmarkStart w:id="196"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96"/>
    <w:bookmarkEnd w:id="197"/>
    <w:bookmarkEnd w:id="198"/>
    <w:bookmarkStart w:id="225" w:name="artikel-und-absätze"/>
    <w:p>
      <w:pPr>
        <w:pStyle w:val="berschrift2"/>
      </w:pPr>
      <w:r>
        <w:t xml:space="preserve">Artikel und Absätze</w:t>
      </w:r>
    </w:p>
    <w:bookmarkStart w:id="205" w:name="klasse-article"/>
    <w:p>
      <w:pPr>
        <w:pStyle w:val="berschrift3"/>
      </w:pPr>
      <w:r>
        <w:t xml:space="preserve">Klasse: Article</w:t>
      </w:r>
      <w:r>
        <w:t xml:space="preserve"> </w:t>
      </w:r>
      <w:bookmarkStart w:id="199" w:name="Article"/>
      <w:bookmarkEnd w:id="199"/>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0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00"/>
    <w:bookmarkStart w:id="201"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01"/>
    <w:bookmarkStart w:id="204" w:name="beispiele-11"/>
    <w:p>
      <w:pPr>
        <w:pStyle w:val="berschrift4"/>
      </w:pPr>
      <w:r>
        <w:t xml:space="preserve">Beispiele</w:t>
      </w:r>
    </w:p>
    <w:bookmarkStart w:id="202" w:name="Xacd7602e878522376e9be9796d8e116068f8e3a"/>
    <w:p>
      <w:pPr>
        <w:pStyle w:val="berschrift5"/>
      </w:pPr>
      <w:r>
        <w:t xml:space="preserve">Beispiel Article: Artikel mit fett ausgezeichneter Nummer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w:t>
      </w:r>
      <w:r>
        <w:br/>
      </w:r>
      <w:r>
        <w:rPr>
          <w:rStyle w:val="NormalTok"/>
        </w:rPr>
        <w:t xml:space="preserve">            Jura bilden die Schweizerische Eidgenossenschaft.</w:t>
      </w:r>
    </w:p>
    <w:bookmarkEnd w:id="202"/>
    <w:bookmarkStart w:id="203"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Persönlicher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w:t>
      </w:r>
      <w:r>
        <w:br/>
      </w:r>
      <w:r>
        <w:rPr>
          <w:rStyle w:val="NormalTok"/>
        </w:rPr>
        <w:t xml:space="preserve">                die nicht der Bundesverwaltung angehören, soweit sie Erlasse oder</w:t>
      </w:r>
      <w:r>
        <w:br/>
      </w:r>
      <w:r>
        <w:rPr>
          <w:rStyle w:val="NormalTok"/>
        </w:rPr>
        <w:t xml:space="preserve">                erstinstanzliche Verfügungen im Sinne von Artikel 5 des Bundesgesetzes</w:t>
      </w:r>
      <w:r>
        <w:br/>
      </w:r>
      <w:r>
        <w:rPr>
          <w:rStyle w:val="NormalTok"/>
        </w:rPr>
        <w:t xml:space="preserve">                vom 20. Dezember 1968 über das Verwaltungsverfahren erlassen;</w:t>
      </w:r>
    </w:p>
    <w:bookmarkEnd w:id="203"/>
    <w:bookmarkEnd w:id="204"/>
    <w:bookmarkEnd w:id="205"/>
    <w:bookmarkStart w:id="209" w:name="klasse-subdivision"/>
    <w:p>
      <w:pPr>
        <w:pStyle w:val="berschrift3"/>
      </w:pPr>
      <w:r>
        <w:t xml:space="preserve">Klasse: Subdivision</w:t>
      </w:r>
      <w:r>
        <w:t xml:space="preserve"> </w:t>
      </w:r>
      <w:bookmarkStart w:id="206" w:name="Subdivision"/>
      <w:bookmarkEnd w:id="206"/>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20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207"/>
    <w:bookmarkStart w:id="208"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208"/>
    <w:bookmarkEnd w:id="209"/>
    <w:bookmarkStart w:id="216" w:name="klasse-paragraph"/>
    <w:p>
      <w:pPr>
        <w:pStyle w:val="berschrift3"/>
      </w:pPr>
      <w:r>
        <w:t xml:space="preserve">Klasse: Paragraph</w:t>
      </w:r>
      <w:r>
        <w:t xml:space="preserve"> </w:t>
      </w:r>
      <w:bookmarkStart w:id="210" w:name="Paragraph"/>
      <w:bookmarkEnd w:id="210"/>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21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211"/>
    <w:bookmarkStart w:id="212"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212"/>
    <w:bookmarkStart w:id="215" w:name="beispiele-12"/>
    <w:p>
      <w:pPr>
        <w:pStyle w:val="berschrift4"/>
      </w:pPr>
      <w:r>
        <w:t xml:space="preserve">Beispiele</w:t>
      </w:r>
    </w:p>
    <w:bookmarkStart w:id="213" w:name="Xf971cfb012dd39e1a44bc98d719375e9ef673b5"/>
    <w:p>
      <w:pPr>
        <w:pStyle w:val="berschrift5"/>
      </w:pPr>
      <w:r>
        <w:t xml:space="preserve">Beispiel Paragraph: Absatz mit Aufzählung statt Fliesstext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 die</w:t>
      </w:r>
      <w:r>
        <w:br/>
      </w:r>
      <w:r>
        <w:rPr>
          <w:rStyle w:val="NormalTok"/>
        </w:rPr>
        <w:t xml:space="preserve">              nicht der Bundesverwaltung angehören, soweit sie Erlasse oder erstinstanzliche</w:t>
      </w:r>
      <w:r>
        <w:br/>
      </w:r>
      <w:r>
        <w:rPr>
          <w:rStyle w:val="NormalTok"/>
        </w:rPr>
        <w:t xml:space="preserve">              Verfügungen im Sinne von Artikel 5 des Bundesgesetzes vom 20. Dezember</w:t>
      </w:r>
      <w:r>
        <w:br/>
      </w:r>
      <w:r>
        <w:rPr>
          <w:rStyle w:val="NormalTok"/>
        </w:rPr>
        <w:t xml:space="preserve">              1968 über das Verwaltungsverfahren erlassen;</w:t>
      </w:r>
    </w:p>
    <w:bookmarkEnd w:id="213"/>
    <w:bookmarkStart w:id="214"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w:t>
      </w:r>
      <w:r>
        <w:br/>
      </w:r>
      <w:r>
        <w:rPr>
          <w:rStyle w:val="NormalTok"/>
        </w:rPr>
        <w:t xml:space="preserve">          Jura bilden die Schweizerische Eidgenossenschaft.</w:t>
      </w:r>
    </w:p>
    <w:bookmarkEnd w:id="214"/>
    <w:bookmarkEnd w:id="215"/>
    <w:bookmarkEnd w:id="216"/>
    <w:bookmarkStart w:id="220" w:name="klasse-transitional"/>
    <w:p>
      <w:pPr>
        <w:pStyle w:val="berschrift3"/>
      </w:pPr>
      <w:r>
        <w:t xml:space="preserve">Klasse: Transitional</w:t>
      </w:r>
      <w:r>
        <w:t xml:space="preserve"> </w:t>
      </w:r>
      <w:bookmarkStart w:id="217" w:name="Transitional"/>
      <w:bookmarkEnd w:id="217"/>
    </w:p>
    <w:p>
      <w:pPr>
        <w:pStyle w:val="FirstParagraph"/>
      </w:pPr>
      <w:r>
        <w:rPr>
          <w:i/>
          <w:iCs/>
        </w:rPr>
        <w:t xml:space="preserve">Eine Übergangsbestimmung im Hauptteil eines Erlasses (akn:transitional). Als Hauptteil-Element auf oberster Ebene erlaubt (FLX-BD-001). Struktur wie Artikel.</w:t>
      </w:r>
    </w:p>
    <w:bookmarkStart w:id="21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18"/>
    <w:bookmarkStart w:id="219"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219"/>
    <w:bookmarkEnd w:id="220"/>
    <w:bookmarkStart w:id="224" w:name="klasse-proviso"/>
    <w:p>
      <w:pPr>
        <w:pStyle w:val="berschrift3"/>
      </w:pPr>
      <w:r>
        <w:t xml:space="preserve">Klasse: Proviso</w:t>
      </w:r>
      <w:r>
        <w:t xml:space="preserve"> </w:t>
      </w:r>
      <w:bookmarkStart w:id="221" w:name="Proviso"/>
      <w:bookmarkEnd w:id="221"/>
    </w:p>
    <w:p>
      <w:pPr>
        <w:pStyle w:val="FirstParagraph"/>
      </w:pPr>
      <w:r>
        <w:rPr>
          <w:i/>
          <w:iCs/>
        </w:rPr>
        <w:t xml:space="preserve">Ein Vorbehalt im Hauptteil eines Erlasses (akn:proviso). Als Hauptteil-Element auf oberster Ebene erlaubt (FLX-BD-001). Erscheint typischerweise nach den Hauptartikeln.</w:t>
      </w:r>
    </w:p>
    <w:bookmarkStart w:id="222"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22"/>
    <w:bookmarkStart w:id="223"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223"/>
    <w:bookmarkEnd w:id="224"/>
    <w:bookmarkEnd w:id="225"/>
    <w:bookmarkStart w:id="260" w:name="blockinhalte"/>
    <w:p>
      <w:pPr>
        <w:pStyle w:val="berschrift2"/>
      </w:pPr>
      <w:r>
        <w:t xml:space="preserve">Blockinhalte</w:t>
      </w:r>
    </w:p>
    <w:p>
      <w:pPr>
        <w:pStyle w:val="FirstParagraph"/>
      </w:pPr>
      <w:r>
        <w:t xml:space="preserve">Auf der untersten Ebene stehen die Inhaltsblöcke: Absätze, Listen und Tabellen.</w:t>
      </w:r>
    </w:p>
    <w:bookmarkStart w:id="232" w:name="klasse-content"/>
    <w:p>
      <w:pPr>
        <w:pStyle w:val="berschrift3"/>
      </w:pPr>
      <w:r>
        <w:t xml:space="preserve">Klasse: Content</w:t>
      </w:r>
      <w:r>
        <w:t xml:space="preserve"> </w:t>
      </w:r>
      <w:bookmarkStart w:id="226" w:name="Content"/>
      <w:bookmarkEnd w:id="226"/>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227"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227"/>
    <w:bookmarkStart w:id="228"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228"/>
    <w:bookmarkStart w:id="231" w:name="beispiele-13"/>
    <w:p>
      <w:pPr>
        <w:pStyle w:val="berschrift4"/>
      </w:pPr>
      <w:r>
        <w:t xml:space="preserve">Beispiele</w:t>
      </w:r>
    </w:p>
    <w:bookmarkStart w:id="229" w:name="beispiel-content-bgoe-excerpt-1-1"/>
    <w:p>
      <w:pPr>
        <w:pStyle w:val="berschrift5"/>
      </w:pPr>
      <w:r>
        <w:t xml:space="preserve">Beispiel Content: bgoe excerpt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 die</w:t>
      </w:r>
      <w:r>
        <w:br/>
      </w:r>
      <w:r>
        <w:rPr>
          <w:rStyle w:val="NormalTok"/>
        </w:rPr>
        <w:t xml:space="preserve">            nicht der Bundesverwaltung angehören, soweit sie Erlasse oder erstinstanzliche</w:t>
      </w:r>
      <w:r>
        <w:br/>
      </w:r>
      <w:r>
        <w:rPr>
          <w:rStyle w:val="NormalTok"/>
        </w:rPr>
        <w:t xml:space="preserve">            Verfügungen im Sinne von Artikel 5 des Bundesgesetzes vom 20. Dezember</w:t>
      </w:r>
      <w:r>
        <w:br/>
      </w:r>
      <w:r>
        <w:rPr>
          <w:rStyle w:val="NormalTok"/>
        </w:rPr>
        <w:t xml:space="preserve">            1968 über das Verwaltungsverfahren erlassen;</w:t>
      </w:r>
    </w:p>
    <w:bookmarkEnd w:id="229"/>
    <w:bookmarkStart w:id="230" w:name="beispiel-content-sr101-excerpt-1-1"/>
    <w:p>
      <w:pPr>
        <w:pStyle w:val="berschrift5"/>
      </w:pPr>
      <w:r>
        <w:t xml:space="preserve">Beispiel Content: sr101 excerpt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 Jura</w:t>
      </w:r>
      <w:r>
        <w:br/>
      </w:r>
      <w:r>
        <w:rPr>
          <w:rStyle w:val="NormalTok"/>
        </w:rPr>
        <w:t xml:space="preserve">        bilden die Schweizerische Eidgenossenschaft.</w:t>
      </w:r>
    </w:p>
    <w:bookmarkEnd w:id="230"/>
    <w:bookmarkEnd w:id="231"/>
    <w:bookmarkEnd w:id="232"/>
    <w:bookmarkStart w:id="239" w:name="klasse-blockparagraph"/>
    <w:p>
      <w:pPr>
        <w:pStyle w:val="berschrift3"/>
      </w:pPr>
      <w:r>
        <w:t xml:space="preserve">Klasse: BlockParagraph</w:t>
      </w:r>
      <w:r>
        <w:t xml:space="preserve"> </w:t>
      </w:r>
      <w:bookmarkStart w:id="233" w:name="BlockParagraph"/>
      <w:bookmarkEnd w:id="233"/>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234"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234"/>
    <w:bookmarkStart w:id="235"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235"/>
    <w:bookmarkStart w:id="238" w:name="beispiele-14"/>
    <w:p>
      <w:pPr>
        <w:pStyle w:val="berschrift4"/>
      </w:pPr>
      <w:r>
        <w:t xml:space="preserve">Beispiele</w:t>
      </w:r>
    </w:p>
    <w:bookmarkStart w:id="236" w:name="beispiel-blockparagraph-bgoe-excerpt-1-1"/>
    <w:p>
      <w:pPr>
        <w:pStyle w:val="berschrift5"/>
      </w:pPr>
      <w:r>
        <w:t xml:space="preserve">Beispiel BlockParagraph: bgoe excerpt 1 1</w:t>
      </w:r>
    </w:p>
    <w:p>
      <w:pPr>
        <w:pStyle w:val="SourceCode"/>
      </w:pPr>
      <w:r>
        <w:rPr>
          <w:rStyle w:val="FunctionTok"/>
        </w:rPr>
        <w:t xml:space="preserve">block_paragraphs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Dieses Gesetz soll die Transparenz über den Auftrag, die Organisation und die</w:t>
      </w:r>
      <w:r>
        <w:br/>
      </w:r>
      <w:r>
        <w:rPr>
          <w:rStyle w:val="NormalTok"/>
        </w:rPr>
        <w:t xml:space="preserve">      Tätigkeit der Verwaltung fördern. Zu diesem Zweck trägt es zur Information der</w:t>
      </w:r>
      <w:r>
        <w:br/>
      </w:r>
      <w:r>
        <w:rPr>
          <w:rStyle w:val="NormalTok"/>
        </w:rPr>
        <w:t xml:space="preserve">      Öffentlichkeit bei, indem es den Zugang zu amtlichen Dokumenten gewährleistet.</w:t>
      </w:r>
    </w:p>
    <w:bookmarkEnd w:id="236"/>
    <w:bookmarkStart w:id="237" w:name="X1cf3e673e48d4080cbf9662d9dc22f8332b4471"/>
    <w:p>
      <w:pPr>
        <w:pStyle w:val="berschrift5"/>
      </w:pPr>
      <w:r>
        <w:t xml:space="preserve">Beispiel BlockParagraph: sr101 excerpt 1 1</w:t>
      </w:r>
    </w:p>
    <w:p>
      <w:pPr>
        <w:pStyle w:val="SourceCode"/>
      </w:pPr>
      <w:r>
        <w:rPr>
          <w:rStyle w:val="FunctionTok"/>
        </w:rPr>
        <w:t xml:space="preserve">block_paragraphs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 Jura</w:t>
      </w:r>
      <w:r>
        <w:br/>
      </w:r>
      <w:r>
        <w:rPr>
          <w:rStyle w:val="NormalTok"/>
        </w:rPr>
        <w:t xml:space="preserve">      bilden die Schweizerische Eidgenossenschaft.</w:t>
      </w:r>
    </w:p>
    <w:bookmarkEnd w:id="237"/>
    <w:bookmarkEnd w:id="238"/>
    <w:bookmarkEnd w:id="239"/>
    <w:bookmarkStart w:id="243" w:name="klasse-blocklist"/>
    <w:p>
      <w:pPr>
        <w:pStyle w:val="berschrift3"/>
      </w:pPr>
      <w:r>
        <w:t xml:space="preserve">Klasse: BlockList</w:t>
      </w:r>
      <w:r>
        <w:t xml:space="preserve"> </w:t>
      </w:r>
      <w:bookmarkStart w:id="240" w:name="BlockList"/>
      <w:bookmarkEnd w:id="240"/>
    </w:p>
    <w:p>
      <w:pPr>
        <w:pStyle w:val="FirstParagraph"/>
      </w:pPr>
      <w:r>
        <w:rPr>
          <w:i/>
          <w:iCs/>
        </w:rPr>
        <w:t xml:space="preserve">Eine Auflistung von nummerierten oder buchstabierten Punkten (akn:blockList), optional eingeleitet durch ein akn:listIntroduction-Element.</w:t>
      </w:r>
    </w:p>
    <w:bookmarkStart w:id="24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241"/>
    <w:bookmarkStart w:id="24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242"/>
    <w:bookmarkEnd w:id="243"/>
    <w:bookmarkStart w:id="247" w:name="klasse-blocklistitem"/>
    <w:p>
      <w:pPr>
        <w:pStyle w:val="berschrift3"/>
      </w:pPr>
      <w:r>
        <w:t xml:space="preserve">Klasse: BlockListItem</w:t>
      </w:r>
      <w:r>
        <w:t xml:space="preserve"> </w:t>
      </w:r>
      <w:bookmarkStart w:id="244" w:name="BlockListItem"/>
      <w:bookmarkEnd w:id="244"/>
    </w:p>
    <w:p>
      <w:pPr>
        <w:pStyle w:val="FirstParagraph"/>
      </w:pPr>
      <w:r>
        <w:rPr>
          <w:i/>
          <w:iCs/>
        </w:rPr>
        <w:t xml:space="preserve">Ein einzelner Punkt in einer Auflistung (akn:item). Trägt ein num-Label und Block-Inhalt direkt: Fliesstext-Absätze (akn:p) und optional verschachtelte Listen.</w:t>
      </w:r>
    </w:p>
    <w:bookmarkStart w:id="24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245"/>
    <w:bookmarkStart w:id="24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246"/>
    <w:bookmarkEnd w:id="247"/>
    <w:bookmarkStart w:id="251" w:name="klasse-table"/>
    <w:p>
      <w:pPr>
        <w:pStyle w:val="berschrift3"/>
      </w:pPr>
      <w:r>
        <w:t xml:space="preserve">Klasse: Table</w:t>
      </w:r>
      <w:r>
        <w:t xml:space="preserve"> </w:t>
      </w:r>
      <w:bookmarkStart w:id="248" w:name="Table"/>
      <w:bookmarkEnd w:id="248"/>
    </w:p>
    <w:p>
      <w:pPr>
        <w:pStyle w:val="FirstParagraph"/>
      </w:pPr>
      <w:r>
        <w:rPr>
          <w:i/>
          <w:iCs/>
        </w:rPr>
        <w:t xml:space="preserve">Ein Tabellen-Element innerhalb von Content (akn:table). Enthält Zeilen (akn:tr) mit Zellen (akn:td). Entspricht dem HTML-Tabellenmodell.</w:t>
      </w:r>
    </w:p>
    <w:bookmarkStart w:id="24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249"/>
    <w:bookmarkStart w:id="25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250"/>
    <w:bookmarkEnd w:id="251"/>
    <w:bookmarkStart w:id="255" w:name="klasse-tablerow"/>
    <w:p>
      <w:pPr>
        <w:pStyle w:val="berschrift3"/>
      </w:pPr>
      <w:r>
        <w:t xml:space="preserve">Klasse: TableRow</w:t>
      </w:r>
      <w:r>
        <w:t xml:space="preserve"> </w:t>
      </w:r>
      <w:bookmarkStart w:id="252" w:name="TableRow"/>
      <w:bookmarkEnd w:id="252"/>
    </w:p>
    <w:p>
      <w:pPr>
        <w:pStyle w:val="FirstParagraph"/>
      </w:pPr>
      <w:r>
        <w:rPr>
          <w:i/>
          <w:iCs/>
        </w:rPr>
        <w:t xml:space="preserve">Eine Zeile in einer AkomaNtoso-Tabelle (akn:tr).</w:t>
      </w:r>
    </w:p>
    <w:bookmarkStart w:id="25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253"/>
    <w:bookmarkStart w:id="25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254"/>
    <w:bookmarkEnd w:id="255"/>
    <w:bookmarkStart w:id="259" w:name="klasse-tablecell"/>
    <w:p>
      <w:pPr>
        <w:pStyle w:val="berschrift3"/>
      </w:pPr>
      <w:r>
        <w:t xml:space="preserve">Klasse: TableCell</w:t>
      </w:r>
      <w:r>
        <w:t xml:space="preserve"> </w:t>
      </w:r>
      <w:bookmarkStart w:id="256" w:name="TableCell"/>
      <w:bookmarkEnd w:id="256"/>
    </w:p>
    <w:p>
      <w:pPr>
        <w:pStyle w:val="FirstParagraph"/>
      </w:pPr>
      <w:r>
        <w:rPr>
          <w:i/>
          <w:iCs/>
        </w:rPr>
        <w:t xml:space="preserve">Eine Zelle in einer Tabellenzeile (akn:td). Enthält Block-Inhalt: Fliesstext-Absätze (akn:p) und Auflistungen (akn:blockList).</w:t>
      </w:r>
    </w:p>
    <w:bookmarkStart w:id="25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257"/>
    <w:bookmarkStart w:id="25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258"/>
    <w:p>
      <w:r>
        <w:br w:type="page"/>
      </w:r>
    </w:p>
    <w:bookmarkEnd w:id="259"/>
    <w:bookmarkEnd w:id="260"/>
    <w:bookmarkEnd w:id="261"/>
    <w:bookmarkStart w:id="30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65" w:name="klasse-mixedtext"/>
    <w:p>
      <w:pPr>
        <w:pStyle w:val="berschrift3"/>
      </w:pPr>
      <w:r>
        <w:t xml:space="preserve">Klasse: MixedText</w:t>
      </w:r>
      <w:r>
        <w:t xml:space="preserve"> </w:t>
      </w:r>
      <w:bookmarkStart w:id="262" w:name="MixedText"/>
      <w:bookmarkEnd w:id="26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6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63"/>
    <w:bookmarkStart w:id="26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64"/>
    <w:bookmarkEnd w:id="265"/>
    <w:bookmarkStart w:id="269" w:name="klasse-inlineelement"/>
    <w:p>
      <w:pPr>
        <w:pStyle w:val="berschrift3"/>
      </w:pPr>
      <w:r>
        <w:t xml:space="preserve">Klasse: InlineElement</w:t>
      </w:r>
      <w:r>
        <w:t xml:space="preserve"> </w:t>
      </w:r>
      <w:bookmarkStart w:id="266" w:name="InlineElement"/>
      <w:bookmarkEnd w:id="266"/>
    </w:p>
    <w:p>
      <w:pPr>
        <w:pStyle w:val="FirstParagraph"/>
      </w:pPr>
      <w:r>
        <w:rPr>
          <w:i/>
          <w:iCs/>
        </w:rPr>
        <w:t xml:space="preserve">Abstrakte Basis für ein modelliertes Inline-Markup-Element in gemischtem Inhalt.</w:t>
      </w:r>
    </w:p>
    <w:bookmarkStart w:id="26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67"/>
    <w:bookmarkStart w:id="26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bl>
    <w:bookmarkEnd w:id="268"/>
    <w:bookmarkEnd w:id="269"/>
    <w:bookmarkStart w:id="272" w:name="klasse-textrun"/>
    <w:p>
      <w:pPr>
        <w:pStyle w:val="berschrift3"/>
      </w:pPr>
      <w:r>
        <w:t xml:space="preserve">Klasse: TextRun</w:t>
      </w:r>
      <w:r>
        <w:t xml:space="preserve"> </w:t>
      </w:r>
      <w:bookmarkStart w:id="270" w:name="TextRun"/>
      <w:bookmarkEnd w:id="270"/>
    </w:p>
    <w:p>
      <w:pPr>
        <w:pStyle w:val="FirstParagraph"/>
      </w:pPr>
      <w:r>
        <w:rPr>
          <w:i/>
          <w:iCs/>
        </w:rPr>
        <w:t xml:space="preserve">Ein einfacher Textabschnitt in gemischtem Inhalt. Wird als Textknoten eines mixed-complexType ausgegeben, nicht als Element.</w:t>
      </w:r>
    </w:p>
    <w:bookmarkStart w:id="27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71"/>
    <w:bookmarkEnd w:id="272"/>
    <w:bookmarkStart w:id="275" w:name="klasse-ref"/>
    <w:p>
      <w:pPr>
        <w:pStyle w:val="berschrift3"/>
      </w:pPr>
      <w:r>
        <w:t xml:space="preserve">Klasse: Ref</w:t>
      </w:r>
      <w:r>
        <w:t xml:space="preserve"> </w:t>
      </w:r>
      <w:bookmarkStart w:id="273" w:name="Ref"/>
      <w:bookmarkEnd w:id="27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7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74"/>
    <w:bookmarkEnd w:id="275"/>
    <w:bookmarkStart w:id="278" w:name="klasse-authorialnote"/>
    <w:p>
      <w:pPr>
        <w:pStyle w:val="berschrift3"/>
      </w:pPr>
      <w:r>
        <w:t xml:space="preserve">Klasse: AuthorialNote</w:t>
      </w:r>
      <w:r>
        <w:t xml:space="preserve"> </w:t>
      </w:r>
      <w:bookmarkStart w:id="276" w:name="AuthorialNote"/>
      <w:bookmarkEnd w:id="276"/>
    </w:p>
    <w:p>
      <w:pPr>
        <w:pStyle w:val="FirstParagraph"/>
      </w:pPr>
      <w:r>
        <w:rPr>
          <w:i/>
          <w:iCs/>
        </w:rPr>
        <w:t xml:space="preserve">Eine Fussnote des Autors (akn:authorialNote). Rekursiv in Block-Inhalt: enthält ein oder mehrere akn:p-Absätze, die selbst Inline-Inhalt tragen.</w:t>
      </w:r>
    </w:p>
    <w:bookmarkStart w:id="27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77"/>
    <w:bookmarkEnd w:id="278"/>
    <w:bookmarkStart w:id="281" w:name="klasse-inline"/>
    <w:p>
      <w:pPr>
        <w:pStyle w:val="berschrift3"/>
      </w:pPr>
      <w:r>
        <w:t xml:space="preserve">Klasse: Inline</w:t>
      </w:r>
      <w:r>
        <w:t xml:space="preserve"> </w:t>
      </w:r>
      <w:bookmarkStart w:id="279" w:name="Inline"/>
      <w:bookmarkEnd w:id="27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8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80"/>
    <w:bookmarkEnd w:id="281"/>
    <w:bookmarkStart w:id="284" w:name="klasse-placeholder"/>
    <w:p>
      <w:pPr>
        <w:pStyle w:val="berschrift3"/>
      </w:pPr>
      <w:r>
        <w:t xml:space="preserve">Klasse: Placeholder</w:t>
      </w:r>
      <w:r>
        <w:t xml:space="preserve"> </w:t>
      </w:r>
      <w:bookmarkStart w:id="282" w:name="Placeholder"/>
      <w:bookmarkEnd w:id="28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8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83"/>
    <w:bookmarkEnd w:id="284"/>
    <w:bookmarkStart w:id="287" w:name="klasse-span"/>
    <w:p>
      <w:pPr>
        <w:pStyle w:val="berschrift3"/>
      </w:pPr>
      <w:r>
        <w:t xml:space="preserve">Klasse: Span</w:t>
      </w:r>
      <w:r>
        <w:t xml:space="preserve"> </w:t>
      </w:r>
      <w:bookmarkStart w:id="285" w:name="Span"/>
      <w:bookmarkEnd w:id="285"/>
    </w:p>
    <w:p>
      <w:pPr>
        <w:pStyle w:val="FirstParagraph"/>
      </w:pPr>
      <w:r>
        <w:rPr>
          <w:i/>
          <w:iCs/>
        </w:rPr>
        <w:t xml:space="preserve">Generischer Inline-Bereich (akn:span).</w:t>
      </w:r>
    </w:p>
    <w:bookmarkStart w:id="28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86"/>
    <w:bookmarkEnd w:id="287"/>
    <w:bookmarkStart w:id="290" w:name="klasse-b"/>
    <w:p>
      <w:pPr>
        <w:pStyle w:val="berschrift3"/>
      </w:pPr>
      <w:r>
        <w:t xml:space="preserve">Klasse: B</w:t>
      </w:r>
      <w:r>
        <w:t xml:space="preserve"> </w:t>
      </w:r>
      <w:bookmarkStart w:id="288" w:name="B"/>
      <w:bookmarkEnd w:id="288"/>
    </w:p>
    <w:p>
      <w:pPr>
        <w:pStyle w:val="FirstParagraph"/>
      </w:pPr>
      <w:r>
        <w:rPr>
          <w:i/>
          <w:iCs/>
        </w:rPr>
        <w:t xml:space="preserve">Fett-Inline-Markup (akn:b).</w:t>
      </w:r>
    </w:p>
    <w:bookmarkStart w:id="28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89"/>
    <w:bookmarkEnd w:id="290"/>
    <w:bookmarkStart w:id="293" w:name="klasse-i"/>
    <w:p>
      <w:pPr>
        <w:pStyle w:val="berschrift3"/>
      </w:pPr>
      <w:r>
        <w:t xml:space="preserve">Klasse: I</w:t>
      </w:r>
      <w:r>
        <w:t xml:space="preserve"> </w:t>
      </w:r>
      <w:bookmarkStart w:id="291" w:name="I"/>
      <w:bookmarkEnd w:id="291"/>
    </w:p>
    <w:p>
      <w:pPr>
        <w:pStyle w:val="FirstParagraph"/>
      </w:pPr>
      <w:r>
        <w:rPr>
          <w:i/>
          <w:iCs/>
        </w:rPr>
        <w:t xml:space="preserve">Kursiv-Inline-Markup (akn:i).</w:t>
      </w:r>
    </w:p>
    <w:bookmarkStart w:id="29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92"/>
    <w:bookmarkEnd w:id="293"/>
    <w:bookmarkStart w:id="296" w:name="klasse-sup"/>
    <w:p>
      <w:pPr>
        <w:pStyle w:val="berschrift3"/>
      </w:pPr>
      <w:r>
        <w:t xml:space="preserve">Klasse: Sup</w:t>
      </w:r>
      <w:r>
        <w:t xml:space="preserve"> </w:t>
      </w:r>
      <w:bookmarkStart w:id="294" w:name="Sup"/>
      <w:bookmarkEnd w:id="294"/>
    </w:p>
    <w:p>
      <w:pPr>
        <w:pStyle w:val="FirstParagraph"/>
      </w:pPr>
      <w:r>
        <w:rPr>
          <w:i/>
          <w:iCs/>
        </w:rPr>
        <w:t xml:space="preserve">Hochgestelltes Inline-Markup (akn:sup).</w:t>
      </w:r>
    </w:p>
    <w:bookmarkStart w:id="29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95"/>
    <w:bookmarkEnd w:id="296"/>
    <w:bookmarkStart w:id="299" w:name="klasse-br"/>
    <w:p>
      <w:pPr>
        <w:pStyle w:val="berschrift3"/>
      </w:pPr>
      <w:r>
        <w:t xml:space="preserve">Klasse: Br</w:t>
      </w:r>
      <w:r>
        <w:t xml:space="preserve"> </w:t>
      </w:r>
      <w:bookmarkStart w:id="297" w:name="Br"/>
      <w:bookmarkEnd w:id="297"/>
    </w:p>
    <w:p>
      <w:pPr>
        <w:pStyle w:val="FirstParagraph"/>
      </w:pPr>
      <w:r>
        <w:rPr>
          <w:i/>
          <w:iCs/>
        </w:rPr>
        <w:t xml:space="preserve">Ein Zeilenumbruch (akn:br). In der (derzeit deaktivierten) Regel FLX-TXT-001 ist br auf Überschriften-Elemente beschränkt.</w:t>
      </w:r>
    </w:p>
    <w:bookmarkStart w:id="29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98"/>
    <w:bookmarkEnd w:id="299"/>
    <w:bookmarkStart w:id="302" w:name="typ-xmlcontent"/>
    <w:p>
      <w:pPr>
        <w:pStyle w:val="berschrift2"/>
      </w:pPr>
      <w:r>
        <w:t xml:space="preserve">Typ: XmlContent</w:t>
      </w:r>
      <w:r>
        <w:t xml:space="preserve"> </w:t>
      </w:r>
      <w:bookmarkStart w:id="300" w:name="XmlContent"/>
      <w:bookmarkEnd w:id="30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20">
        <w:r>
          <w:rPr>
            <w:rStyle w:val="Hyperlink"/>
          </w:rPr>
          <w:t xml:space="preserve">xsd:string</w:t>
        </w:r>
      </w:hyperlink>
    </w:p>
    <w:bookmarkStart w:id="30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301"/>
    <w:p>
      <w:r>
        <w:br w:type="page"/>
      </w:r>
    </w:p>
    <w:bookmarkEnd w:id="302"/>
    <w:bookmarkEnd w:id="303"/>
    <w:bookmarkStart w:id="362"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310" w:name="klasse-actmeta"/>
    <w:p>
      <w:pPr>
        <w:pStyle w:val="berschrift3"/>
      </w:pPr>
      <w:r>
        <w:t xml:space="preserve">Klasse: ActMeta</w:t>
      </w:r>
      <w:r>
        <w:t xml:space="preserve"> </w:t>
      </w:r>
      <w:bookmarkStart w:id="304" w:name="ActMeta"/>
      <w:bookmarkEnd w:id="304"/>
    </w:p>
    <w:p>
      <w:pPr>
        <w:pStyle w:val="FirstParagraph"/>
      </w:pPr>
      <w:r>
        <w:rPr>
          <w:i/>
          <w:iCs/>
        </w:rPr>
        <w:t xml:space="preserve">Metadaten-Abschnitt des Erlasses (akn:meta). Enthält die FRBR-Identifikation (Work-, Expression-, Manifestations-Ebene) sowie benannte Referenz-Definitionen.</w:t>
      </w:r>
    </w:p>
    <w:bookmarkStart w:id="30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305"/>
    <w:bookmarkStart w:id="30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306"/>
    <w:bookmarkStart w:id="309" w:name="beispiele-15"/>
    <w:p>
      <w:pPr>
        <w:pStyle w:val="berschrift4"/>
      </w:pPr>
      <w:r>
        <w:t xml:space="preserve">Beispiele</w:t>
      </w:r>
    </w:p>
    <w:bookmarkStart w:id="307" w:name="beispiel-actmeta-sr101-excerpt-1-1"/>
    <w:p>
      <w:pPr>
        <w:pStyle w:val="berschrift5"/>
      </w:pPr>
      <w:r>
        <w:t xml:space="preserve">Beispiel ActMeta: sr101 excerpt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07"/>
    <w:bookmarkStart w:id="308" w:name="beispiel-actmeta-bgoe-excerpt-1-1"/>
    <w:p>
      <w:pPr>
        <w:pStyle w:val="berschrift5"/>
      </w:pPr>
      <w:r>
        <w:t xml:space="preserve">Beispiel ActMeta: bgoe excerpt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08"/>
    <w:bookmarkEnd w:id="309"/>
    <w:bookmarkEnd w:id="310"/>
    <w:bookmarkStart w:id="340"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317" w:name="klasse-references"/>
    <w:p>
      <w:pPr>
        <w:pStyle w:val="berschrift3"/>
      </w:pPr>
      <w:r>
        <w:t xml:space="preserve">Klasse: References</w:t>
      </w:r>
      <w:r>
        <w:t xml:space="preserve"> </w:t>
      </w:r>
      <w:bookmarkStart w:id="311" w:name="References"/>
      <w:bookmarkEnd w:id="311"/>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312"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312"/>
    <w:bookmarkStart w:id="313"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313"/>
    <w:bookmarkStart w:id="316" w:name="beispiele-16"/>
    <w:p>
      <w:pPr>
        <w:pStyle w:val="berschrift4"/>
      </w:pPr>
      <w:r>
        <w:t xml:space="preserve">Beispiele</w:t>
      </w:r>
    </w:p>
    <w:bookmarkStart w:id="314" w:name="beispiel-references-sr101-excerpt-1-1"/>
    <w:p>
      <w:pPr>
        <w:pStyle w:val="berschrift5"/>
      </w:pPr>
      <w:r>
        <w:t xml:space="preserve">Beispiel References: sr101 excerpt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14"/>
    <w:bookmarkStart w:id="315" w:name="beispiel-references-bgoe-excerpt-1-1"/>
    <w:p>
      <w:pPr>
        <w:pStyle w:val="berschrift5"/>
      </w:pPr>
      <w:r>
        <w:t xml:space="preserve">Beispiel References: bgoe excerpt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15"/>
    <w:bookmarkEnd w:id="316"/>
    <w:bookmarkEnd w:id="317"/>
    <w:bookmarkStart w:id="323" w:name="klasse-tlcorganization"/>
    <w:p>
      <w:pPr>
        <w:pStyle w:val="berschrift3"/>
      </w:pPr>
      <w:r>
        <w:t xml:space="preserve">Klasse: TLCOrganization</w:t>
      </w:r>
      <w:r>
        <w:t xml:space="preserve"> </w:t>
      </w:r>
      <w:bookmarkStart w:id="318" w:name="TLCOrganization"/>
      <w:bookmarkEnd w:id="318"/>
    </w:p>
    <w:p>
      <w:pPr>
        <w:pStyle w:val="FirstParagraph"/>
      </w:pPr>
      <w:r>
        <w:rPr>
          <w:i/>
          <w:iCs/>
        </w:rPr>
        <w:t xml:space="preserve">Eine benannte Organisation als Referenz im Dokument (akn:TLCOrganization). Beispiel: die Bundeskanzlei (ch.bk).</w:t>
      </w:r>
    </w:p>
    <w:bookmarkStart w:id="319"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19"/>
    <w:bookmarkStart w:id="320"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320"/>
    <w:bookmarkStart w:id="322" w:name="beispiele-17"/>
    <w:p>
      <w:pPr>
        <w:pStyle w:val="berschrift4"/>
      </w:pPr>
      <w:r>
        <w:t xml:space="preserve">Beispiele</w:t>
      </w:r>
    </w:p>
    <w:bookmarkStart w:id="321" w:name="X32dcc3b1d19b73d9a31a211d1e04e02190b73a6"/>
    <w:p>
      <w:pPr>
        <w:pStyle w:val="berschrift5"/>
      </w:pPr>
      <w:r>
        <w:t xml:space="preserve">Beispiel TLCOrganization: Deklaration der publizierenden Stelle</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321"/>
    <w:bookmarkEnd w:id="322"/>
    <w:bookmarkEnd w:id="323"/>
    <w:bookmarkStart w:id="331" w:name="klasse-tlcrole"/>
    <w:p>
      <w:pPr>
        <w:pStyle w:val="berschrift3"/>
      </w:pPr>
      <w:r>
        <w:t xml:space="preserve">Klasse: TLCRole</w:t>
      </w:r>
      <w:r>
        <w:t xml:space="preserve"> </w:t>
      </w:r>
      <w:bookmarkStart w:id="324" w:name="TLCRole"/>
      <w:bookmarkEnd w:id="324"/>
    </w:p>
    <w:p>
      <w:pPr>
        <w:pStyle w:val="FirstParagraph"/>
      </w:pPr>
      <w:r>
        <w:rPr>
          <w:i/>
          <w:iCs/>
        </w:rPr>
        <w:t xml:space="preserve">Eine benannte Rolle als Referenz im Dokument (akn:TLCRole). Beispiele: publisher, rightsHolder.</w:t>
      </w:r>
    </w:p>
    <w:bookmarkStart w:id="325"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25"/>
    <w:bookmarkStart w:id="326"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326"/>
    <w:bookmarkStart w:id="330" w:name="beispiele-18"/>
    <w:p>
      <w:pPr>
        <w:pStyle w:val="berschrift4"/>
      </w:pPr>
      <w:r>
        <w:t xml:space="preserve">Beispiele</w:t>
      </w:r>
    </w:p>
    <w:bookmarkStart w:id="327" w:name="beispiel-tlcrole-sr101-excerpt-1-2"/>
    <w:p>
      <w:pPr>
        <w:pStyle w:val="berschrift5"/>
      </w:pPr>
      <w:r>
        <w:t xml:space="preserve">Beispiel TLCRole: sr101 excerpt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27"/>
    <w:bookmarkStart w:id="328" w:name="beispiel-tlcrole-bgoe-excerpt-1-2"/>
    <w:p>
      <w:pPr>
        <w:pStyle w:val="berschrift5"/>
      </w:pPr>
      <w:r>
        <w:t xml:space="preserve">Beispiel TLCRole: bgoe excerpt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28"/>
    <w:bookmarkStart w:id="329"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p>
    <w:bookmarkEnd w:id="329"/>
    <w:bookmarkEnd w:id="330"/>
    <w:bookmarkEnd w:id="331"/>
    <w:bookmarkStart w:id="335" w:name="klasse-tlcreference"/>
    <w:p>
      <w:pPr>
        <w:pStyle w:val="berschrift3"/>
      </w:pPr>
      <w:r>
        <w:t xml:space="preserve">Klasse: TLCReference</w:t>
      </w:r>
      <w:r>
        <w:t xml:space="preserve"> </w:t>
      </w:r>
      <w:bookmarkStart w:id="332" w:name="TLCReference"/>
      <w:bookmarkEnd w:id="332"/>
    </w:p>
    <w:p>
      <w:pPr>
        <w:pStyle w:val="FirstParagraph"/>
      </w:pPr>
      <w:r>
        <w:rPr>
          <w:i/>
          <w:iCs/>
        </w:rPr>
        <w:t xml:space="preserve">Eine generische benannte Referenz im Dokument (akn:TLCReference). Für Referenzen, die nicht TLCOrganization oder TLCRole entsprechen.</w:t>
      </w:r>
    </w:p>
    <w:bookmarkStart w:id="333"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333"/>
    <w:bookmarkStart w:id="334"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334"/>
    <w:bookmarkEnd w:id="335"/>
    <w:bookmarkStart w:id="339" w:name="enum-fedlexroleenum"/>
    <w:p>
      <w:pPr>
        <w:pStyle w:val="berschrift3"/>
      </w:pPr>
      <w:r>
        <w:t xml:space="preserve">Enum: FedlexRoleEnum</w:t>
      </w:r>
      <w:r>
        <w:t xml:space="preserve"> </w:t>
      </w:r>
      <w:bookmarkStart w:id="336" w:name="FedlexRoleEnum"/>
      <w:bookmarkEnd w:id="336"/>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337">
        <w:r>
          <w:rPr>
            <w:rStyle w:val="Hyperlink"/>
          </w:rPr>
          <w:t xml:space="preserve">laws:FedlexRoleEnum</w:t>
        </w:r>
      </w:hyperlink>
    </w:p>
    <w:bookmarkStart w:id="338"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338"/>
    <w:bookmarkEnd w:id="339"/>
    <w:bookmarkEnd w:id="340"/>
    <w:bookmarkStart w:id="361"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344" w:name="klasse-valuetype"/>
    <w:p>
      <w:pPr>
        <w:pStyle w:val="berschrift3"/>
      </w:pPr>
      <w:r>
        <w:t xml:space="preserve">Klasse: ValueType</w:t>
      </w:r>
      <w:r>
        <w:t xml:space="preserve"> </w:t>
      </w:r>
      <w:bookmarkStart w:id="341" w:name="ValueType"/>
      <w:bookmarkEnd w:id="341"/>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342"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342"/>
    <w:bookmarkStart w:id="343"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343"/>
    <w:bookmarkEnd w:id="344"/>
    <w:bookmarkStart w:id="348" w:name="klasse-urivaluetype"/>
    <w:p>
      <w:pPr>
        <w:pStyle w:val="berschrift3"/>
      </w:pPr>
      <w:r>
        <w:t xml:space="preserve">Klasse: UriValueType</w:t>
      </w:r>
      <w:r>
        <w:t xml:space="preserve"> </w:t>
      </w:r>
      <w:bookmarkStart w:id="345" w:name="UriValueType"/>
      <w:bookmarkEnd w:id="345"/>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346"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346"/>
    <w:bookmarkStart w:id="347"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347"/>
    <w:bookmarkEnd w:id="348"/>
    <w:bookmarkStart w:id="352" w:name="klasse-languagetype"/>
    <w:p>
      <w:pPr>
        <w:pStyle w:val="berschrift3"/>
      </w:pPr>
      <w:r>
        <w:t xml:space="preserve">Klasse: LanguageType</w:t>
      </w:r>
      <w:r>
        <w:t xml:space="preserve"> </w:t>
      </w:r>
      <w:bookmarkStart w:id="349" w:name="LanguageType"/>
      <w:bookmarkEnd w:id="349"/>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350"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350"/>
    <w:bookmarkStart w:id="351"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351"/>
    <w:bookmarkEnd w:id="352"/>
    <w:bookmarkStart w:id="356" w:name="klasse-formattype"/>
    <w:p>
      <w:pPr>
        <w:pStyle w:val="berschrift3"/>
      </w:pPr>
      <w:r>
        <w:t xml:space="preserve">Klasse: FormatType</w:t>
      </w:r>
      <w:r>
        <w:t xml:space="preserve"> </w:t>
      </w:r>
      <w:bookmarkStart w:id="353" w:name="FormatType"/>
      <w:bookmarkEnd w:id="353"/>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354"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354"/>
    <w:bookmarkStart w:id="355"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355"/>
    <w:bookmarkEnd w:id="356"/>
    <w:bookmarkStart w:id="360" w:name="enum-documentlanguageenum"/>
    <w:p>
      <w:pPr>
        <w:pStyle w:val="berschrift3"/>
      </w:pPr>
      <w:r>
        <w:t xml:space="preserve">Enum: DocumentLanguageEnum</w:t>
      </w:r>
      <w:r>
        <w:t xml:space="preserve"> </w:t>
      </w:r>
      <w:bookmarkStart w:id="357" w:name="DocumentLanguageEnum"/>
      <w:bookmarkEnd w:id="357"/>
    </w:p>
    <w:p>
      <w:pPr>
        <w:pStyle w:val="FirstParagraph"/>
      </w:pPr>
      <w:r>
        <w:rPr>
          <w:i/>
          <w:iCs/>
        </w:rPr>
        <w:t xml:space="preserve">Sprachcodes für schweizerische Bundesdokumente.</w:t>
      </w:r>
    </w:p>
    <w:p>
      <w:pPr>
        <w:pStyle w:val="Textkrper"/>
      </w:pPr>
      <w:r>
        <w:t xml:space="preserve">URI:</w:t>
      </w:r>
      <w:r>
        <w:t xml:space="preserve"> </w:t>
      </w:r>
      <w:hyperlink ns1:id="rId358">
        <w:r>
          <w:rPr>
            <w:rStyle w:val="Hyperlink"/>
          </w:rPr>
          <w:t xml:space="preserve">laws:DocumentLanguageEnum</w:t>
        </w:r>
      </w:hyperlink>
    </w:p>
    <w:bookmarkStart w:id="359"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359"/>
    <w:p>
      <w:r>
        <w:br w:type="page"/>
      </w:r>
    </w:p>
    <w:bookmarkEnd w:id="360"/>
    <w:bookmarkEnd w:id="361"/>
    <w:bookmarkEnd w:id="362"/>
    <w:bookmarkStart w:id="379" w:name="anhang-a-referenzen-bibliographie"/>
    <w:p>
      <w:pPr>
        <w:pStyle w:val="berschrift1"/>
      </w:pPr>
      <w:r>
        <w:t xml:space="preserve">Anhang A – Referenzen &amp; Bibliographie</w:t>
      </w:r>
    </w:p>
    <w:bookmarkStart w:id="368"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363">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364">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365">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366">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367">
              <w:r>
                <w:rPr>
                  <w:rStyle w:val="Hyperlink"/>
                </w:rPr>
                <w:t xml:space="preserve">https://www.ech.ch/de/ech/ech-0297</w:t>
              </w:r>
            </w:hyperlink>
          </w:p>
        </w:tc>
      </w:tr>
    </w:tbl>
    <w:bookmarkEnd w:id="368"/>
    <w:bookmarkStart w:id="371"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369">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370">
              <w:r>
                <w:rPr>
                  <w:rStyle w:val="Hyperlink"/>
                </w:rPr>
                <w:t xml:space="preserve">https://www.ech.ch/de/ech/ech-0003</w:t>
              </w:r>
            </w:hyperlink>
          </w:p>
        </w:tc>
      </w:tr>
    </w:tbl>
    <w:bookmarkEnd w:id="371"/>
    <w:bookmarkStart w:id="377"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72">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73">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74">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75">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76">
              <w:r>
                <w:rPr>
                  <w:rStyle w:val="Hyperlink"/>
                </w:rPr>
                <w:t xml:space="preserve">https://www.fedlex.admin.ch</w:t>
              </w:r>
            </w:hyperlink>
          </w:p>
        </w:tc>
      </w:tr>
    </w:tbl>
    <w:bookmarkEnd w:id="377"/>
    <w:bookmarkStart w:id="378"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378"/>
    <w:bookmarkEnd w:id="379"/>
    <w:bookmarkStart w:id="380"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eli:LegalResource</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bl>
    <w:bookmarkEnd w:id="38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72" Target="http://docs.oasis-open.org/legaldocml/akn-core/v1.0/" TargetMode="External" /><Relationship Type="http://schemas.openxmlformats.org/officeDocument/2006/relationships/hyperlink" Id="rId374" Target="http://iflastandards.info/ns/fr/frbr/frbroo/" TargetMode="External" /><Relationship Type="http://schemas.openxmlformats.org/officeDocument/2006/relationships/hyperlink" Id="rId116" Target="http://www.w3.org/2001/XMLSchema#anyURI" TargetMode="External" /><Relationship Type="http://schemas.openxmlformats.org/officeDocument/2006/relationships/hyperlink" Id="rId120"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5" Target="https://ld.ech.ch/schema/0296/laws/ActTypeEnum" TargetMode="External" /><Relationship Type="http://schemas.openxmlformats.org/officeDocument/2006/relationships/hyperlink" Id="rId358" Target="https://ld.ech.ch/schema/0296/laws/DocumentLanguageEnum" TargetMode="External" /><Relationship Type="http://schemas.openxmlformats.org/officeDocument/2006/relationships/hyperlink" Id="rId337" Target="https://ld.ech.ch/schema/0296/laws/FedlexRoleEnum" TargetMode="External" /><Relationship Type="http://schemas.openxmlformats.org/officeDocument/2006/relationships/hyperlink" Id="rId373"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370" Target="https://www.ech.ch/de/ech/ech-0003" TargetMode="External" /><Relationship Type="http://schemas.openxmlformats.org/officeDocument/2006/relationships/hyperlink" Id="rId369" Target="https://www.ech.ch/de/ech/ech-0122" TargetMode="External" /><Relationship Type="http://schemas.openxmlformats.org/officeDocument/2006/relationships/hyperlink" Id="rId363" Target="https://www.ech.ch/de/ech/ech-0292" TargetMode="External" /><Relationship Type="http://schemas.openxmlformats.org/officeDocument/2006/relationships/hyperlink" Id="rId364" Target="https://www.ech.ch/de/ech/ech-0293" TargetMode="External" /><Relationship Type="http://schemas.openxmlformats.org/officeDocument/2006/relationships/hyperlink" Id="rId365" Target="https://www.ech.ch/de/ech/ech-0294" TargetMode="External" /><Relationship Type="http://schemas.openxmlformats.org/officeDocument/2006/relationships/hyperlink" Id="rId366" Target="https://www.ech.ch/de/ech/ech-0295" TargetMode="External" /><Relationship Type="http://schemas.openxmlformats.org/officeDocument/2006/relationships/hyperlink" Id="rId367" Target="https://www.ech.ch/de/ech/ech-0297" TargetMode="External" /><Relationship Type="http://schemas.openxmlformats.org/officeDocument/2006/relationships/hyperlink" Id="rId376"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75"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72" Target="http://docs.oasis-open.org/legaldocml/akn-core/v1.0/" TargetMode="External" /><Relationship Type="http://schemas.openxmlformats.org/officeDocument/2006/relationships/hyperlink" Id="rId374" Target="http://iflastandards.info/ns/fr/frbr/frbroo/" TargetMode="External" /><Relationship Type="http://schemas.openxmlformats.org/officeDocument/2006/relationships/hyperlink" Id="rId116" Target="http://www.w3.org/2001/XMLSchema#anyURI" TargetMode="External" /><Relationship Type="http://schemas.openxmlformats.org/officeDocument/2006/relationships/hyperlink" Id="rId120"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5" Target="https://ld.ech.ch/schema/0296/laws/ActTypeEnum" TargetMode="External" /><Relationship Type="http://schemas.openxmlformats.org/officeDocument/2006/relationships/hyperlink" Id="rId358" Target="https://ld.ech.ch/schema/0296/laws/DocumentLanguageEnum" TargetMode="External" /><Relationship Type="http://schemas.openxmlformats.org/officeDocument/2006/relationships/hyperlink" Id="rId337" Target="https://ld.ech.ch/schema/0296/laws/FedlexRoleEnum" TargetMode="External" /><Relationship Type="http://schemas.openxmlformats.org/officeDocument/2006/relationships/hyperlink" Id="rId373"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370" Target="https://www.ech.ch/de/ech/ech-0003" TargetMode="External" /><Relationship Type="http://schemas.openxmlformats.org/officeDocument/2006/relationships/hyperlink" Id="rId369" Target="https://www.ech.ch/de/ech/ech-0122" TargetMode="External" /><Relationship Type="http://schemas.openxmlformats.org/officeDocument/2006/relationships/hyperlink" Id="rId363" Target="https://www.ech.ch/de/ech/ech-0292" TargetMode="External" /><Relationship Type="http://schemas.openxmlformats.org/officeDocument/2006/relationships/hyperlink" Id="rId364" Target="https://www.ech.ch/de/ech/ech-0293" TargetMode="External" /><Relationship Type="http://schemas.openxmlformats.org/officeDocument/2006/relationships/hyperlink" Id="rId365" Target="https://www.ech.ch/de/ech/ech-0294" TargetMode="External" /><Relationship Type="http://schemas.openxmlformats.org/officeDocument/2006/relationships/hyperlink" Id="rId366" Target="https://www.ech.ch/de/ech/ech-0295" TargetMode="External" /><Relationship Type="http://schemas.openxmlformats.org/officeDocument/2006/relationships/hyperlink" Id="rId367" Target="https://www.ech.ch/de/ech/ech-0297" TargetMode="External" /><Relationship Type="http://schemas.openxmlformats.org/officeDocument/2006/relationships/hyperlink" Id="rId376"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75"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2026-08-14T15:25:01Z</dcterms:created>
  <dcterms:modified xsi:type="dcterms:W3CDTF">2026-08-14T15:25:01Z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