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Acteurs politiques : personnes, groupes et organes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Nom</w:t>
            </w:r>
          </w:p>
        </w:tc>
        <w:tc>
          <w:tcPr/>
          <w:p>
            <w:pPr>
              <w:pStyle w:val="Compact"/>
            </w:pPr>
            <w:r>
              <w:rPr>
                <w:b/>
                <w:bCs/>
              </w:rPr>
              <w:t xml:space="preserve">Acteurs politiques : personnes, groupes et organes</w:t>
            </w:r>
          </w:p>
        </w:tc>
      </w:tr>
      <w:tr>
        <w:tc>
          <w:tcPr>
            <w:shd w:val="clear" w:color="auto" w:fill="F2F2F2"/>
          </w:tcPr>
          <w:p>
            <w:pPr>
              <w:pStyle w:val="Compact"/>
            </w:pPr>
            <w:r>
              <w:rPr>
                <w:b/>
                <w:bCs/>
              </w:rPr>
              <w:t xml:space="preserve">Numéro eCH</w:t>
            </w:r>
          </w:p>
        </w:tc>
        <w:tc>
          <w:tcPr>
            <w:shd w:val="clear" w:color="auto" w:fill="F2F2F2"/>
          </w:tcPr>
          <w:p>
            <w:pPr>
              <w:pStyle w:val="Compact"/>
            </w:pPr>
            <w:r>
              <w:t xml:space="preserve">eCH-0294</w:t>
            </w:r>
          </w:p>
        </w:tc>
      </w:tr>
      <w:tr>
        <w:tc>
          <w:tcPr/>
          <w:p>
            <w:pPr>
              <w:pStyle w:val="Compact"/>
            </w:pPr>
            <w:r>
              <w:rPr>
                <w:b/>
                <w:bCs/>
              </w:rPr>
              <w:t xml:space="preserve">Catégorie</w:t>
            </w:r>
          </w:p>
        </w:tc>
        <w:tc>
          <w:tcPr/>
          <w:p>
            <w:pPr>
              <w:pStyle w:val="Compact"/>
            </w:pPr>
            <w:r>
              <w:t xml:space="preserve">Norme</w:t>
            </w:r>
          </w:p>
        </w:tc>
      </w:tr>
      <w:tr>
        <w:tc>
          <w:tcPr>
            <w:shd w:val="clear" w:color="auto" w:fill="F2F2F2"/>
          </w:tcPr>
          <w:p>
            <w:pPr>
              <w:pStyle w:val="Compact"/>
            </w:pPr>
            <w:r>
              <w:rPr>
                <w:b/>
                <w:bCs/>
              </w:rPr>
              <w:t xml:space="preserve">Degré de maturité</w:t>
            </w:r>
          </w:p>
        </w:tc>
        <w:tc>
          <w:tcPr>
            <w:shd w:val="clear" w:color="auto" w:fill="F2F2F2"/>
          </w:tcPr>
          <w:p>
            <w:pPr>
              <w:pStyle w:val="Compact"/>
            </w:pPr>
            <w:r>
              <w:t xml:space="preserve">Défini</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Statut</w:t>
            </w:r>
          </w:p>
        </w:tc>
        <w:tc>
          <w:tcPr>
            <w:shd w:val="clear" w:color="auto" w:fill="F2F2F2"/>
          </w:tcPr>
          <w:p>
            <w:pPr>
              <w:pStyle w:val="Compact"/>
            </w:pPr>
            <w:r>
              <w:t xml:space="preserve">Proposition</w:t>
            </w:r>
          </w:p>
        </w:tc>
      </w:tr>
      <w:tr>
        <w:tc>
          <w:tcPr/>
          <w:p>
            <w:pPr>
              <w:pStyle w:val="Compact"/>
            </w:pPr>
            <w:r>
              <w:rPr>
                <w:b/>
                <w:bCs/>
              </w:rPr>
              <w:t xml:space="preserve">Décidé le</w:t>
            </w:r>
          </w:p>
        </w:tc>
        <w:tc>
          <w:tcPr/>
          <w:p>
            <w:pPr>
              <w:pStyle w:val="Compact"/>
            </w:pPr>
          </w:p>
        </w:tc>
      </w:tr>
      <w:tr>
        <w:tc>
          <w:tcPr>
            <w:shd w:val="clear" w:color="auto" w:fill="F2F2F2"/>
          </w:tcPr>
          <w:p>
            <w:pPr>
              <w:pStyle w:val="Compact"/>
            </w:pPr>
            <w:r>
              <w:rPr>
                <w:b/>
                <w:bCs/>
              </w:rPr>
              <w:t xml:space="preserve">Date de publication</w:t>
            </w:r>
          </w:p>
        </w:tc>
        <w:tc>
          <w:tcPr>
            <w:shd w:val="clear" w:color="auto" w:fill="F2F2F2"/>
          </w:tcPr>
          <w:p>
            <w:pPr>
              <w:pStyle w:val="Compact"/>
            </w:pPr>
            <w:r>
              <w:t xml:space="preserve">2026-07-22</w:t>
            </w:r>
          </w:p>
        </w:tc>
      </w:tr>
      <w:tr>
        <w:tc>
          <w:tcPr/>
          <w:p>
            <w:pPr>
              <w:pStyle w:val="Compact"/>
            </w:pPr>
            <w:r>
              <w:rPr>
                <w:b/>
                <w:bCs/>
              </w:rPr>
              <w:t xml:space="preserve">Remplace la version</w:t>
            </w:r>
          </w:p>
        </w:tc>
        <w:tc>
          <w:tcPr/>
          <w:p>
            <w:pPr>
              <w:pStyle w:val="Compact"/>
            </w:pPr>
          </w:p>
        </w:tc>
      </w:tr>
      <w:tr>
        <w:tc>
          <w:tcPr>
            <w:shd w:val="clear" w:color="auto" w:fill="F2F2F2"/>
          </w:tcPr>
          <w:p>
            <w:pPr>
              <w:pStyle w:val="Compact"/>
            </w:pPr>
            <w:r>
              <w:rPr>
                <w:b/>
                <w:bCs/>
              </w:rPr>
              <w:t xml:space="preserve">Conditions préalables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Langues</w:t>
            </w:r>
          </w:p>
        </w:tc>
        <w:tc>
          <w:tcPr>
            <w:shd w:val="clear" w:color="auto" w:fill="F2F2F2"/>
          </w:tcPr>
          <w:p>
            <w:pPr>
              <w:pStyle w:val="Compact"/>
            </w:pPr>
            <w:r>
              <w:t xml:space="preserve">Allemand (original) - Anglais (modèle de données)</w:t>
            </w:r>
          </w:p>
        </w:tc>
      </w:tr>
      <w:tr>
        <w:tc>
          <w:tcPr/>
          <w:p>
            <w:pPr>
              <w:pStyle w:val="Compact"/>
            </w:pPr>
            <w:r>
              <w:rPr>
                <w:b/>
                <w:bCs/>
              </w:rPr>
              <w:t xml:space="preserve">Auteurs</w:t>
            </w:r>
          </w:p>
        </w:tc>
        <w:tc>
          <w:tcPr/>
          <w:p>
            <w:pPr>
              <w:pStyle w:val="Compact"/>
            </w:pPr>
            <w:r>
              <w:t xml:space="preserve">Groupe spécialisé Affaires politiques :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Éditeur / Distribution</w:t>
            </w:r>
          </w:p>
        </w:tc>
        <w:tc>
          <w:tcPr>
            <w:shd w:val="clear" w:color="auto" w:fill="F2F2F2"/>
          </w:tcPr>
          <w:p>
            <w:pPr>
              <w:pStyle w:val="Compact"/>
            </w:pPr>
            <w:r>
              <w:t xml:space="preserve">Association eCH,</w:t>
            </w:r>
            <w:r>
              <w:t xml:space="preserve"> </w:t>
            </w:r>
            <w:hyperlink ns1:id="rId20">
              <w:r>
                <w:rPr>
                  <w:rStyle w:val="Hyperlink"/>
                </w:rPr>
                <w:t xml:space="preserve">Affolternstrasse 52, 8050 Zürich</w:t>
              </w:r>
            </w:hyperlink>
          </w:p>
        </w:tc>
      </w:tr>
    </w:tbl>
    <w:p>
      <w:r>
        <w:br w:type="page"/>
      </w:r>
    </w:p>
    <w:bookmarkStart w:id="21" w:name="résumé"/>
    <w:p>
      <w:pPr>
        <w:pStyle w:val="berschrift1"/>
      </w:pPr>
      <w:r>
        <w:t xml:space="preserve">Résumé</w:t>
      </w:r>
    </w:p>
    <w:p>
      <w:pPr>
        <w:pStyle w:val="FirstParagraph"/>
      </w:pPr>
      <w:r>
        <w:t xml:space="preserve">La norme eCH-0294 « Acteurs politiques : personnes, groupes et organes » définit un modèle de données uniforme pour la publication structurée des acteurs politiques en Suisse. Il englobe les personnes physiques, les groupes et organes politiques, les affiliations entre personnes et groupes ainsi que les liens d’intérêts. L’objectif est de mettre à disposition, par-delà les niveaux fédéraux, des informations comparables, lisibles par machine et réutilisables, afin d’améliorer la transparence, la traçabilité et la capacité d’analyse des processus politiques.</w:t>
      </w:r>
    </w:p>
    <w:p>
      <w:pPr>
        <w:pStyle w:val="Textkrper"/>
      </w:pPr>
      <w:r>
        <w:t xml:space="preserve">La norme s’adresse aux organismes publics de tous les niveaux étatiques, aux acteurs politiques, aux médias, à la recherche et au public, et crée une base pour des systèmes d’information politiques interopérables en Suisse.</w:t>
      </w:r>
    </w:p>
    <w:p>
      <w:r>
        <w:br w:type="page"/>
      </w:r>
    </w:p>
    <w:bookmarkEnd w:id="21"/>
    <w:bookmarkStart w:id="22" w:name="table-des-matières"/>
    <w:p>
      <w:pPr>
        <w:pStyle w:val="berschrift1"/>
      </w:pPr>
      <w:r>
        <w:t xml:space="preserve">Table des matières</w:t>
      </w:r>
    </w:p>
    <w:p>
      <w:r>
        <w:fldChar w:fldCharType="begin" w:dirty="true"/>
      </w:r>
      <w:r>
        <w:instrText xml:space="preserve"> TOC \o "1-2" \h \z \u </w:instrText>
      </w:r>
      <w:r>
        <w:fldChar w:fldCharType="separate"/>
      </w:r>
      <w:r>
        <w:t>Clic droit &gt; « Mettre à jour les champs » pour générer la table des matières.</w:t>
      </w:r>
      <w:r>
        <w:fldChar w:fldCharType="end"/>
      </w:r>
    </w:p>
    <w:p>
      <w:r>
        <w:br w:type="page"/>
      </w:r>
    </w:p>
    <w:bookmarkEnd w:id="22"/>
    <w:bookmarkStart w:id="26" w:name="introduction"/>
    <w:p>
      <w:pPr>
        <w:pStyle w:val="berschrift1"/>
      </w:pPr>
      <w:r>
        <w:t xml:space="preserve">Introduction</w:t>
      </w:r>
    </w:p>
    <w:bookmarkStart w:id="23" w:name="la-famille-de-normes-affaires-politiques"/>
    <w:p>
      <w:pPr>
        <w:pStyle w:val="berschrift2"/>
      </w:pPr>
      <w:r>
        <w:t xml:space="preserve">La famille de normes « Affaires politiques »</w:t>
      </w:r>
    </w:p>
    <w:p>
      <w:pPr>
        <w:pStyle w:val="FirstParagraph"/>
      </w:pPr>
      <w:r>
        <w:t xml:space="preserve">La vie politique de la Suisse se déroule aux niveaux fédéral, cantonal et communal – dans les parlements et les assemblées communales, dans les exécutifs et les administrations, dans les procédures de consultation et les consultations publiques, ainsi qu’à travers la participation démocratique directe des personnes ayant le droit de vote. Le groupe spécialisé « Affaires politiques » de l’association eCH développe à cet effet une famille de normes coordonnées entre elles, qui structurent ces données par-delà les niveaux fédéraux. Les normes utilisent des éléments de données communs (eCH-0292) et se référencent mutuellement au moyen d’identifiants univoques.</w:t>
      </w:r>
    </w:p>
    <w:p>
      <w:pPr>
        <w:pStyle w:val="Textkrper"/>
      </w:pPr>
      <w:r>
        <w:t xml:space="preserve">La famille comprend :</w:t>
      </w:r>
    </w:p>
    <w:p>
      <w:pPr>
        <w:pStyle w:val="Compact"/>
        <w:numPr>
          <w:ilvl w:val="0"/>
          <w:numId w:val="1001"/>
        </w:numPr>
      </w:pPr>
      <w:r>
        <w:rPr>
          <w:b/>
          <w:bCs/>
        </w:rPr>
        <w:t xml:space="preserve">eCH-0292 – Éléments de données communs (Meta) :</w:t>
      </w:r>
      <w:r>
        <w:t xml:space="preserve"> </w:t>
      </w:r>
      <w:r>
        <w:t xml:space="preserve">définit les éléments de données transversaux et les métaprocessus sur lesquels reposent les autres normes.</w:t>
      </w:r>
    </w:p>
    <w:p>
      <w:pPr>
        <w:pStyle w:val="Compact"/>
        <w:numPr>
          <w:ilvl w:val="0"/>
          <w:numId w:val="1001"/>
        </w:numPr>
      </w:pPr>
      <w:r>
        <w:rPr>
          <w:b/>
          <w:bCs/>
        </w:rPr>
        <w:t xml:space="preserve">eCH-0293 – Fonctionnement public des conseils (Operations) :</w:t>
      </w:r>
      <w:r>
        <w:t xml:space="preserve"> </w:t>
      </w:r>
      <w:r>
        <w:t xml:space="preserve">décrit le fonctionnement public des conseils – séances, points de l’ordre du jour, prises de parole ainsi que votes et élections.</w:t>
      </w:r>
    </w:p>
    <w:p>
      <w:pPr>
        <w:pStyle w:val="Compact"/>
        <w:numPr>
          <w:ilvl w:val="0"/>
          <w:numId w:val="1001"/>
        </w:numPr>
      </w:pPr>
      <w:r>
        <w:rPr>
          <w:b/>
          <w:bCs/>
        </w:rPr>
        <w:t xml:space="preserve">eCH-0294 – Acteurs politiques (Actors) – la présente norme :</w:t>
      </w:r>
      <w:r>
        <w:t xml:space="preserve"> </w:t>
      </w:r>
      <w:r>
        <w:t xml:space="preserve">définit les personnes, groupes et organes dans le contexte politique ainsi que leurs affiliations et liens d’intérêts. Les autres normes référencent ces acteurs au moyen de leurs identifiants.</w:t>
      </w:r>
    </w:p>
    <w:p>
      <w:pPr>
        <w:pStyle w:val="Compact"/>
        <w:numPr>
          <w:ilvl w:val="0"/>
          <w:numId w:val="1001"/>
        </w:numPr>
      </w:pPr>
      <w:r>
        <w:rPr>
          <w:b/>
          <w:bCs/>
        </w:rPr>
        <w:t xml:space="preserve">eCH-0295 – Affaires parlementaires (Affairs) :</w:t>
      </w:r>
      <w:r>
        <w:t xml:space="preserve"> </w:t>
      </w:r>
      <w:r>
        <w:t xml:space="preserve">décrit le cycle de vie des affaires politiques.</w:t>
      </w:r>
    </w:p>
    <w:p>
      <w:pPr>
        <w:pStyle w:val="Compact"/>
        <w:numPr>
          <w:ilvl w:val="0"/>
          <w:numId w:val="1001"/>
        </w:numPr>
      </w:pPr>
      <w:r>
        <w:rPr>
          <w:b/>
          <w:bCs/>
        </w:rPr>
        <w:t xml:space="preserve">eCH-0296 – Actes législatifs et textes de loi (Laws) :</w:t>
      </w:r>
      <w:r>
        <w:t xml:space="preserve"> </w:t>
      </w:r>
      <w:r>
        <w:t xml:space="preserve">consigne les résultats du processus parlementaire – les lois et actes législatifs adoptés.</w:t>
      </w:r>
    </w:p>
    <w:p>
      <w:pPr>
        <w:pStyle w:val="Compact"/>
        <w:numPr>
          <w:ilvl w:val="0"/>
          <w:numId w:val="1001"/>
        </w:numPr>
      </w:pPr>
      <w:r>
        <w:rPr>
          <w:b/>
          <w:bCs/>
        </w:rPr>
        <w:t xml:space="preserve">eCH-0297 – Consultations publiques (Consultations) :</w:t>
      </w:r>
      <w:r>
        <w:t xml:space="preserve"> </w:t>
      </w:r>
      <w:r>
        <w:t xml:space="preserve">structure les procédures de consultation, qui constituent souvent le point de départ des affaires parlementaires.</w:t>
      </w:r>
    </w:p>
    <w:p>
      <w:pPr>
        <w:pStyle w:val="FirstParagraph"/>
      </w:pPr>
      <w:r>
        <w:t xml:space="preserve">L’objectif de cette famille de normes est de créer une structure utilisable en commun pour les données politiques et de mettre à la disposition des organisations qui publient des informations sur les affaires politiques un modèle de données robuste.</w:t>
      </w:r>
    </w:p>
    <w:bookmarkEnd w:id="23"/>
    <w:bookmarkStart w:id="24" w:name="Xd65ef0fb154293f8d6f092ed9659a1dfee3ce6b"/>
    <w:p>
      <w:pPr>
        <w:pStyle w:val="berschrift2"/>
      </w:pPr>
      <w:r>
        <w:t xml:space="preserve">Délimitation par rapport au groupe spécialisé « Droits politiques »</w:t>
      </w:r>
    </w:p>
    <w:p>
      <w:pPr>
        <w:pStyle w:val="FirstParagraph"/>
      </w:pPr>
      <w:r>
        <w:t xml:space="preserve">Outre le groupe spécialisé « Affaires politiques », l’association eCH compte le groupe spécialisé « Droits politiques ». Tous deux concernent le domaine politique, mais couvrent des domaines différents :</w:t>
      </w:r>
    </w:p>
    <w:p>
      <w:pPr>
        <w:pStyle w:val="Compact"/>
        <w:numPr>
          <w:ilvl w:val="0"/>
          <w:numId w:val="1002"/>
        </w:numPr>
      </w:pPr>
      <w:r>
        <w:rPr>
          <w:b/>
          <w:bCs/>
        </w:rPr>
        <w:t xml:space="preserve">Affaires politiques</w:t>
      </w:r>
      <w:r>
        <w:t xml:space="preserve"> </w:t>
      </w:r>
      <w:r>
        <w:t xml:space="preserve">(la présente famille de normes) décrit le processus de formation de la volonté et de décision parlementaire et administratif : les acteurs (eCH-0294), le fonctionnement des conseils (eCH-0293), les affaires parlementaires (eCH-0295), les actes législatifs qui en découlent (eCH-0296) ainsi que les consultations en amont (eCH-0297).</w:t>
      </w:r>
    </w:p>
    <w:p>
      <w:pPr>
        <w:pStyle w:val="Compact"/>
        <w:numPr>
          <w:ilvl w:val="0"/>
          <w:numId w:val="1002"/>
        </w:numPr>
      </w:pPr>
      <w:r>
        <w:rPr>
          <w:b/>
          <w:bCs/>
        </w:rPr>
        <w:t xml:space="preserve">Droits politiques</w:t>
      </w:r>
      <w:r>
        <w:t xml:space="preserve"> </w:t>
      </w:r>
      <w:r>
        <w:t xml:space="preserve">traite de l’exercice des droits politiques par les personnes ayant le droit de vote : registres des électeurs et des candidats, déroulement des votations et élections populaires, vote électronique (eVoting), cartes de vote ainsi que résultats des votations et des élections (notamment eCH-0045, eCH-0110, eCH-0155, eCH-0157, eCH-0159, eCH-0222, eCH-0228, eCH-0252, eCH-0310).</w:t>
      </w:r>
    </w:p>
    <w:p>
      <w:pPr>
        <w:pStyle w:val="FirstParagraph"/>
      </w:pPr>
      <w:r>
        <w:t xml:space="preserve">Des points de contact existent à deux endroits :</w:t>
      </w:r>
    </w:p>
    <w:p>
      <w:pPr>
        <w:pStyle w:val="Compact"/>
        <w:numPr>
          <w:ilvl w:val="0"/>
          <w:numId w:val="1003"/>
        </w:numPr>
      </w:pPr>
      <w:r>
        <w:rPr>
          <w:b/>
          <w:bCs/>
        </w:rPr>
        <w:t xml:space="preserve">Votes et élections :</w:t>
      </w:r>
      <w:r>
        <w:t xml:space="preserve"> </w:t>
      </w:r>
      <w:r>
        <w:t xml:space="preserve">eCH-0293 consigne les votes et élections</w:t>
      </w:r>
      <w:r>
        <w:t xml:space="preserve"> </w:t>
      </w:r>
      <w:r>
        <w:rPr>
          <w:b/>
          <w:bCs/>
        </w:rPr>
        <w:t xml:space="preserve">au sein du fonctionnement des conseils</w:t>
      </w:r>
      <w:r>
        <w:t xml:space="preserve"> </w:t>
      </w:r>
      <w:r>
        <w:t xml:space="preserve">(p. ex. les votes nominaux au parlement ou l’élection des membres des autorités par le conseil), tandis que les votations et élections populaires ainsi que les registres, le déroulement et les résultats correspondants sont couverts par le groupe spécialisé « Droits politiques ».</w:t>
      </w:r>
    </w:p>
    <w:p>
      <w:pPr>
        <w:pStyle w:val="Compact"/>
        <w:numPr>
          <w:ilvl w:val="0"/>
          <w:numId w:val="1003"/>
        </w:numPr>
      </w:pPr>
      <w:r>
        <w:rPr>
          <w:b/>
          <w:bCs/>
        </w:rPr>
        <w:t xml:space="preserve">Personnes élues :</w:t>
      </w:r>
      <w:r>
        <w:t xml:space="preserve"> </w:t>
      </w:r>
      <w:r>
        <w:t xml:space="preserve">dans les résultats électoraux du groupe spécialisé « Droits politiques » figurent les candidats et les personnes élues. Dès qu’une personne exerce un mandat, elle est répertoriée dans eCH-0294 en tant qu’actrice ou acteur politique, avec ses rôles et ses affiliations.</w:t>
      </w:r>
    </w:p>
    <w:bookmarkEnd w:id="24"/>
    <w:bookmarkStart w:id="25" w:name="X94468e17c4e898be9ed1ef4c935e9da34d3247a"/>
    <w:p>
      <w:pPr>
        <w:pStyle w:val="berschrift2"/>
      </w:pPr>
      <w:r>
        <w:t xml:space="preserve">La norme eCH-0294 – Acteurs politiques : personnes, groupes et organes</w:t>
      </w:r>
    </w:p>
    <w:p>
      <w:pPr>
        <w:pStyle w:val="FirstParagraph"/>
      </w:pPr>
      <w:r>
        <w:t xml:space="preserve">La présente norme définit quatre classes principales :</w:t>
      </w:r>
    </w:p>
    <w:p>
      <w:pPr>
        <w:pStyle w:val="Compact"/>
        <w:numPr>
          <w:ilvl w:val="0"/>
          <w:numId w:val="1004"/>
        </w:numPr>
      </w:pPr>
      <w:r>
        <w:rPr>
          <w:b/>
          <w:bCs/>
        </w:rPr>
        <w:t xml:space="preserve">Person</w:t>
      </w:r>
      <w:r>
        <w:t xml:space="preserve"> </w:t>
      </w:r>
      <w:r>
        <w:t xml:space="preserve">– Personnes physiques dans le contexte politique</w:t>
      </w:r>
    </w:p>
    <w:p>
      <w:pPr>
        <w:pStyle w:val="Compact"/>
        <w:numPr>
          <w:ilvl w:val="0"/>
          <w:numId w:val="1004"/>
        </w:numPr>
      </w:pPr>
      <w:r>
        <w:rPr>
          <w:b/>
          <w:bCs/>
        </w:rPr>
        <w:t xml:space="preserve">Group</w:t>
      </w:r>
      <w:r>
        <w:t xml:space="preserve"> </w:t>
      </w:r>
      <w:r>
        <w:t xml:space="preserve">– Organes, partis, groupes parlementaires, conseils, commissions, organisations, etc.</w:t>
      </w:r>
    </w:p>
    <w:p>
      <w:pPr>
        <w:pStyle w:val="Compact"/>
        <w:numPr>
          <w:ilvl w:val="0"/>
          <w:numId w:val="1004"/>
        </w:numPr>
      </w:pPr>
      <w:r>
        <w:rPr>
          <w:b/>
          <w:bCs/>
        </w:rPr>
        <w:t xml:space="preserve">Membership</w:t>
      </w:r>
      <w:r>
        <w:t xml:space="preserve"> </w:t>
      </w:r>
      <w:r>
        <w:t xml:space="preserve">– Lien entre personnes et groupes</w:t>
      </w:r>
    </w:p>
    <w:p>
      <w:pPr>
        <w:pStyle w:val="Compact"/>
        <w:numPr>
          <w:ilvl w:val="0"/>
          <w:numId w:val="1004"/>
        </w:numPr>
      </w:pPr>
      <w:r>
        <w:rPr>
          <w:b/>
          <w:bCs/>
        </w:rPr>
        <w:t xml:space="preserve">InterestLink</w:t>
      </w:r>
      <w:r>
        <w:t xml:space="preserve"> </w:t>
      </w:r>
      <w:r>
        <w:t xml:space="preserve">– Liens d’intérêts des personnes</w:t>
      </w:r>
    </w:p>
    <w:p>
      <w:pPr>
        <w:pStyle w:val="FirstParagraph"/>
      </w:pPr>
      <w:r>
        <w:rPr>
          <w:rStyle w:val="VerbatimChar"/>
        </w:rPr>
        <w:t xml:space="preserve">Membership</w:t>
      </w:r>
      <w:r>
        <w:t xml:space="preserve"> </w:t>
      </w:r>
      <w:r>
        <w:t xml:space="preserve">est l’élément de liaison central entre</w:t>
      </w:r>
      <w:r>
        <w:t xml:space="preserve"> </w:t>
      </w:r>
      <w:r>
        <w:rPr>
          <w:rStyle w:val="VerbatimChar"/>
        </w:rPr>
        <w:t xml:space="preserve">Person</w:t>
      </w:r>
      <w:r>
        <w:t xml:space="preserve"> </w:t>
      </w:r>
      <w:r>
        <w:t xml:space="preserve">et</w:t>
      </w:r>
      <w:r>
        <w:t xml:space="preserve"> </w:t>
      </w:r>
      <w:r>
        <w:rPr>
          <w:rStyle w:val="VerbatimChar"/>
        </w:rPr>
        <w:t xml:space="preserve">Group</w:t>
      </w:r>
      <w:r>
        <w:t xml:space="preserve"> </w:t>
      </w:r>
      <w:r>
        <w:t xml:space="preserve">et consigne dans quel parlement, dans quelle commission, etc. une personne est ou a été active.</w:t>
      </w:r>
      <w:r>
        <w:t xml:space="preserve"> </w:t>
      </w:r>
      <w:r>
        <w:rPr>
          <w:rStyle w:val="VerbatimChar"/>
        </w:rPr>
        <w:t xml:space="preserve">InterestLink</w:t>
      </w:r>
      <w:r>
        <w:t xml:space="preserve"> </w:t>
      </w:r>
      <w:r>
        <w:t xml:space="preserve">permet de décrire les liens d’intérêts.</w:t>
      </w:r>
      <w:r>
        <w:t xml:space="preserve"> </w:t>
      </w:r>
    </w:p>
    <w:bookmarkEnd w:id="25"/>
    <w:bookmarkEnd w:id="26"/>
    <w:bookmarkStart w:id="126" w:name="person"/>
    <w:p>
      <w:pPr>
        <w:pStyle w:val="berschrift1"/>
      </w:pPr>
      <w:r>
        <w:t xml:space="preserve">Person</w:t>
      </w:r>
    </w:p>
    <w:p>
      <w:pPr>
        <w:pStyle w:val="FirstParagraph"/>
      </w:pPr>
      <w:r>
        <w:t xml:space="preserve">Le schéma Person décrit les personnes physiques dans le contexte politique.</w:t>
      </w:r>
    </w:p>
    <w:p>
      <w:pPr>
        <w:pStyle w:val="Compact"/>
        <w:numPr>
          <w:ilvl w:val="0"/>
          <w:numId w:val="1005"/>
        </w:numPr>
      </w:pPr>
      <w:r>
        <w:rPr>
          <w:b/>
          <w:bCs/>
        </w:rPr>
        <w:t xml:space="preserve">Personne stable, caractéristiques valables dans le temps :</w:t>
      </w:r>
      <w:r>
        <w:t xml:space="preserve"> </w:t>
      </w:r>
      <w:r>
        <w:t xml:space="preserve">la</w:t>
      </w:r>
      <w:r>
        <w:t xml:space="preserve"> </w:t>
      </w:r>
      <w:r>
        <w:rPr>
          <w:rStyle w:val="VerbatimChar"/>
        </w:rPr>
        <w:t xml:space="preserve">Person</w:t>
      </w:r>
      <w:r>
        <w:t xml:space="preserve"> </w:t>
      </w:r>
      <w:r>
        <w:t xml:space="preserve">elle-même ne porte aucune validité temporelle, contrairement à ses caractéristiques – nom, nationalité, sexe, profession et formation portent chacune leurs propres</w:t>
      </w:r>
      <w:r>
        <w:t xml:space="preserve"> </w:t>
      </w:r>
      <w:r>
        <w:rPr>
          <w:rStyle w:val="VerbatimChar"/>
        </w:rPr>
        <w:t xml:space="preserve">valid_from</w:t>
      </w:r>
      <w:r>
        <w:t xml:space="preserve">/</w:t>
      </w:r>
      <w:r>
        <w:rPr>
          <w:rStyle w:val="VerbatimChar"/>
        </w:rPr>
        <w:t xml:space="preserve">valid_through</w:t>
      </w:r>
      <w:r>
        <w:t xml:space="preserve">. Ainsi, l’identité de la personne reste stable, tandis que certaines indications changent au fil du temps et que l’historique est conservé (p. ex. changement de nom lors d’un mariage). La circonscription électorale, en revanche, n’est pas une caractéristique de la personne : elle est rattachée à la</w:t>
      </w:r>
      <w:r>
        <w:t xml:space="preserve"> </w:t>
      </w:r>
      <w:r>
        <w:rPr>
          <w:rStyle w:val="VerbatimChar"/>
        </w:rPr>
        <w:t xml:space="preserve">Membership</w:t>
      </w:r>
      <w:r>
        <w:t xml:space="preserve"> </w:t>
      </w:r>
      <w:r>
        <w:t xml:space="preserve">(</w:t>
      </w:r>
      <w:r>
        <w:rPr>
          <w:rStyle w:val="VerbatimChar"/>
        </w:rPr>
        <w:t xml:space="preserve">electoral_district</w:t>
      </w:r>
      <w:r>
        <w:t xml:space="preserve">) et hérite de la validité temporelle de celle-ci – un changement de circonscription se traduit donc par l’affiliation correspondante.</w:t>
      </w:r>
    </w:p>
    <w:p>
      <w:pPr>
        <w:pStyle w:val="Compact"/>
        <w:numPr>
          <w:ilvl w:val="0"/>
          <w:numId w:val="1005"/>
        </w:numPr>
      </w:pPr>
      <w:r>
        <w:rPr>
          <w:b/>
          <w:bCs/>
        </w:rPr>
        <w:t xml:space="preserve">Nom d’affichage (</w:t>
      </w:r>
      <w:r>
        <w:rPr>
          <w:rStyle w:val="VerbatimChar"/>
          <w:b/>
          <w:bCs/>
        </w:rPr>
        <w:t xml:space="preserve">label</w:t>
      </w:r>
      <w:r>
        <w:rPr>
          <w:b/>
          <w:bCs/>
        </w:rPr>
        <w:t xml:space="preserve">) obligatoire, structure de noms (</w:t>
      </w:r>
      <w:r>
        <w:rPr>
          <w:rStyle w:val="VerbatimChar"/>
          <w:b/>
          <w:bCs/>
        </w:rPr>
        <w:t xml:space="preserve">names</w:t>
      </w:r>
      <w:r>
        <w:rPr>
          <w:b/>
          <w:bCs/>
        </w:rPr>
        <w:t xml:space="preserve">) facultative :</w:t>
      </w:r>
      <w:r>
        <w:t xml:space="preserve"> </w:t>
      </w:r>
      <w:r>
        <w:t xml:space="preserve">chaque personne possède un nom d’affichage court. Un nom est ainsi toujours disponible, même lorsque les indications sont incomplètes. Il est recommandé de combiner le nom officiel (</w:t>
      </w:r>
      <w:r>
        <w:rPr>
          <w:rStyle w:val="VerbatimChar"/>
        </w:rPr>
        <w:t xml:space="preserve">PersonOfficialName</w:t>
      </w:r>
      <w:r>
        <w:t xml:space="preserve">) et le prénom usuel (</w:t>
      </w:r>
      <w:r>
        <w:rPr>
          <w:rStyle w:val="VerbatimChar"/>
        </w:rPr>
        <w:t xml:space="preserve">PersonCallFirstName</w:t>
      </w:r>
      <w:r>
        <w:t xml:space="preserve">). Les titres académiques peuvent également être représentés au moyen de</w:t>
      </w:r>
      <w:r>
        <w:t xml:space="preserve"> </w:t>
      </w:r>
      <w:r>
        <w:rPr>
          <w:rStyle w:val="VerbatimChar"/>
        </w:rPr>
        <w:t xml:space="preserve">label_long</w:t>
      </w:r>
      <w:r>
        <w:t xml:space="preserve">.</w:t>
      </w:r>
    </w:p>
    <w:p>
      <w:pPr>
        <w:pStyle w:val="Compact"/>
        <w:numPr>
          <w:ilvl w:val="0"/>
          <w:numId w:val="1005"/>
        </w:numPr>
      </w:pPr>
      <w:r>
        <w:rPr>
          <w:b/>
          <w:bCs/>
        </w:rPr>
        <w:t xml:space="preserve">Types de noms selon la systématique officielle :</w:t>
      </w:r>
      <w:r>
        <w:t xml:space="preserve"> </w:t>
      </w:r>
      <w:r>
        <w:t xml:space="preserve">les types de noms (</w:t>
      </w:r>
      <w:r>
        <w:rPr>
          <w:rStyle w:val="VerbatimChar"/>
        </w:rPr>
        <w:t xml:space="preserve">NameTypeEnum</w:t>
      </w:r>
      <w:r>
        <w:t xml:space="preserve">) reprennent la systématique de l’harmonisation des registres (notamment nom officiel, nom d’origine, nom d’alliance, prénom usuel ainsi que des variantes pour les pièces d’identité étrangères). La référence est le</w:t>
      </w:r>
      <w:r>
        <w:t xml:space="preserve"> </w:t>
      </w:r>
      <w:hyperlink ns1:id="rId27">
        <w:r>
          <w:rPr>
            <w:rStyle w:val="Hyperlink"/>
          </w:rPr>
          <w:t xml:space="preserve">Catalogue officiel des caractères</w:t>
        </w:r>
      </w:hyperlink>
      <w:r>
        <w:t xml:space="preserve">, publié par l’Office fédéral de la statistique en vertu de l’art. 4 de la loi sur l’harmonisation de registres (LHR, RS 431.02) ; les numéros figurant dans les descriptions des valeurs (211–224) sont les numéros de caractères de ce catalogue. Le format d’échange correspondant est défini par la norme eCH</w:t>
      </w:r>
      <w:r>
        <w:t xml:space="preserve"> </w:t>
      </w:r>
      <w:hyperlink ns1:id="rId28">
        <w:r>
          <w:rPr>
            <w:rStyle w:val="Hyperlink"/>
          </w:rPr>
          <w:t xml:space="preserve">eCH-0011 Norme concernant les données concernant les personnes</w:t>
        </w:r>
      </w:hyperlink>
      <w:r>
        <w:t xml:space="preserve">, sur laquelle la présente norme s’appuie. Les noms sont ainsi compatibles avec les registres officiels des personnes et leur sémantique est claire.</w:t>
      </w:r>
    </w:p>
    <w:p>
      <w:pPr>
        <w:pStyle w:val="Compact"/>
        <w:numPr>
          <w:ilvl w:val="0"/>
          <w:numId w:val="1005"/>
        </w:numPr>
      </w:pPr>
      <w:r>
        <w:rPr>
          <w:b/>
          <w:bCs/>
        </w:rPr>
        <w:t xml:space="preserve">Date de naissance à deux niveaux de précision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 :</w:t>
      </w:r>
      <w:r>
        <w:t xml:space="preserve"> </w:t>
      </w:r>
      <w:r>
        <w:t xml:space="preserve">si la date de naissance exacte n’est pas disponible ou n’est pas destinée à la publication, seule l’année de naissance peut être indiquée. Si une</w:t>
      </w:r>
      <w:r>
        <w:t xml:space="preserve"> </w:t>
      </w:r>
      <w:r>
        <w:rPr>
          <w:rStyle w:val="VerbatimChar"/>
        </w:rPr>
        <w:t xml:space="preserve">birth_date</w:t>
      </w:r>
      <w:r>
        <w:t xml:space="preserve"> </w:t>
      </w:r>
      <w:r>
        <w:t xml:space="preserve">est disponible, elle prévaut.</w:t>
      </w:r>
    </w:p>
    <w:p>
      <w:pPr>
        <w:pStyle w:val="Compact"/>
        <w:numPr>
          <w:ilvl w:val="0"/>
          <w:numId w:val="1005"/>
        </w:numPr>
      </w:pPr>
      <w:r>
        <w:rPr>
          <w:b/>
          <w:bCs/>
        </w:rPr>
        <w:t xml:space="preserve">Valeurs multiples plutôt que valeurs uniques :</w:t>
      </w:r>
      <w:r>
        <w:t xml:space="preserve"> </w:t>
      </w:r>
      <w:r>
        <w:t xml:space="preserve">les noms, les nationalités et les indications de sexe sont modélisés sous forme de listes avec validité temporelle – par exemple pour les doubles nationalités, les changements de nom ou une indication de sexe évolutive.</w:t>
      </w:r>
    </w:p>
    <w:p>
      <w:pPr>
        <w:pStyle w:val="Compact"/>
        <w:numPr>
          <w:ilvl w:val="0"/>
          <w:numId w:val="1005"/>
        </w:numPr>
      </w:pPr>
      <w:r>
        <w:rPr>
          <w:b/>
          <w:bCs/>
        </w:rPr>
        <w:t xml:space="preserve">Sexe : codes officiels et catégorie ouverte (</w:t>
      </w:r>
      <w:r>
        <w:rPr>
          <w:rStyle w:val="VerbatimChar"/>
          <w:b/>
          <w:bCs/>
        </w:rPr>
        <w:t xml:space="preserve">GenderCodeEnum</w:t>
      </w:r>
      <w:r>
        <w:rPr>
          <w:b/>
          <w:bCs/>
        </w:rPr>
        <w:t xml:space="preserve">) :</w:t>
      </w:r>
      <w:r>
        <w:t xml:space="preserve"> </w:t>
      </w:r>
      <w:r>
        <w:rPr>
          <w:rStyle w:val="VerbatimChar"/>
        </w:rPr>
        <w:t xml:space="preserve">male</w:t>
      </w:r>
      <w:r>
        <w:t xml:space="preserve"> </w:t>
      </w:r>
      <w:r>
        <w:t xml:space="preserve">et</w:t>
      </w:r>
      <w:r>
        <w:t xml:space="preserve"> </w:t>
      </w:r>
      <w:r>
        <w:rPr>
          <w:rStyle w:val="VerbatimChar"/>
        </w:rPr>
        <w:t xml:space="preserve">female</w:t>
      </w:r>
      <w:r>
        <w:t xml:space="preserve"> </w:t>
      </w:r>
      <w:r>
        <w:t xml:space="preserve">correspondent aux valeurs de l’harmonisation des registres et renvoient, au moyen de</w:t>
      </w:r>
      <w:r>
        <w:t xml:space="preserve"> </w:t>
      </w:r>
      <w:r>
        <w:rPr>
          <w:rStyle w:val="VerbatimChar"/>
        </w:rPr>
        <w:t xml:space="preserve">meaning</w:t>
      </w:r>
      <w:r>
        <w:t xml:space="preserve">, aux concepts I14Y</w:t>
      </w:r>
      <w:r>
        <w:t xml:space="preserve"> </w:t>
      </w:r>
      <w:r>
        <w:rPr>
          <w:rStyle w:val="VerbatimChar"/>
        </w:rPr>
        <w:t xml:space="preserve">sex/1</w:t>
      </w:r>
      <w:r>
        <w:t xml:space="preserve"> </w:t>
      </w:r>
      <w:r>
        <w:t xml:space="preserve">et</w:t>
      </w:r>
      <w:r>
        <w:t xml:space="preserve"> </w:t>
      </w:r>
      <w:r>
        <w:rPr>
          <w:rStyle w:val="VerbatimChar"/>
        </w:rPr>
        <w:t xml:space="preserve">sex/2</w:t>
      </w:r>
      <w:r>
        <w:t xml:space="preserve">. Pour</w:t>
      </w:r>
      <w:r>
        <w:t xml:space="preserve"> </w:t>
      </w:r>
      <w:r>
        <w:rPr>
          <w:rStyle w:val="VerbatimChar"/>
        </w:rPr>
        <w:t xml:space="preserve">non_binary</w:t>
      </w:r>
      <w:r>
        <w:t xml:space="preserve">, il n’existe délibérément aucune correspondance : la liste de codes officielle ne connaît comme troisième valeur que « indéterminé », ce qui signifie autre chose qu’une indication positive au-delà du masculin et du féminin. Si le sexe n’est pas connu, aucune entrée n’est donc créée — une entrée absente et</w:t>
      </w:r>
      <w:r>
        <w:t xml:space="preserve"> </w:t>
      </w:r>
      <w:r>
        <w:rPr>
          <w:rStyle w:val="VerbatimChar"/>
        </w:rPr>
        <w:t xml:space="preserve">non_binary</w:t>
      </w:r>
      <w:r>
        <w:t xml:space="preserve"> </w:t>
      </w:r>
      <w:r>
        <w:t xml:space="preserve">doivent être clairement distinguées.</w:t>
      </w:r>
    </w:p>
    <w:p>
      <w:pPr>
        <w:pStyle w:val="Compact"/>
        <w:numPr>
          <w:ilvl w:val="0"/>
          <w:numId w:val="1005"/>
        </w:numPr>
      </w:pPr>
      <w:r>
        <w:rPr>
          <w:b/>
          <w:bCs/>
        </w:rPr>
        <w:t xml:space="preserve">Harmonisation par-delà les niveaux fédéraux (objectif à long terme) :</w:t>
      </w:r>
      <w:r>
        <w:t xml:space="preserve"> </w:t>
      </w:r>
      <w:r>
        <w:t xml:space="preserve">la mise en relation d’une même personne à travers les niveaux fédéraux constitue un objectif important à long terme. La constitution d’une base de données centralisée des personnes dépasse les possibilités du groupe spécialisé eCH. Comme une infrastructure ouverte et éprouvée existe déjà à cet effet,</w:t>
      </w:r>
      <w:r>
        <w:t xml:space="preserve"> </w:t>
      </w:r>
      <w:r>
        <w:rPr>
          <w:b/>
          <w:bCs/>
        </w:rPr>
        <w:t xml:space="preserve">Wikidata est recommandé comme identifiant transversal</w:t>
      </w:r>
      <w:r>
        <w:t xml:space="preserve"> </w:t>
      </w:r>
      <w:r>
        <w:t xml:space="preserve">(</w:t>
      </w:r>
      <w:r>
        <w:rPr>
          <w:rStyle w:val="VerbatimChar"/>
        </w:rPr>
        <w:t xml:space="preserve">wikidata_uri</w:t>
      </w:r>
      <w:r>
        <w:t xml:space="preserve">) ; conjointement à des identifiants globalement univoques (URI), l’attribution peut ainsi être harmonisée progressivement à travers les systèmes.</w:t>
      </w:r>
    </w:p>
    <w:bookmarkStart w:id="38" w:name="classe-person"/>
    <w:p>
      <w:pPr>
        <w:pStyle w:val="berschrift2"/>
      </w:pPr>
      <w:r>
        <w:t xml:space="preserve">Classe: Person</w:t>
      </w:r>
    </w:p>
    <w:p>
      <w:pPr>
        <w:pStyle w:val="FirstParagraph"/>
      </w:pPr>
      <w:r>
        <w:rPr>
          <w:i/>
          <w:iCs/>
        </w:rPr>
        <w:t xml:space="preserve">Une personne avec des identifiants, des noms, des adresses, des nationalités et des professions.</w:t>
      </w:r>
    </w:p>
    <w:bookmarkStart w:id="29" w:name="attributs"/>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d’affichage court et obligatoire permettant d’identifier la personne au sein de l’organisation (p. ex. avec l’ajout de l’année de naissance afin de distinguer des personnes portant le même nom). Recommandé : PersonOfficialName combiné avec PersonCallFirstName.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Nom d’affichage long et facultatif comprenant les titres académiques et le nom officiel complet (p. ex. « Dr. Maria Muster-Beispiel »).</w:t>
            </w:r>
          </w:p>
        </w:tc>
      </w:tr>
      <w:tr>
        <w:tc>
          <w:tcPr>
            <w:shd w:val="clear" w:color="auto" w:fill="F2F2F2"/>
          </w:tcPr>
          <w:p>
            <w:pPr>
              <w:pStyle w:val="Compact"/>
            </w:pPr>
            <w:r>
              <w:t xml:space="preserve">birth_year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Année de naissance. À utiliser uniquement lorsqu’aucune</w:t>
            </w:r>
            <w:r>
              <w:t xml:space="preserve"> </w:t>
            </w:r>
            <w:r>
              <w:rPr>
                <w:rStyle w:val="VerbatimChar"/>
              </w:rPr>
              <w:t xml:space="preserve">birthDate</w:t>
            </w:r>
            <w:r>
              <w:t xml:space="preserve"> </w:t>
            </w:r>
            <w:r>
              <w:t xml:space="preserve">complète n’est disponible.</w:t>
            </w:r>
          </w:p>
        </w:tc>
      </w:tr>
      <w:tr>
        <w:tc>
          <w:tcPr/>
          <w:p>
            <w:pPr>
              <w:pStyle w:val="Compact"/>
            </w:pPr>
            <w:r>
              <w:t xml:space="preserve">birth_date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Date de naissance exacte si disponible et publique. Ce champ prime sur le champ</w:t>
            </w:r>
            <w:r>
              <w:t xml:space="preserve"> </w:t>
            </w:r>
            <w:r>
              <w:rPr>
                <w:rStyle w:val="VerbatimChar"/>
              </w:rPr>
              <w:t xml:space="preserve">birthYear</w:t>
            </w:r>
            <w:r>
              <w:t xml:space="preserve">.</w:t>
            </w:r>
          </w:p>
        </w:tc>
      </w:tr>
      <w:tr>
        <w:tc>
          <w:tcPr>
            <w:shd w:val="clear" w:color="auto" w:fill="F2F2F2"/>
          </w:tcPr>
          <w:p>
            <w:pPr>
              <w:pStyle w:val="Compact"/>
            </w:pPr>
            <w:r>
              <w:t xml:space="preserve">death_date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Date de décès exacte.</w:t>
            </w:r>
          </w:p>
        </w:tc>
      </w:tr>
      <w:tr>
        <w:tc>
          <w:tcPr/>
          <w:p>
            <w:pPr>
              <w:pStyle w:val="Compact"/>
            </w:pPr>
            <w:r>
              <w:t xml:space="preserve">picture</w:t>
            </w:r>
          </w:p>
        </w:tc>
        <w:tc>
          <w:tcPr/>
          <w:p>
            <w:pPr>
              <w:pStyle w:val="Compact"/>
            </w:pPr>
            <w:r>
              <w:t xml:space="preserve">0..1</w:t>
            </w:r>
            <w:r>
              <w:t xml:space="preserve"> </w:t>
            </w:r>
            <w:r>
              <w:t xml:space="preserve"> </w:t>
            </w:r>
            <w:hyperlink w:anchor="Uri">
              <w:r>
                <w:rPr>
                  <w:rStyle w:val="Hyperlink"/>
                </w:rPr>
                <w:t xml:space="preserve">Uri</w:t>
              </w:r>
            </w:hyperlink>
          </w:p>
        </w:tc>
        <w:tc>
          <w:tcPr/>
          <w:p>
            <w:pPr>
              <w:pStyle w:val="Compact"/>
            </w:pPr>
            <w:r>
              <w:t xml:space="preserve">Lien vers une image (de préférence : PNG, puis JPG, puis GIF).</w:t>
            </w:r>
          </w:p>
        </w:tc>
      </w:tr>
      <w:tr>
        <w:tc>
          <w:tcPr>
            <w:shd w:val="clear" w:color="auto" w:fill="F2F2F2"/>
          </w:tcPr>
          <w:p>
            <w:pPr>
              <w:pStyle w:val="Compact"/>
            </w:pPr>
            <w:r>
              <w:t xml:space="preserve">names</w:t>
            </w:r>
          </w:p>
        </w:tc>
        <w:tc>
          <w:tcPr>
            <w:shd w:val="clear" w:color="auto" w:fill="F2F2F2"/>
          </w:tcPr>
          <w:p>
            <w:pPr>
              <w:pStyle w:val="Compact"/>
            </w:pPr>
            <w:r>
              <w:t xml:space="preserve">*</w:t>
            </w:r>
            <w:r>
              <w:t xml:space="preserve"> </w:t>
            </w:r>
            <w:r>
              <w:t xml:space="preserve"> </w:t>
            </w:r>
            <w:hyperlink w:anchor="Name">
              <w:r>
                <w:rPr>
                  <w:rStyle w:val="Hyperlink"/>
                </w:rPr>
                <w:t xml:space="preserve">Name</w:t>
              </w:r>
            </w:hyperlink>
          </w:p>
        </w:tc>
        <w:tc>
          <w:tcPr>
            <w:shd w:val="clear" w:color="auto" w:fill="F2F2F2"/>
          </w:tcPr>
          <w:p>
            <w:pPr>
              <w:pStyle w:val="Compact"/>
            </w:pPr>
            <w:r>
              <w:t xml:space="preserve">Noms de la personne avec type et valeur.</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Adresses avec type (privée, professionnelle, locale).</w:t>
            </w:r>
          </w:p>
        </w:tc>
      </w:tr>
      <w:tr>
        <w:tc>
          <w:tcPr>
            <w:shd w:val="clear" w:color="auto" w:fill="F2F2F2"/>
          </w:tcPr>
          <w:p>
            <w:pPr>
              <w:pStyle w:val="Compact"/>
            </w:pPr>
            <w:r>
              <w:t xml:space="preserve">language_proficiencies</w:t>
            </w:r>
          </w:p>
        </w:tc>
        <w:tc>
          <w:tcPr>
            <w:shd w:val="clear" w:color="auto" w:fill="F2F2F2"/>
          </w:tcPr>
          <w:p>
            <w:pPr>
              <w:pStyle w:val="Compact"/>
            </w:pPr>
            <w:r>
              <w:t xml:space="preserve">*</w:t>
            </w:r>
            <w:r>
              <w:t xml:space="preserve"> </w:t>
            </w:r>
            <w:r>
              <w:t xml:space="preserve"> </w:t>
            </w:r>
            <w:hyperlink w:anchor="LanguageProficiency">
              <w:r>
                <w:rPr>
                  <w:rStyle w:val="Hyperlink"/>
                </w:rPr>
                <w:t xml:space="preserve">LanguageProficiency</w:t>
              </w:r>
            </w:hyperlink>
          </w:p>
        </w:tc>
        <w:tc>
          <w:tcPr>
            <w:shd w:val="clear" w:color="auto" w:fill="F2F2F2"/>
          </w:tcPr>
          <w:p>
            <w:pPr>
              <w:pStyle w:val="Compact"/>
            </w:pPr>
            <w:r>
              <w:t xml:space="preserve">Compétences linguistiques de la personne.</w:t>
            </w:r>
          </w:p>
        </w:tc>
      </w:tr>
      <w:tr>
        <w:tc>
          <w:tcPr/>
          <w:p>
            <w:pPr>
              <w:pStyle w:val="Compact"/>
            </w:pPr>
            <w:r>
              <w:t xml:space="preserve">citizenships</w:t>
            </w:r>
          </w:p>
        </w:tc>
        <w:tc>
          <w:tcPr/>
          <w:p>
            <w:pPr>
              <w:pStyle w:val="Compact"/>
            </w:pPr>
            <w:r>
              <w:t xml:space="preserve">*</w:t>
            </w:r>
            <w:r>
              <w:t xml:space="preserve"> </w:t>
            </w:r>
            <w:r>
              <w:t xml:space="preserve"> </w:t>
            </w:r>
            <w:hyperlink w:anchor="Citizenship">
              <w:r>
                <w:rPr>
                  <w:rStyle w:val="Hyperlink"/>
                </w:rPr>
                <w:t xml:space="preserve">Citizenship</w:t>
              </w:r>
            </w:hyperlink>
          </w:p>
        </w:tc>
        <w:tc>
          <w:tcPr/>
          <w:p>
            <w:pPr>
              <w:pStyle w:val="Compact"/>
            </w:pPr>
            <w:r>
              <w:t xml:space="preserve">Nationalités de la personne.</w:t>
            </w:r>
          </w:p>
        </w:tc>
      </w:tr>
      <w:tr>
        <w:tc>
          <w:tcPr>
            <w:shd w:val="clear" w:color="auto" w:fill="F2F2F2"/>
          </w:tcPr>
          <w:p>
            <w:pPr>
              <w:pStyle w:val="Compact"/>
            </w:pPr>
            <w:r>
              <w:t xml:space="preserve">genders</w:t>
            </w:r>
          </w:p>
        </w:tc>
        <w:tc>
          <w:tcPr>
            <w:shd w:val="clear" w:color="auto" w:fill="F2F2F2"/>
          </w:tcPr>
          <w:p>
            <w:pPr>
              <w:pStyle w:val="Compact"/>
            </w:pPr>
            <w:r>
              <w:t xml:space="preserve">*</w:t>
            </w:r>
            <w:r>
              <w:t xml:space="preserve"> </w:t>
            </w:r>
            <w:r>
              <w:t xml:space="preserve"> </w:t>
            </w:r>
            <w:hyperlink w:anchor="Gender">
              <w:r>
                <w:rPr>
                  <w:rStyle w:val="Hyperlink"/>
                </w:rPr>
                <w:t xml:space="preserve">Gender</w:t>
              </w:r>
            </w:hyperlink>
          </w:p>
        </w:tc>
        <w:tc>
          <w:tcPr>
            <w:shd w:val="clear" w:color="auto" w:fill="F2F2F2"/>
          </w:tcPr>
          <w:p>
            <w:pPr>
              <w:pStyle w:val="Compact"/>
            </w:pPr>
            <w:r>
              <w:t xml:space="preserve">Sexe de la personne.</w:t>
            </w:r>
          </w:p>
        </w:tc>
      </w:tr>
      <w:tr>
        <w:tc>
          <w:tcPr/>
          <w:p>
            <w:pPr>
              <w:pStyle w:val="Compact"/>
            </w:pPr>
            <w:r>
              <w:t xml:space="preserve">occupations</w:t>
            </w:r>
          </w:p>
        </w:tc>
        <w:tc>
          <w:tcPr/>
          <w:p>
            <w:pPr>
              <w:pStyle w:val="Compact"/>
            </w:pPr>
            <w:r>
              <w:t xml:space="preserve">*</w:t>
            </w:r>
            <w:r>
              <w:t xml:space="preserve"> </w:t>
            </w:r>
            <w:r>
              <w:t xml:space="preserve"> </w:t>
            </w:r>
            <w:hyperlink w:anchor="Occupation">
              <w:r>
                <w:rPr>
                  <w:rStyle w:val="Hyperlink"/>
                </w:rPr>
                <w:t xml:space="preserve">Occupation</w:t>
              </w:r>
            </w:hyperlink>
          </w:p>
        </w:tc>
        <w:tc>
          <w:tcPr/>
          <w:p>
            <w:pPr>
              <w:pStyle w:val="Compact"/>
            </w:pPr>
            <w:r>
              <w:t xml:space="preserve">Métiers ou professions de la personne.</w:t>
            </w:r>
          </w:p>
        </w:tc>
      </w:tr>
      <w:tr>
        <w:tc>
          <w:tcPr>
            <w:shd w:val="clear" w:color="auto" w:fill="F2F2F2"/>
          </w:tcPr>
          <w:p>
            <w:pPr>
              <w:pStyle w:val="Compact"/>
            </w:pPr>
            <w:r>
              <w:t xml:space="preserve">trainings</w:t>
            </w:r>
          </w:p>
        </w:tc>
        <w:tc>
          <w:tcPr>
            <w:shd w:val="clear" w:color="auto" w:fill="F2F2F2"/>
          </w:tcPr>
          <w:p>
            <w:pPr>
              <w:pStyle w:val="Compact"/>
            </w:pPr>
            <w:r>
              <w:t xml:space="preserve">*</w:t>
            </w:r>
            <w:r>
              <w:t xml:space="preserve"> </w:t>
            </w:r>
            <w:r>
              <w:t xml:space="preserve"> </w:t>
            </w:r>
            <w:hyperlink w:anchor="Training">
              <w:r>
                <w:rPr>
                  <w:rStyle w:val="Hyperlink"/>
                </w:rPr>
                <w:t xml:space="preserve">Training</w:t>
              </w:r>
            </w:hyperlink>
          </w:p>
        </w:tc>
        <w:tc>
          <w:tcPr>
            <w:shd w:val="clear" w:color="auto" w:fill="F2F2F2"/>
          </w:tcPr>
          <w:p>
            <w:pPr>
              <w:pStyle w:val="Compact"/>
            </w:pPr>
            <w:r>
              <w:t xml:space="preserve">Formations ou éducations de la personne. Directive : n’indiquer en principe que la qualification la plus élevée obtenue.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Informations de contact (e-mail, site web, réseaux sociaux). Directive : l’e-mail est quasi obligatoire et devrait toujours être fourni lorsqu’il est disponible.</w:t>
            </w:r>
          </w:p>
        </w:tc>
      </w:tr>
      <w:tr>
        <w:tc>
          <w:tcPr>
            <w:shd w:val="clear" w:color="auto" w:fill="F2F2F2"/>
          </w:tcPr>
          <w:p>
            <w:pPr>
              <w:pStyle w:val="Compact"/>
            </w:pPr>
            <w:r>
              <w:t xml:space="preserve">interest_links</w:t>
            </w:r>
          </w:p>
        </w:tc>
        <w:tc>
          <w:tcPr>
            <w:shd w:val="clear" w:color="auto" w:fill="F2F2F2"/>
          </w:tcPr>
          <w:p>
            <w:pPr>
              <w:pStyle w:val="Compact"/>
            </w:pPr>
            <w:r>
              <w:t xml:space="preserve">*</w:t>
            </w:r>
            <w:r>
              <w:t xml:space="preserve"> </w:t>
            </w:r>
            <w:r>
              <w:t xml:space="preserve"> </w:t>
            </w:r>
            <w:hyperlink w:anchor="InterestLink">
              <w:r>
                <w:rPr>
                  <w:rStyle w:val="Hyperlink"/>
                </w:rPr>
                <w:t xml:space="preserve">InterestLink</w:t>
              </w:r>
            </w:hyperlink>
          </w:p>
        </w:tc>
        <w:tc>
          <w:tcPr>
            <w:shd w:val="clear" w:color="auto" w:fill="F2F2F2"/>
          </w:tcPr>
          <w:p>
            <w:pPr>
              <w:pStyle w:val="Compact"/>
            </w:pPr>
            <w:r>
              <w:t xml:space="preserve">Collection de liens d’intérêts.</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29"/>
    <w:bookmarkStart w:id="30" w:name="utilisations"/>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30"/>
    <w:bookmarkStart w:id="37" w:name="exemples"/>
    <w:p>
      <w:pPr>
        <w:pStyle w:val="berschrift3"/>
      </w:pPr>
      <w:r>
        <w:t xml:space="preserve">Exemples</w:t>
      </w:r>
    </w:p>
    <w:bookmarkStart w:id="31" w:name="X9955bc77ce47192f4dfec3a5ff6329bbba6605b"/>
    <w:p>
      <w:pPr>
        <w:pStyle w:val="berschrift4"/>
      </w:pPr>
      <w:r>
        <w:t xml:space="preserve">Exemple : Variante de nom à côté du double nom officiel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FunctionTok"/>
        </w:rPr>
        <w:t xml:space="preserve">label</w:t>
      </w:r>
      <w:r>
        <w:rPr>
          <w:rStyle w:val="KeywordTok"/>
        </w:rPr>
        <w:t xml:space="preserve">:</w:t>
      </w:r>
      <w:r>
        <w:rPr>
          <w:rStyle w:val="AttributeTok"/>
        </w:rPr>
        <w:t xml:space="preserve"> Cristina Bozzi-Brunel</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1"/>
    <w:bookmarkStart w:id="32" w:name="X553b4f9880ce41c9d1e74079fa3e97a01ef2a8c"/>
    <w:p>
      <w:pPr>
        <w:pStyle w:val="berschrift4"/>
      </w:pPr>
      <w:r>
        <w:t xml:space="preserve">Exemple : Prénom usuel différent du prénom officiel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https://www4.ti.ch/poteri/gc/parlamento/composizione-del-parlamento/composizione-nelle-ultime-legislature/dettaglio-deputati/?user_gcparlamento_pi3%5BcanID%5D=1269</w:t>
      </w:r>
      <w:r>
        <w:br/>
      </w:r>
      <w:r>
        <w:rPr>
          <w:rStyle w:val="FunctionTok"/>
        </w:rPr>
        <w:t xml:space="preserve">label</w:t>
      </w:r>
      <w:r>
        <w:rPr>
          <w:rStyle w:val="KeywordTok"/>
        </w:rPr>
        <w:t xml:space="preserve">:</w:t>
      </w:r>
      <w:r>
        <w:rPr>
          <w:rStyle w:val="AttributeTok"/>
        </w:rPr>
        <w:t xml:space="preserve"> Gerri Beretta-Piccoli</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2"/>
    <w:bookmarkStart w:id="33" w:name="X7dfdf916967534251c80aff5a6d4af223df0802"/>
    <w:p>
      <w:pPr>
        <w:pStyle w:val="berschrift4"/>
      </w:pPr>
      <w:r>
        <w:t xml:space="preserve">Exemple : Indication de sexe non binaire avec profession et formation</w:t>
      </w:r>
    </w:p>
    <w:p>
      <w:pPr>
        <w:pStyle w:val="SourceCode"/>
      </w:pP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https://stadtrat.bern.ch/de/mitglieder/detail.php?gid=72c7232be92944e3876f3b6723824ff9</w:t>
      </w:r>
      <w:r>
        <w:br/>
      </w:r>
      <w:r>
        <w:rPr>
          <w:rStyle w:val="FunctionTok"/>
        </w:rPr>
        <w:t xml:space="preserve">label</w:t>
      </w:r>
      <w:r>
        <w:rPr>
          <w:rStyle w:val="KeywordTok"/>
        </w:rPr>
        <w:t xml:space="preserve">:</w:t>
      </w:r>
      <w:r>
        <w:rPr>
          <w:rStyle w:val="AttributeTok"/>
        </w:rPr>
        <w:t xml:space="preserve"> Sofia Fisch</w:t>
      </w:r>
      <w:r>
        <w:br/>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3"/>
    <w:bookmarkStart w:id="34" w:name="X2a8ab9eff89a19567726fed606aa6980fc3dc43"/>
    <w:p>
      <w:pPr>
        <w:pStyle w:val="berschrift4"/>
      </w:pPr>
      <w:r>
        <w:t xml:space="preserve">Exemple : Distinguer des personnes homonymes par le label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FunctionTok"/>
        </w:rPr>
        <w:t xml:space="preserve">global_uri</w:t>
      </w:r>
      <w:r>
        <w:rPr>
          <w:rStyle w:val="KeywordTok"/>
        </w:rPr>
        <w:t xml:space="preserve">:</w:t>
      </w:r>
      <w:r>
        <w:rPr>
          <w:rStyle w:val="AttributeTok"/>
        </w:rPr>
        <w:t xml:space="preserve"> https://www.ur.ch/behoerdenmitglieder/6447</w:t>
      </w:r>
      <w:r>
        <w:br/>
      </w:r>
      <w:r>
        <w:rPr>
          <w:rStyle w:val="FunctionTok"/>
        </w:rPr>
        <w:t xml:space="preserve">label</w:t>
      </w:r>
      <w:r>
        <w:rPr>
          <w:rStyle w:val="KeywordTok"/>
        </w:rPr>
        <w:t xml:space="preserve">:</w:t>
      </w:r>
      <w:r>
        <w:rPr>
          <w:rStyle w:val="AttributeTok"/>
        </w:rPr>
        <w:t xml:space="preserve"> Alois Arnold (1981)</w:t>
      </w:r>
      <w:r>
        <w:br/>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4"/>
    <w:bookmarkStart w:id="35" w:name="X193b23d0a4e2d4024a2325d8554daf79d2f9c7e"/>
    <w:p>
      <w:pPr>
        <w:pStyle w:val="berschrift4"/>
      </w:pPr>
      <w:r>
        <w:t xml:space="preserve">Exemple : Personne saisie de manière complète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https://www.admin.ch/de/beat-jans</w:t>
      </w:r>
      <w:r>
        <w:br/>
      </w:r>
      <w:r>
        <w:rPr>
          <w:rStyle w:val="FunctionTok"/>
        </w:rPr>
        <w:t xml:space="preserve">wikidata_uri</w:t>
      </w:r>
      <w:r>
        <w:rPr>
          <w:rStyle w:val="KeywordTok"/>
        </w:rPr>
        <w:t xml:space="preserve">:</w:t>
      </w:r>
      <w:r>
        <w:rPr>
          <w:rStyle w:val="AttributeTok"/>
        </w:rPr>
        <w:t xml:space="preserve"> http://www.wikidata.org/entity/Q813067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35"/>
    <w:bookmarkStart w:id="36" w:name="Xd55053be701346bf782f67a2fdffdfa587b0908"/>
    <w:p>
      <w:pPr>
        <w:pStyle w:val="berschrift4"/>
      </w:pPr>
      <w:r>
        <w:t xml:space="preserve">Exemple : Distinguer des personnes homonymes par le label (deuxième personne)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FunctionTok"/>
        </w:rPr>
        <w:t xml:space="preserve">global_uri</w:t>
      </w:r>
      <w:r>
        <w:rPr>
          <w:rStyle w:val="KeywordTok"/>
        </w:rPr>
        <w:t xml:space="preserve">:</w:t>
      </w:r>
      <w:r>
        <w:rPr>
          <w:rStyle w:val="AttributeTok"/>
        </w:rPr>
        <w:t xml:space="preserve"> https://www.ur.ch/behoerdenmitglieder/6370</w:t>
      </w:r>
      <w:r>
        <w:br/>
      </w:r>
      <w:r>
        <w:rPr>
          <w:rStyle w:val="FunctionTok"/>
        </w:rPr>
        <w:t xml:space="preserve">label</w:t>
      </w:r>
      <w:r>
        <w:rPr>
          <w:rStyle w:val="KeywordTok"/>
        </w:rPr>
        <w:t xml:space="preserve">:</w:t>
      </w:r>
      <w:r>
        <w:rPr>
          <w:rStyle w:val="AttributeTok"/>
        </w:rPr>
        <w:t xml:space="preserve"> Alois Arnold (1965)</w:t>
      </w:r>
      <w:r>
        <w:br/>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6"/>
    <w:bookmarkEnd w:id="37"/>
    <w:bookmarkEnd w:id="38"/>
    <w:bookmarkStart w:id="41" w:name="classe-name"/>
    <w:p>
      <w:pPr>
        <w:pStyle w:val="berschrift2"/>
      </w:pPr>
      <w:r>
        <w:t xml:space="preserve">Classe: Name</w:t>
      </w:r>
    </w:p>
    <w:p>
      <w:pPr>
        <w:pStyle w:val="FirstParagraph"/>
      </w:pPr>
      <w:r>
        <w:rPr>
          <w:i/>
          <w:iCs/>
        </w:rPr>
        <w:t xml:space="preserve">Un nom avec un type (p. ex. nom d’usage, nom officiel), une valeur et une validité temporelle.</w:t>
      </w:r>
    </w:p>
    <w:bookmarkStart w:id="39" w:name="attributs-1"/>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Type de nom selon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La valeur proprement dite d’une information, en plus d’autres attributs tels que le type, la langue,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39"/>
    <w:bookmarkStart w:id="40" w:name="utilisations-1"/>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40"/>
    <w:bookmarkEnd w:id="41"/>
    <w:bookmarkStart w:id="55" w:name="enum-nametypeenum"/>
    <w:p>
      <w:pPr>
        <w:pStyle w:val="berschrift2"/>
      </w:pPr>
      <w:r>
        <w:t xml:space="preserve">Enum: NameTypeEnum</w:t>
      </w:r>
    </w:p>
    <w:p>
      <w:pPr>
        <w:pStyle w:val="FirstParagraph"/>
      </w:pPr>
      <w:r>
        <w:rPr>
          <w:i/>
          <w:iCs/>
        </w:rPr>
        <w:t xml:space="preserve">Catégories de types de noms selon eCH-0011 (personNameData) et le Catalogue officiel des caractères de l’harmonisation de registres (https://www.bfs.admin.ch/bfs/fr/home/registres/registre-personnes/harmonisation-registres/nomenclatures.assetdetail.24565577.html), URI selon l’identifiant I14Y mais en tant que classe et non en tant qu’attribut. Descriptions et traductions selon I14Y.</w:t>
      </w:r>
    </w:p>
    <w:p>
      <w:pPr>
        <w:pStyle w:val="Textkrper"/>
      </w:pPr>
      <w:r>
        <w:t xml:space="preserve">URI:</w:t>
      </w:r>
      <w:r>
        <w:t xml:space="preserve"> </w:t>
      </w:r>
      <w:hyperlink ns1:id="rId42">
        <w:r>
          <w:rPr>
            <w:rStyle w:val="Hyperlink"/>
          </w:rPr>
          <w:t xml:space="preserve">act:NameTypeEnum</w:t>
        </w:r>
      </w:hyperlink>
    </w:p>
    <w:bookmarkStart w:id="54" w:name="valeurs-admissibles"/>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PersonOfficialName</w:t>
            </w:r>
          </w:p>
        </w:tc>
        <w:tc>
          <w:tcPr>
            <w:shd w:val="clear" w:color="auto" w:fill="F2F2F2"/>
          </w:tcPr>
          <w:p>
            <w:pPr>
              <w:pStyle w:val="Compact"/>
            </w:pPr>
            <w:r>
              <w:t xml:space="preserve">Nom selon les documents officiels. Le nom officiel correspond au nom figurant dans le registre suisse de l’état civil. Pour les ressortissants étrangers n’ayant pas d’événement d’état civil en Suisse, le nom officiel correspond au nom figurant sur le passeport étranger ou la carte d’identité (voir « Nom selon le passeport étranger » ou les directives du SEM sur la détermination et l’orthographe des noms des ressortissants étrangers du 1er janvier 2012. En l’absence de documents officiels, voir également « Nom selon la déclaration » (p. ex. dans le cas de requérants d’asile). Le nom officiel peut se composer d’une ou de plusieurs parties. Selon le catalogue officiel des caractères (n° 211) pour l’harmonisation des registres.</w:t>
            </w:r>
          </w:p>
        </w:tc>
      </w:tr>
      <w:tr>
        <w:tc>
          <w:tcPr/>
          <w:p>
            <w:pPr>
              <w:pStyle w:val="Compact"/>
            </w:pPr>
          </w:p>
        </w:tc>
        <w:tc>
          <w:tcPr/>
          <w:p>
            <w:pPr>
              <w:pStyle w:val="Compact"/>
            </w:pPr>
            <w:hyperlink ns1:id="rId43">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Nom de filiation selon les documents officiels, qui correspond au nom porté par la personne avant son premier mariage ou son premier partenariat enregistré. Il peut également s’agir d’un nom de célibataire acquis par une décision de changement de nom (voir art. 24, al. 2 OEC, RS 211.112.2). Selon le catalogue officiel des caractères (n° 212) pour l’harmonisation des registres.</w:t>
            </w:r>
          </w:p>
        </w:tc>
      </w:tr>
      <w:tr>
        <w:tc>
          <w:tcPr/>
          <w:p>
            <w:pPr>
              <w:pStyle w:val="Compact"/>
            </w:pPr>
          </w:p>
        </w:tc>
        <w:tc>
          <w:tcPr/>
          <w:p>
            <w:pPr>
              <w:pStyle w:val="Compact"/>
            </w:pPr>
            <w:hyperlink ns1:id="rId44">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Le nom d’alliance montre le lien entre deux personnes mariées ou vivant en partenariat enregistré. Un nom d’alliance déjà utilisé peut être conservé après la dissolution du mariage ou du partenariat si le nom officiel n’a pas été modifié lors de la dissolution. Il est rattaché au nom officiel par un trait d’union et est formé avec le nom de célibataire du partenaire ou son propre nom de célibataire. Sur demande, le nom d’alliance peut être inscrit dans le passeport ou sur la carte d’identité. Selon le catalogue officiel des caractères (n° 213) pour l’harmonisation des registres.</w:t>
            </w:r>
          </w:p>
        </w:tc>
      </w:tr>
      <w:tr>
        <w:tc>
          <w:tcPr/>
          <w:p>
            <w:pPr>
              <w:pStyle w:val="Compact"/>
            </w:pPr>
          </w:p>
        </w:tc>
        <w:tc>
          <w:tcPr/>
          <w:p>
            <w:pPr>
              <w:pStyle w:val="Compact"/>
            </w:pPr>
            <w:hyperlink ns1:id="rId45">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Pour les personnes de nationalité étrangère. Ce nom correspond à l’entrée figurant dans la zone lisible par machine du passeport. Si cette zone comporte des noms de famille ou des prénoms abrégés, ceux-ci doivent, dans la mesure du possible, être enregistrés dans leur intégralité, conformément à l’entrée figurant dans le passeport. Selon le catalogue officiel des caractères (n° 214) pour l’harmonisation des registres.</w:t>
            </w:r>
          </w:p>
        </w:tc>
      </w:tr>
      <w:tr>
        <w:tc>
          <w:tcPr/>
          <w:p>
            <w:pPr>
              <w:pStyle w:val="Compact"/>
            </w:pPr>
          </w:p>
        </w:tc>
        <w:tc>
          <w:tcPr/>
          <w:p>
            <w:pPr>
              <w:pStyle w:val="Compact"/>
            </w:pPr>
            <w:hyperlink ns1:id="rId46">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Nom (p. ex. nom de scène, nom religieux) qui, sur la base d’une demande acceptée, peut être porté par la personne. Le nom d’alias peut se composer d’une ou de plusieurs parties (p. ex. également le prénom d’alias et le nom de famille d’alias). Selon le catalogue officiel des caractères (n° 215) pour l’harmonisation des registres.</w:t>
            </w:r>
          </w:p>
        </w:tc>
      </w:tr>
      <w:tr>
        <w:tc>
          <w:tcPr/>
          <w:p>
            <w:pPr>
              <w:pStyle w:val="Compact"/>
            </w:pPr>
          </w:p>
        </w:tc>
        <w:tc>
          <w:tcPr/>
          <w:p>
            <w:pPr>
              <w:pStyle w:val="Compact"/>
            </w:pPr>
            <w:hyperlink ns1:id="rId47">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Autres noms officiels selon les documents d’état civil suisses (art. 24, al. 3 OEC) ou selon des documents étrangers, qui ne sont ni des noms de famille ni des prénoms. Selon le catalogue officiel des caractères (n° 216) pour l’harmonisation des registres.</w:t>
            </w:r>
          </w:p>
        </w:tc>
      </w:tr>
      <w:tr>
        <w:tc>
          <w:tcPr/>
          <w:p>
            <w:pPr>
              <w:pStyle w:val="Compact"/>
            </w:pPr>
          </w:p>
        </w:tc>
        <w:tc>
          <w:tcPr/>
          <w:p>
            <w:pPr>
              <w:pStyle w:val="Compact"/>
            </w:pPr>
            <w:hyperlink ns1:id="rId48">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Pour les ressortissants étrangers qui ne disposent pas de documents officiels (principalement dans le domaine de l’asile). Selon le catalogue officiel des caractères (n° 217) pour l’harmonisation des registres.</w:t>
            </w:r>
          </w:p>
        </w:tc>
      </w:tr>
      <w:tr>
        <w:tc>
          <w:tcPr/>
          <w:p>
            <w:pPr>
              <w:pStyle w:val="Compact"/>
            </w:pPr>
          </w:p>
        </w:tc>
        <w:tc>
          <w:tcPr/>
          <w:p>
            <w:pPr>
              <w:pStyle w:val="Compact"/>
            </w:pPr>
            <w:hyperlink ns1:id="rId49">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Prénoms tirés de l’acte de naissance, du registre de l’état civil (Infostar) dans l’ordre dans lequel ils apparaissent, ou tirés de documents d’identité étrangers. Selon le catalogue officiel des caractères (n° 221) pour l’harmonisation des registres.</w:t>
            </w:r>
          </w:p>
        </w:tc>
      </w:tr>
      <w:tr>
        <w:tc>
          <w:tcPr/>
          <w:p>
            <w:pPr>
              <w:pStyle w:val="Compact"/>
            </w:pPr>
          </w:p>
        </w:tc>
        <w:tc>
          <w:tcPr/>
          <w:p>
            <w:pPr>
              <w:pStyle w:val="Compact"/>
            </w:pPr>
            <w:hyperlink ns1:id="rId50">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Une personne a le droit de choisir un prénom usuel dans la liste de ses prénoms officiels. Le prénom usuel peut se composer d’un ou de plusieurs prénoms (parmi ceux figurant sous « prénoms officiels »). Selon le catalogue officiel des caractères (n° 222) pour l’harmonisation des registres.</w:t>
            </w:r>
          </w:p>
        </w:tc>
      </w:tr>
      <w:tr>
        <w:tc>
          <w:tcPr/>
          <w:p>
            <w:pPr>
              <w:pStyle w:val="Compact"/>
            </w:pPr>
          </w:p>
        </w:tc>
        <w:tc>
          <w:tcPr/>
          <w:p>
            <w:pPr>
              <w:pStyle w:val="Compact"/>
            </w:pPr>
            <w:hyperlink ns1:id="rId51">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Pour les personnes de nationalité étrangère. À utiliser en combinaison avec le nom tel qu’il figure sur le passeport étranger. Selon le catalogue officiel des caractères (n° 223) pour l’harmonisation des registres.</w:t>
            </w:r>
          </w:p>
        </w:tc>
      </w:tr>
      <w:tr>
        <w:tc>
          <w:tcPr/>
          <w:p>
            <w:pPr>
              <w:pStyle w:val="Compact"/>
            </w:pPr>
          </w:p>
        </w:tc>
        <w:tc>
          <w:tcPr/>
          <w:p>
            <w:pPr>
              <w:pStyle w:val="Compact"/>
            </w:pPr>
            <w:hyperlink ns1:id="rId52">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Pour les personnes de nationalité étrangère qui ne disposent pas de documents officiels (principalement dans le domaine de l’asile). À utiliser en combinaison avec le nom défini selon la déclaration. Selon le catalogue officiel des caractères (n° 224) pour l’harmonisation des registres.</w:t>
            </w:r>
          </w:p>
        </w:tc>
      </w:tr>
      <w:tr>
        <w:tc>
          <w:tcPr/>
          <w:p>
            <w:pPr>
              <w:pStyle w:val="Compact"/>
            </w:pPr>
          </w:p>
        </w:tc>
        <w:tc>
          <w:tcPr/>
          <w:p>
            <w:pPr>
              <w:pStyle w:val="Compact"/>
            </w:pPr>
            <w:hyperlink ns1:id="rId53">
              <w:r>
                <w:rPr>
                  <w:rStyle w:val="Hyperlink"/>
                </w:rPr>
                <w:t xml:space="preserve">https://register.ld.admin.ch/i14y/concept/personDeclaredForeignerFirstName</w:t>
              </w:r>
            </w:hyperlink>
          </w:p>
        </w:tc>
      </w:tr>
    </w:tbl>
    <w:bookmarkEnd w:id="54"/>
    <w:bookmarkEnd w:id="55"/>
    <w:bookmarkStart w:id="58" w:name="classe-languageproficiency"/>
    <w:p>
      <w:pPr>
        <w:pStyle w:val="berschrift2"/>
      </w:pPr>
      <w:r>
        <w:t xml:space="preserve">Classe: LanguageProficiency</w:t>
      </w:r>
    </w:p>
    <w:p>
      <w:pPr>
        <w:pStyle w:val="FirstParagraph"/>
      </w:pPr>
      <w:r>
        <w:rPr>
          <w:i/>
          <w:iCs/>
        </w:rPr>
        <w:t xml:space="preserve">Compétences linguistiques d’une personne indiquant la langue et le fait qu’il s’agisse ou non de la langue préférée ou de la langue maternelle.</w:t>
      </w:r>
    </w:p>
    <w:bookmarkStart w:id="56" w:name="attributs-2"/>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Code de langue au format ISO 639-1 (deux lettres minuscules, par ex. « de », « fr », « it », « en »).</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s’il s’agit de la langue préférée.</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s’il s’agit de la langue maternelle.</w:t>
            </w:r>
          </w:p>
        </w:tc>
      </w:tr>
    </w:tbl>
    <w:bookmarkEnd w:id="56"/>
    <w:bookmarkStart w:id="57" w:name="utilisations-2"/>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7"/>
    <w:bookmarkEnd w:id="58"/>
    <w:bookmarkStart w:id="61" w:name="classe-citizenship"/>
    <w:p>
      <w:pPr>
        <w:pStyle w:val="berschrift2"/>
      </w:pPr>
      <w:r>
        <w:t xml:space="preserve">Classe: Citizenship</w:t>
      </w:r>
    </w:p>
    <w:p>
      <w:pPr>
        <w:pStyle w:val="FirstParagraph"/>
      </w:pPr>
      <w:r>
        <w:rPr>
          <w:i/>
          <w:iCs/>
        </w:rPr>
        <w:t xml:space="preserve">Nationalité (également utilisée pour la citoyenneté) d’une personne indiquant le pays et la validité temporelle. Si aucun</w:t>
      </w:r>
      <w:r>
        <w:rPr>
          <w:i/>
          <w:iCs/>
        </w:rPr>
        <w:t xml:space="preserve"> </w:t>
      </w:r>
      <w:r>
        <w:rPr>
          <w:rStyle w:val="VerbatimChar"/>
          <w:i/>
          <w:iCs/>
        </w:rPr>
        <w:t xml:space="preserve">valid_from</w:t>
      </w:r>
      <w:r>
        <w:rPr>
          <w:i/>
          <w:iCs/>
        </w:rPr>
        <w:t xml:space="preserve"> </w:t>
      </w:r>
      <w:r>
        <w:rPr>
          <w:i/>
          <w:iCs/>
        </w:rPr>
        <w:t xml:space="preserve">n’est fourni, cette information n’est pas connue. S’il est établi que la nationalité est valable depuis la naissance, la date de naissance doit être répétée ici. En l’absence de</w:t>
      </w:r>
      <w:r>
        <w:rPr>
          <w:i/>
          <w:iCs/>
        </w:rPr>
        <w:t xml:space="preserve"> </w:t>
      </w:r>
      <w:r>
        <w:rPr>
          <w:rStyle w:val="VerbatimChar"/>
          <w:i/>
          <w:iCs/>
        </w:rPr>
        <w:t xml:space="preserve">valid_through</w:t>
      </w:r>
      <w:r>
        <w:rPr>
          <w:i/>
          <w:iCs/>
        </w:rPr>
        <w:t xml:space="preserve">, la nationalité est toujours en vigueur.</w:t>
      </w:r>
    </w:p>
    <w:bookmarkStart w:id="59" w:name="attributs-3"/>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Code de pays ISO 3166-1 alpha-2.</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59"/>
    <w:bookmarkStart w:id="60" w:name="utilisations-3"/>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60"/>
    <w:bookmarkEnd w:id="61"/>
    <w:bookmarkStart w:id="64" w:name="classe-gender"/>
    <w:p>
      <w:pPr>
        <w:pStyle w:val="berschrift2"/>
      </w:pPr>
      <w:r>
        <w:t xml:space="preserve">Classe: Gender</w:t>
      </w:r>
    </w:p>
    <w:p>
      <w:pPr>
        <w:pStyle w:val="FirstParagraph"/>
      </w:pPr>
      <w:r>
        <w:rPr>
          <w:i/>
          <w:iCs/>
        </w:rPr>
        <w:t xml:space="preserve">Sexe d’une personne indiquant un code de sexe et la validité temporelle.</w:t>
      </w:r>
    </w:p>
    <w:bookmarkStart w:id="62" w:name="attributs-4"/>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Code de sexe. Valeurs recommandées : male, female, non_binary.</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Attribuer un label à une information structurée (par ex. nom d’affichage, poste,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Pronoms utilisés par la personne.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62"/>
    <w:bookmarkStart w:id="63" w:name="utilisations-4"/>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63"/>
    <w:bookmarkEnd w:id="64"/>
    <w:bookmarkStart w:id="69" w:name="enum-gendercodeenum"/>
    <w:p>
      <w:pPr>
        <w:pStyle w:val="berschrift2"/>
      </w:pPr>
      <w:r>
        <w:t xml:space="preserve">Enum: GenderCodeEnum</w:t>
      </w:r>
    </w:p>
    <w:p>
      <w:pPr>
        <w:pStyle w:val="FirstParagraph"/>
      </w:pPr>
      <w:r>
        <w:rPr>
          <w:i/>
          <w:iCs/>
        </w:rPr>
        <w:t xml:space="preserve">Codes de sexe pour les personnes. Si le sexe n’est pas connu, aucune entrée de sexe ne doit être ajoutée. Le code</w:t>
      </w:r>
      <w:r>
        <w:rPr>
          <w:i/>
          <w:iCs/>
        </w:rPr>
        <w:t xml:space="preserve"> </w:t>
      </w:r>
      <w:r>
        <w:rPr>
          <w:rStyle w:val="VerbatimChar"/>
          <w:i/>
          <w:iCs/>
        </w:rPr>
        <w:t xml:space="preserve">non_binary</w:t>
      </w:r>
      <w:r>
        <w:rPr>
          <w:i/>
          <w:iCs/>
        </w:rPr>
        <w:t xml:space="preserve"> </w:t>
      </w:r>
      <w:r>
        <w:rPr>
          <w:i/>
          <w:iCs/>
        </w:rPr>
        <w:t xml:space="preserve">doit être utilisé avec un libellé afin de fournir de plus amples détails sur le sexe auto-déclaré.</w:t>
      </w:r>
    </w:p>
    <w:p>
      <w:pPr>
        <w:pStyle w:val="Textkrper"/>
      </w:pPr>
      <w:r>
        <w:t xml:space="preserve">URI:</w:t>
      </w:r>
      <w:r>
        <w:t xml:space="preserve"> </w:t>
      </w:r>
      <w:hyperlink ns1:id="rId65">
        <w:r>
          <w:rPr>
            <w:rStyle w:val="Hyperlink"/>
          </w:rPr>
          <w:t xml:space="preserve">act:GenderCodeEnum</w:t>
        </w:r>
      </w:hyperlink>
    </w:p>
    <w:bookmarkStart w:id="68" w:name="valeurs-admissibles-1"/>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male</w:t>
            </w:r>
          </w:p>
        </w:tc>
        <w:tc>
          <w:tcPr>
            <w:shd w:val="clear" w:color="auto" w:fill="F2F2F2"/>
          </w:tcPr>
          <w:p>
            <w:pPr>
              <w:pStyle w:val="Compact"/>
            </w:pPr>
            <w:r>
              <w:t xml:space="preserve">Masculin.</w:t>
            </w:r>
          </w:p>
        </w:tc>
      </w:tr>
      <w:tr>
        <w:tc>
          <w:tcPr/>
          <w:p>
            <w:pPr>
              <w:pStyle w:val="Compact"/>
            </w:pPr>
          </w:p>
        </w:tc>
        <w:tc>
          <w:tcPr/>
          <w:p>
            <w:pPr>
              <w:pStyle w:val="Compact"/>
            </w:pPr>
            <w:hyperlink ns1:id="rId66">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Féminin.</w:t>
            </w:r>
          </w:p>
        </w:tc>
      </w:tr>
      <w:tr>
        <w:tc>
          <w:tcPr/>
          <w:p>
            <w:pPr>
              <w:pStyle w:val="Compact"/>
            </w:pPr>
          </w:p>
        </w:tc>
        <w:tc>
          <w:tcPr/>
          <w:p>
            <w:pPr>
              <w:pStyle w:val="Compact"/>
            </w:pPr>
            <w:hyperlink ns1:id="rId67">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 / non binaire.</w:t>
            </w:r>
          </w:p>
        </w:tc>
      </w:tr>
    </w:tbl>
    <w:bookmarkEnd w:id="68"/>
    <w:bookmarkEnd w:id="69"/>
    <w:bookmarkStart w:id="76" w:name="classe-occupation"/>
    <w:p>
      <w:pPr>
        <w:pStyle w:val="berschrift2"/>
      </w:pPr>
      <w:r>
        <w:t xml:space="preserve">Classe: Occupation</w:t>
      </w:r>
    </w:p>
    <w:p>
      <w:pPr>
        <w:pStyle w:val="FirstParagraph"/>
      </w:pPr>
      <w:r>
        <w:rPr>
          <w:i/>
          <w:iCs/>
        </w:rPr>
        <w:t xml:space="preserve">Métier ou profession d’une personne indiquant un libellé, un code ISCO-19, si l’activité est rémunérée, ainsi que la validité temporelle.</w:t>
      </w:r>
    </w:p>
    <w:bookmarkStart w:id="71" w:name="attributs-5"/>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l’activité est rémunérée.</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ISCO-19 du métier.</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 de l’organisation (format eCH-0097 : CHE-XXX.XXX.XXX) issu du registre fédéral IDE (uid.admin.ch).</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de l’organisation ou de l’entreprise.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70" w:name="contraintes"/>
    <w:p>
      <w:pPr>
        <w:pStyle w:val="berschrift5"/>
      </w:pPr>
      <w:r>
        <w:t xml:space="preserve">Contraintes</w:t>
      </w:r>
    </w:p>
    <w:p>
      <w:pPr>
        <w:pStyle w:val="FirstParagraph"/>
      </w:pPr>
      <w:r>
        <w:t xml:space="preserve">Au moins l’un des champs suivants doit être renseigné :</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70"/>
    <w:bookmarkEnd w:id="71"/>
    <w:bookmarkStart w:id="72" w:name="utilisations-5"/>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72"/>
    <w:bookmarkStart w:id="75" w:name="exemples-1"/>
    <w:p>
      <w:pPr>
        <w:pStyle w:val="berschrift3"/>
      </w:pPr>
      <w:r>
        <w:t xml:space="preserve">Exemples</w:t>
      </w:r>
    </w:p>
    <w:bookmarkStart w:id="73" w:name="X8f7df134c209cb0abf77114967ccea502cf3ac1"/>
    <w:p>
      <w:pPr>
        <w:pStyle w:val="berschrift4"/>
      </w:pPr>
      <w:r>
        <w:t xml:space="preserve">Exemple : swiss politicians Sofia Fisch Juristin</w:t>
      </w:r>
    </w:p>
    <w:p>
      <w:pPr>
        <w:pStyle w:val="SourceCode"/>
      </w:pPr>
      <w:r>
        <w:rPr>
          <w:rStyle w:val="FunctionTok"/>
        </w:rPr>
        <w:t xml:space="preserve">label</w:t>
      </w:r>
      <w:r>
        <w:rPr>
          <w:rStyle w:val="KeywordTok"/>
        </w:rPr>
        <w:t xml:space="preserve">:</w:t>
      </w:r>
      <w:r>
        <w:rPr>
          <w:rStyle w:val="AttributeTok"/>
        </w:rPr>
        <w:t xml:space="preserve"> Jurist*in</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3"/>
    <w:bookmarkStart w:id="74" w:name="X67fff307db2af154115d70a7803a237bb207ac0"/>
    <w:p>
      <w:pPr>
        <w:pStyle w:val="berschrift4"/>
      </w:pPr>
      <w:r>
        <w:t xml:space="preserve">Exemple : swiss politicians Beat Jans 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4"/>
    <w:bookmarkEnd w:id="75"/>
    <w:bookmarkEnd w:id="76"/>
    <w:bookmarkStart w:id="80" w:name="classe-training"/>
    <w:p>
      <w:pPr>
        <w:pStyle w:val="berschrift2"/>
      </w:pPr>
      <w:r>
        <w:t xml:space="preserve">Classe: Training</w:t>
      </w:r>
    </w:p>
    <w:p>
      <w:pPr>
        <w:pStyle w:val="FirstParagraph"/>
      </w:pPr>
      <w:r>
        <w:rPr>
          <w:i/>
          <w:iCs/>
        </w:rPr>
        <w:t xml:space="preserve">Formation ou éducation d’une personne indiquant un type (p. ex. diplôme scolaire, diplôme universitaire, service militaire), un libellé, un code ISCO-19 et la validité temporelle.</w:t>
      </w:r>
    </w:p>
    <w:bookmarkStart w:id="78" w:name="attributs-6"/>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Type de formation ou d’éducation.</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ISCO-19 de la formation ou de l’éducation.</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La valeur proprement dite d’une information, en plus d’autres attributs tels que le type, la langue,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77" w:name="contraintes-1"/>
    <w:p>
      <w:pPr>
        <w:pStyle w:val="berschrift5"/>
      </w:pPr>
      <w:r>
        <w:t xml:space="preserve">Contraintes</w:t>
      </w:r>
    </w:p>
    <w:p>
      <w:pPr>
        <w:pStyle w:val="FirstParagraph"/>
      </w:pPr>
      <w:r>
        <w:t xml:space="preserve">Au moins l’un des champs suivants doit être renseigné :</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77"/>
    <w:bookmarkEnd w:id="78"/>
    <w:bookmarkStart w:id="79" w:name="utilisations-6"/>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79"/>
    <w:bookmarkEnd w:id="80"/>
    <w:bookmarkStart w:id="125" w:name="enum-trainingtypeenum"/>
    <w:p>
      <w:pPr>
        <w:pStyle w:val="berschrift2"/>
      </w:pPr>
      <w:r>
        <w:t xml:space="preserve">Enum: TrainingTypeEnum</w:t>
      </w:r>
    </w:p>
    <w:p>
      <w:pPr>
        <w:pStyle w:val="FirstParagraph"/>
      </w:pPr>
      <w:r>
        <w:rPr>
          <w:i/>
          <w:iCs/>
        </w:rPr>
        <w:t xml:space="preserve">Types de formation ou d’éducation basés sur la liste de codes suisse LEVEL_EDUC de l’OFS.</w:t>
      </w:r>
    </w:p>
    <w:p>
      <w:pPr>
        <w:pStyle w:val="Textkrper"/>
      </w:pPr>
      <w:r>
        <w:t xml:space="preserve">URI:</w:t>
      </w:r>
      <w:r>
        <w:t xml:space="preserve"> </w:t>
      </w:r>
      <w:hyperlink ns1:id="rId81">
        <w:r>
          <w:rPr>
            <w:rStyle w:val="Hyperlink"/>
          </w:rPr>
          <w:t xml:space="preserve">act:TrainingTypeEnum</w:t>
        </w:r>
      </w:hyperlink>
    </w:p>
    <w:bookmarkStart w:id="124" w:name="valeurs-admissibles-2"/>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10</w:t>
            </w:r>
          </w:p>
        </w:tc>
        <w:tc>
          <w:tcPr>
            <w:shd w:val="clear" w:color="auto" w:fill="F2F2F2"/>
          </w:tcPr>
          <w:p>
            <w:pPr>
              <w:pStyle w:val="Compact"/>
            </w:pPr>
            <w:r>
              <w:t xml:space="preserve">École obligatoire au maximum.</w:t>
            </w:r>
          </w:p>
        </w:tc>
      </w:tr>
      <w:tr>
        <w:tc>
          <w:tcPr/>
          <w:p>
            <w:pPr>
              <w:pStyle w:val="Compact"/>
            </w:pPr>
          </w:p>
        </w:tc>
        <w:tc>
          <w:tcPr/>
          <w:p>
            <w:pPr>
              <w:pStyle w:val="Compact"/>
            </w:pPr>
            <w:hyperlink ns1:id="rId8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Aucune formation.</w:t>
            </w:r>
          </w:p>
        </w:tc>
      </w:tr>
      <w:tr>
        <w:tc>
          <w:tcPr/>
          <w:p>
            <w:pPr>
              <w:pStyle w:val="Compact"/>
            </w:pPr>
          </w:p>
        </w:tc>
        <w:tc>
          <w:tcPr/>
          <w:p>
            <w:pPr>
              <w:pStyle w:val="Compact"/>
            </w:pPr>
            <w:hyperlink ns1:id="rId8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École obligatoire inachevée.</w:t>
            </w:r>
          </w:p>
        </w:tc>
      </w:tr>
      <w:tr>
        <w:tc>
          <w:tcPr/>
          <w:p>
            <w:pPr>
              <w:pStyle w:val="Compact"/>
            </w:pPr>
          </w:p>
        </w:tc>
        <w:tc>
          <w:tcPr/>
          <w:p>
            <w:pPr>
              <w:pStyle w:val="Compact"/>
            </w:pPr>
            <w:hyperlink ns1:id="rId8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École obligatoire.</w:t>
            </w:r>
          </w:p>
        </w:tc>
      </w:tr>
      <w:tr>
        <w:tc>
          <w:tcPr/>
          <w:p>
            <w:pPr>
              <w:pStyle w:val="Compact"/>
            </w:pPr>
          </w:p>
        </w:tc>
        <w:tc>
          <w:tcPr/>
          <w:p>
            <w:pPr>
              <w:pStyle w:val="Compact"/>
            </w:pPr>
            <w:hyperlink ns1:id="rId8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Formation d’un an / offre de transition.</w:t>
            </w:r>
          </w:p>
        </w:tc>
      </w:tr>
      <w:tr>
        <w:tc>
          <w:tcPr/>
          <w:p>
            <w:pPr>
              <w:pStyle w:val="Compact"/>
            </w:pPr>
          </w:p>
        </w:tc>
        <w:tc>
          <w:tcPr/>
          <w:p>
            <w:pPr>
              <w:pStyle w:val="Compact"/>
            </w:pPr>
            <w:hyperlink ns1:id="rId8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Degré secondaire II.</w:t>
            </w:r>
          </w:p>
        </w:tc>
      </w:tr>
      <w:tr>
        <w:tc>
          <w:tcPr/>
          <w:p>
            <w:pPr>
              <w:pStyle w:val="Compact"/>
            </w:pPr>
          </w:p>
        </w:tc>
        <w:tc>
          <w:tcPr/>
          <w:p>
            <w:pPr>
              <w:pStyle w:val="Compact"/>
            </w:pPr>
            <w:hyperlink ns1:id="rId8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Degré secondaire II - formation professionnelle.</w:t>
            </w:r>
          </w:p>
        </w:tc>
      </w:tr>
      <w:tr>
        <w:tc>
          <w:tcPr/>
          <w:p>
            <w:pPr>
              <w:pStyle w:val="Compact"/>
            </w:pPr>
          </w:p>
        </w:tc>
        <w:tc>
          <w:tcPr/>
          <w:p>
            <w:pPr>
              <w:pStyle w:val="Compact"/>
            </w:pPr>
            <w:hyperlink ns1:id="rId8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Apprentissage en entreprise (CFC/AFP) / formation professionnelle élémentaire / école professionnelle / école de commerce.</w:t>
            </w:r>
          </w:p>
        </w:tc>
      </w:tr>
      <w:tr>
        <w:tc>
          <w:tcPr/>
          <w:p>
            <w:pPr>
              <w:pStyle w:val="Compact"/>
            </w:pPr>
          </w:p>
        </w:tc>
        <w:tc>
          <w:tcPr/>
          <w:p>
            <w:pPr>
              <w:pStyle w:val="Compact"/>
            </w:pPr>
            <w:hyperlink ns1:id="rId8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Apprentissage en entreprise (AFP) 2 ans / formation prof. élémentaire / école professionnelle / école de commerce.</w:t>
            </w:r>
          </w:p>
        </w:tc>
      </w:tr>
      <w:tr>
        <w:tc>
          <w:tcPr/>
          <w:p>
            <w:pPr>
              <w:pStyle w:val="Compact"/>
            </w:pPr>
          </w:p>
        </w:tc>
        <w:tc>
          <w:tcPr/>
          <w:p>
            <w:pPr>
              <w:pStyle w:val="Compact"/>
            </w:pPr>
            <w:hyperlink ns1:id="rId9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Apprentissage en entreprise d’une durée de 2 ans (AFP) / formation professionnelle élémentaire.</w:t>
            </w:r>
          </w:p>
        </w:tc>
      </w:tr>
      <w:tr>
        <w:tc>
          <w:tcPr/>
          <w:p>
            <w:pPr>
              <w:pStyle w:val="Compact"/>
            </w:pPr>
          </w:p>
        </w:tc>
        <w:tc>
          <w:tcPr/>
          <w:p>
            <w:pPr>
              <w:pStyle w:val="Compact"/>
            </w:pPr>
            <w:hyperlink ns1:id="rId9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École professionnelle / école de commerce d’une durée de 2 ans.</w:t>
            </w:r>
          </w:p>
        </w:tc>
      </w:tr>
      <w:tr>
        <w:tc>
          <w:tcPr/>
          <w:p>
            <w:pPr>
              <w:pStyle w:val="Compact"/>
            </w:pPr>
          </w:p>
        </w:tc>
        <w:tc>
          <w:tcPr/>
          <w:p>
            <w:pPr>
              <w:pStyle w:val="Compact"/>
            </w:pPr>
            <w:hyperlink ns1:id="rId9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Apprentissage en entreprise (CFC) 3-4 ans / école professionnelle / école de commerce.</w:t>
            </w:r>
          </w:p>
        </w:tc>
      </w:tr>
      <w:tr>
        <w:tc>
          <w:tcPr/>
          <w:p>
            <w:pPr>
              <w:pStyle w:val="Compact"/>
            </w:pPr>
          </w:p>
        </w:tc>
        <w:tc>
          <w:tcPr/>
          <w:p>
            <w:pPr>
              <w:pStyle w:val="Compact"/>
            </w:pPr>
            <w:hyperlink ns1:id="rId9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Apprentissage en entreprise d’une durée de 3 à 4 ans (CFC).</w:t>
            </w:r>
          </w:p>
        </w:tc>
      </w:tr>
      <w:tr>
        <w:tc>
          <w:tcPr/>
          <w:p>
            <w:pPr>
              <w:pStyle w:val="Compact"/>
            </w:pPr>
          </w:p>
        </w:tc>
        <w:tc>
          <w:tcPr/>
          <w:p>
            <w:pPr>
              <w:pStyle w:val="Compact"/>
            </w:pPr>
            <w:hyperlink ns1:id="rId9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École professionnelle / école de commerce d’une durée de 3 a 4 ans.</w:t>
            </w:r>
          </w:p>
        </w:tc>
      </w:tr>
      <w:tr>
        <w:tc>
          <w:tcPr/>
          <w:p>
            <w:pPr>
              <w:pStyle w:val="Compact"/>
            </w:pPr>
          </w:p>
        </w:tc>
        <w:tc>
          <w:tcPr/>
          <w:p>
            <w:pPr>
              <w:pStyle w:val="Compact"/>
            </w:pPr>
            <w:hyperlink ns1:id="rId9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Degré secondaire II - formation générale.</w:t>
            </w:r>
          </w:p>
        </w:tc>
      </w:tr>
      <w:tr>
        <w:tc>
          <w:tcPr/>
          <w:p>
            <w:pPr>
              <w:pStyle w:val="Compact"/>
            </w:pPr>
          </w:p>
        </w:tc>
        <w:tc>
          <w:tcPr/>
          <w:p>
            <w:pPr>
              <w:pStyle w:val="Compact"/>
            </w:pPr>
            <w:hyperlink ns1:id="rId9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École de culture générale / école de degré diplôme.</w:t>
            </w:r>
          </w:p>
        </w:tc>
      </w:tr>
      <w:tr>
        <w:tc>
          <w:tcPr/>
          <w:p>
            <w:pPr>
              <w:pStyle w:val="Compact"/>
            </w:pPr>
          </w:p>
        </w:tc>
        <w:tc>
          <w:tcPr/>
          <w:p>
            <w:pPr>
              <w:pStyle w:val="Compact"/>
            </w:pPr>
            <w:hyperlink ns1:id="rId9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École de culture générale / école de degré diplôme d’une durée de 2 ans.</w:t>
            </w:r>
          </w:p>
        </w:tc>
      </w:tr>
      <w:tr>
        <w:tc>
          <w:tcPr/>
          <w:p>
            <w:pPr>
              <w:pStyle w:val="Compact"/>
            </w:pPr>
          </w:p>
        </w:tc>
        <w:tc>
          <w:tcPr/>
          <w:p>
            <w:pPr>
              <w:pStyle w:val="Compact"/>
            </w:pPr>
            <w:hyperlink ns1:id="rId9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École de culture générale / école de degré diplôme d’une durée de 3 ans.</w:t>
            </w:r>
          </w:p>
        </w:tc>
      </w:tr>
      <w:tr>
        <w:tc>
          <w:tcPr/>
          <w:p>
            <w:pPr>
              <w:pStyle w:val="Compact"/>
            </w:pPr>
          </w:p>
        </w:tc>
        <w:tc>
          <w:tcPr/>
          <w:p>
            <w:pPr>
              <w:pStyle w:val="Compact"/>
            </w:pPr>
            <w:hyperlink ns1:id="rId9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Maturité ou école normale.</w:t>
            </w:r>
          </w:p>
        </w:tc>
      </w:tr>
      <w:tr>
        <w:tc>
          <w:tcPr/>
          <w:p>
            <w:pPr>
              <w:pStyle w:val="Compact"/>
            </w:pPr>
          </w:p>
        </w:tc>
        <w:tc>
          <w:tcPr/>
          <w:p>
            <w:pPr>
              <w:pStyle w:val="Compact"/>
            </w:pPr>
            <w:hyperlink ns1:id="rId10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Maturité gymnasiale.</w:t>
            </w:r>
          </w:p>
        </w:tc>
      </w:tr>
      <w:tr>
        <w:tc>
          <w:tcPr/>
          <w:p>
            <w:pPr>
              <w:pStyle w:val="Compact"/>
            </w:pPr>
          </w:p>
        </w:tc>
        <w:tc>
          <w:tcPr/>
          <w:p>
            <w:pPr>
              <w:pStyle w:val="Compact"/>
            </w:pPr>
            <w:hyperlink ns1:id="rId10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Brevet d’enseignement.</w:t>
            </w:r>
          </w:p>
        </w:tc>
      </w:tr>
      <w:tr>
        <w:tc>
          <w:tcPr/>
          <w:p>
            <w:pPr>
              <w:pStyle w:val="Compact"/>
            </w:pPr>
          </w:p>
        </w:tc>
        <w:tc>
          <w:tcPr/>
          <w:p>
            <w:pPr>
              <w:pStyle w:val="Compact"/>
            </w:pPr>
            <w:hyperlink ns1:id="rId10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Maturité professionnelle / spécialisée.</w:t>
            </w:r>
          </w:p>
        </w:tc>
      </w:tr>
      <w:tr>
        <w:tc>
          <w:tcPr/>
          <w:p>
            <w:pPr>
              <w:pStyle w:val="Compact"/>
            </w:pPr>
          </w:p>
        </w:tc>
        <w:tc>
          <w:tcPr/>
          <w:p>
            <w:pPr>
              <w:pStyle w:val="Compact"/>
            </w:pPr>
            <w:hyperlink ns1:id="rId10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Maturité professionnelle.</w:t>
            </w:r>
          </w:p>
        </w:tc>
      </w:tr>
      <w:tr>
        <w:tc>
          <w:tcPr/>
          <w:p>
            <w:pPr>
              <w:pStyle w:val="Compact"/>
            </w:pPr>
          </w:p>
        </w:tc>
        <w:tc>
          <w:tcPr/>
          <w:p>
            <w:pPr>
              <w:pStyle w:val="Compact"/>
            </w:pPr>
            <w:hyperlink ns1:id="rId10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Maturité spécialisée.</w:t>
            </w:r>
          </w:p>
        </w:tc>
      </w:tr>
      <w:tr>
        <w:tc>
          <w:tcPr/>
          <w:p>
            <w:pPr>
              <w:pStyle w:val="Compact"/>
            </w:pPr>
          </w:p>
        </w:tc>
        <w:tc>
          <w:tcPr/>
          <w:p>
            <w:pPr>
              <w:pStyle w:val="Compact"/>
            </w:pPr>
            <w:hyperlink ns1:id="rId10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Degré tertiaire.</w:t>
            </w:r>
          </w:p>
        </w:tc>
      </w:tr>
      <w:tr>
        <w:tc>
          <w:tcPr/>
          <w:p>
            <w:pPr>
              <w:pStyle w:val="Compact"/>
            </w:pPr>
          </w:p>
        </w:tc>
        <w:tc>
          <w:tcPr/>
          <w:p>
            <w:pPr>
              <w:pStyle w:val="Compact"/>
            </w:pPr>
            <w:hyperlink ns1:id="rId10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Formation professionnelle supérieure.</w:t>
            </w:r>
          </w:p>
        </w:tc>
      </w:tr>
      <w:tr>
        <w:tc>
          <w:tcPr/>
          <w:p>
            <w:pPr>
              <w:pStyle w:val="Compact"/>
            </w:pPr>
          </w:p>
        </w:tc>
        <w:tc>
          <w:tcPr/>
          <w:p>
            <w:pPr>
              <w:pStyle w:val="Compact"/>
            </w:pPr>
            <w:hyperlink ns1:id="rId10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Examen professionnel avec brevet fédéral / examen professionnel supérieur avec diplôme fédéral/maîtrise.</w:t>
            </w:r>
          </w:p>
        </w:tc>
      </w:tr>
      <w:tr>
        <w:tc>
          <w:tcPr/>
          <w:p>
            <w:pPr>
              <w:pStyle w:val="Compact"/>
            </w:pPr>
          </w:p>
        </w:tc>
        <w:tc>
          <w:tcPr/>
          <w:p>
            <w:pPr>
              <w:pStyle w:val="Compact"/>
            </w:pPr>
            <w:hyperlink ns1:id="rId10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Examen professionnel avec brevet fédéral.</w:t>
            </w:r>
          </w:p>
        </w:tc>
      </w:tr>
      <w:tr>
        <w:tc>
          <w:tcPr/>
          <w:p>
            <w:pPr>
              <w:pStyle w:val="Compact"/>
            </w:pPr>
          </w:p>
        </w:tc>
        <w:tc>
          <w:tcPr/>
          <w:p>
            <w:pPr>
              <w:pStyle w:val="Compact"/>
            </w:pPr>
            <w:hyperlink ns1:id="rId10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Examen professionnel supérieur avec diplôme fédéral/maîtrise.</w:t>
            </w:r>
          </w:p>
        </w:tc>
      </w:tr>
      <w:tr>
        <w:tc>
          <w:tcPr/>
          <w:p>
            <w:pPr>
              <w:pStyle w:val="Compact"/>
            </w:pPr>
          </w:p>
        </w:tc>
        <w:tc>
          <w:tcPr/>
          <w:p>
            <w:pPr>
              <w:pStyle w:val="Compact"/>
            </w:pPr>
            <w:hyperlink ns1:id="rId11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École supérieure (ES).</w:t>
            </w:r>
          </w:p>
        </w:tc>
      </w:tr>
      <w:tr>
        <w:tc>
          <w:tcPr/>
          <w:p>
            <w:pPr>
              <w:pStyle w:val="Compact"/>
            </w:pPr>
          </w:p>
        </w:tc>
        <w:tc>
          <w:tcPr/>
          <w:p>
            <w:pPr>
              <w:pStyle w:val="Compact"/>
            </w:pPr>
            <w:hyperlink ns1:id="rId11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École supérieure (ES) 2 ans plein temps ou 3 ans temps partiel.</w:t>
            </w:r>
          </w:p>
        </w:tc>
      </w:tr>
      <w:tr>
        <w:tc>
          <w:tcPr/>
          <w:p>
            <w:pPr>
              <w:pStyle w:val="Compact"/>
            </w:pPr>
          </w:p>
        </w:tc>
        <w:tc>
          <w:tcPr/>
          <w:p>
            <w:pPr>
              <w:pStyle w:val="Compact"/>
            </w:pPr>
            <w:hyperlink ns1:id="rId11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École supérieure (ES) 3 ans plein temps ou 4 ans temps partiel.</w:t>
            </w:r>
          </w:p>
        </w:tc>
      </w:tr>
      <w:tr>
        <w:tc>
          <w:tcPr/>
          <w:p>
            <w:pPr>
              <w:pStyle w:val="Compact"/>
            </w:pPr>
          </w:p>
        </w:tc>
        <w:tc>
          <w:tcPr/>
          <w:p>
            <w:pPr>
              <w:pStyle w:val="Compact"/>
            </w:pPr>
            <w:hyperlink ns1:id="rId11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Haute école.</w:t>
            </w:r>
          </w:p>
        </w:tc>
      </w:tr>
      <w:tr>
        <w:tc>
          <w:tcPr/>
          <w:p>
            <w:pPr>
              <w:pStyle w:val="Compact"/>
            </w:pPr>
          </w:p>
        </w:tc>
        <w:tc>
          <w:tcPr/>
          <w:p>
            <w:pPr>
              <w:pStyle w:val="Compact"/>
            </w:pPr>
            <w:hyperlink ns1:id="rId11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université, EPF, haute école spécialisée, haute école pédagogique (y compris diplôme HES/HEP).</w:t>
            </w:r>
          </w:p>
        </w:tc>
      </w:tr>
      <w:tr>
        <w:tc>
          <w:tcPr/>
          <w:p>
            <w:pPr>
              <w:pStyle w:val="Compact"/>
            </w:pPr>
          </w:p>
        </w:tc>
        <w:tc>
          <w:tcPr/>
          <w:p>
            <w:pPr>
              <w:pStyle w:val="Compact"/>
            </w:pPr>
            <w:hyperlink ns1:id="rId11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haute école spécialisée (y compris diplôme HES).</w:t>
            </w:r>
          </w:p>
        </w:tc>
      </w:tr>
      <w:tr>
        <w:tc>
          <w:tcPr/>
          <w:p>
            <w:pPr>
              <w:pStyle w:val="Compact"/>
            </w:pPr>
          </w:p>
        </w:tc>
        <w:tc>
          <w:tcPr/>
          <w:p>
            <w:pPr>
              <w:pStyle w:val="Compact"/>
            </w:pPr>
            <w:hyperlink ns1:id="rId11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haute école pédagogique (y compris diplôme HEP).</w:t>
            </w:r>
          </w:p>
        </w:tc>
      </w:tr>
      <w:tr>
        <w:tc>
          <w:tcPr/>
          <w:p>
            <w:pPr>
              <w:pStyle w:val="Compact"/>
            </w:pPr>
          </w:p>
        </w:tc>
        <w:tc>
          <w:tcPr/>
          <w:p>
            <w:pPr>
              <w:pStyle w:val="Compact"/>
            </w:pPr>
            <w:hyperlink ns1:id="rId11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université, EPF.</w:t>
            </w:r>
          </w:p>
        </w:tc>
      </w:tr>
      <w:tr>
        <w:tc>
          <w:tcPr/>
          <w:p>
            <w:pPr>
              <w:pStyle w:val="Compact"/>
            </w:pPr>
          </w:p>
        </w:tc>
        <w:tc>
          <w:tcPr/>
          <w:p>
            <w:pPr>
              <w:pStyle w:val="Compact"/>
            </w:pPr>
            <w:hyperlink ns1:id="rId11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université, EPF, haute école spécialisée, haute école pédagogique (y compris licence/diplôme).</w:t>
            </w:r>
          </w:p>
        </w:tc>
      </w:tr>
      <w:tr>
        <w:tc>
          <w:tcPr/>
          <w:p>
            <w:pPr>
              <w:pStyle w:val="Compact"/>
            </w:pPr>
          </w:p>
        </w:tc>
        <w:tc>
          <w:tcPr/>
          <w:p>
            <w:pPr>
              <w:pStyle w:val="Compact"/>
            </w:pPr>
            <w:hyperlink ns1:id="rId11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haute école spécialisée.</w:t>
            </w:r>
          </w:p>
        </w:tc>
      </w:tr>
      <w:tr>
        <w:tc>
          <w:tcPr/>
          <w:p>
            <w:pPr>
              <w:pStyle w:val="Compact"/>
            </w:pPr>
          </w:p>
        </w:tc>
        <w:tc>
          <w:tcPr/>
          <w:p>
            <w:pPr>
              <w:pStyle w:val="Compact"/>
            </w:pPr>
            <w:hyperlink ns1:id="rId12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haute école pédagogique.</w:t>
            </w:r>
          </w:p>
        </w:tc>
      </w:tr>
      <w:tr>
        <w:tc>
          <w:tcPr/>
          <w:p>
            <w:pPr>
              <w:pStyle w:val="Compact"/>
            </w:pPr>
          </w:p>
        </w:tc>
        <w:tc>
          <w:tcPr/>
          <w:p>
            <w:pPr>
              <w:pStyle w:val="Compact"/>
            </w:pPr>
            <w:hyperlink ns1:id="rId12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université, EPF (y compris licence/diplôme université/EPF).</w:t>
            </w:r>
          </w:p>
        </w:tc>
      </w:tr>
      <w:tr>
        <w:tc>
          <w:tcPr/>
          <w:p>
            <w:pPr>
              <w:pStyle w:val="Compact"/>
            </w:pPr>
          </w:p>
        </w:tc>
        <w:tc>
          <w:tcPr/>
          <w:p>
            <w:pPr>
              <w:pStyle w:val="Compact"/>
            </w:pPr>
            <w:hyperlink ns1:id="rId12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Doctorat / habilitation.</w:t>
            </w:r>
          </w:p>
        </w:tc>
      </w:tr>
      <w:tr>
        <w:tc>
          <w:tcPr/>
          <w:p>
            <w:pPr>
              <w:pStyle w:val="Compact"/>
            </w:pPr>
          </w:p>
        </w:tc>
        <w:tc>
          <w:tcPr/>
          <w:p>
            <w:pPr>
              <w:pStyle w:val="Compact"/>
            </w:pPr>
            <w:hyperlink ns1:id="rId12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Service militaire (armée suisse). Indiquer le grade atteint dans le champ</w:t>
            </w:r>
            <w:r>
              <w:t xml:space="preserve"> </w:t>
            </w:r>
            <w:r>
              <w:rPr>
                <w:rStyle w:val="VerbatimChar"/>
              </w:rPr>
              <w:t xml:space="preserve">value</w:t>
            </w:r>
            <w:r>
              <w:t xml:space="preserve">.</w:t>
            </w:r>
          </w:p>
        </w:tc>
      </w:tr>
    </w:tbl>
    <w:bookmarkEnd w:id="124"/>
    <w:p>
      <w:r>
        <w:br w:type="page"/>
      </w:r>
    </w:p>
    <w:bookmarkEnd w:id="125"/>
    <w:bookmarkEnd w:id="126"/>
    <w:bookmarkStart w:id="171" w:name="groupes-et-organes-groups"/>
    <w:p>
      <w:pPr>
        <w:pStyle w:val="berschrift1"/>
      </w:pPr>
      <w:r>
        <w:t xml:space="preserve">Groupes et organes (Groups)</w:t>
      </w:r>
    </w:p>
    <w:p>
      <w:pPr>
        <w:pStyle w:val="FirstParagraph"/>
      </w:pPr>
      <w:r>
        <w:t xml:space="preserve">Le schéma Group représente les groupes, organisations et corporations politiques.</w:t>
      </w:r>
    </w:p>
    <w:p>
      <w:pPr>
        <w:pStyle w:val="Compact"/>
        <w:numPr>
          <w:ilvl w:val="0"/>
          <w:numId w:val="1008"/>
        </w:numPr>
      </w:pPr>
      <w:r>
        <w:rPr>
          <w:b/>
          <w:bCs/>
        </w:rPr>
        <w:t xml:space="preserve">Un modèle générique plutôt que de nombreuses classes spécialisées :</w:t>
      </w:r>
      <w:r>
        <w:t xml:space="preserve"> </w:t>
      </w:r>
      <w:r>
        <w:t xml:space="preserve">les parlements, partis, groupes parlementaires, commissions, départements, tribunaux et organisations de la société civile sont tous représentés par</w:t>
      </w:r>
      <w:r>
        <w:t xml:space="preserve"> </w:t>
      </w:r>
      <w:r>
        <w:rPr>
          <w:i/>
          <w:iCs/>
        </w:rPr>
        <w:t xml:space="preserve">une seule</w:t>
      </w:r>
      <w:r>
        <w:t xml:space="preserve"> </w:t>
      </w:r>
      <w:r>
        <w:t xml:space="preserve">classe</w:t>
      </w:r>
      <w:r>
        <w:t xml:space="preserve"> </w:t>
      </w:r>
      <w:r>
        <w:rPr>
          <w:rStyle w:val="VerbatimChar"/>
        </w:rPr>
        <w:t xml:space="preserve">Group</w:t>
      </w:r>
      <w:r>
        <w:t xml:space="preserve"> </w:t>
      </w:r>
      <w:r>
        <w:t xml:space="preserve">et différenciés au moyen de</w:t>
      </w:r>
      <w:r>
        <w:t xml:space="preserve"> </w:t>
      </w:r>
      <w:r>
        <w:rPr>
          <w:rStyle w:val="VerbatimChar"/>
        </w:rPr>
        <w:t xml:space="preserve">group_type</w:t>
      </w:r>
      <w:r>
        <w:t xml:space="preserve">. Cela maintient le modèle simple et extensible sans modification du schéma – le législatif, l’exécutif, le judiciaire et la société civile peuvent ainsi être représentés de manière équivalente.</w:t>
      </w:r>
    </w:p>
    <w:p>
      <w:pPr>
        <w:pStyle w:val="Compact"/>
        <w:numPr>
          <w:ilvl w:val="0"/>
          <w:numId w:val="1008"/>
        </w:numPr>
      </w:pPr>
      <w:r>
        <w:rPr>
          <w:b/>
          <w:bCs/>
        </w:rPr>
        <w:t xml:space="preserve">Groupes et sous-groupes au moyen de</w:t>
      </w:r>
      <w:r>
        <w:rPr>
          <w:b/>
          <w:bCs/>
        </w:rPr>
        <w:t xml:space="preserve"> </w:t>
      </w:r>
      <w:r>
        <w:rPr>
          <w:rStyle w:val="VerbatimChar"/>
          <w:b/>
          <w:bCs/>
        </w:rPr>
        <w:t xml:space="preserve">parent_groups</w:t>
      </w:r>
      <w:r>
        <w:rPr>
          <w:b/>
          <w:bCs/>
        </w:rPr>
        <w:t xml:space="preserve"> </w:t>
      </w:r>
      <w:r>
        <w:rPr>
          <w:b/>
          <w:bCs/>
        </w:rPr>
        <w:t xml:space="preserve">:</w:t>
      </w:r>
      <w:r>
        <w:t xml:space="preserve"> </w:t>
      </w:r>
      <w:r>
        <w:t xml:space="preserve">les groupes subordonnés renvoient à leur groupe supérieur – p. ex. une commission du Conseil des États, une sous-commission au sein d’une commission, un parti cantonal sous son parti mère ou une autorité au sein d’une direction. La hiérarchie découle ainsi de ces renvois plutôt que d’une structure de niveaux fixe. Elle reste le plus souvent au sein d’un même</w:t>
      </w:r>
      <w:r>
        <w:t xml:space="preserve"> </w:t>
      </w:r>
      <w:r>
        <w:rPr>
          <w:rStyle w:val="VerbatimChar"/>
        </w:rPr>
        <w:t xml:space="preserve">group_type</w:t>
      </w:r>
      <w:r>
        <w:t xml:space="preserve"> </w:t>
      </w:r>
      <w:r>
        <w:t xml:space="preserve">; des renvois transversaux sont toutefois possibles (p. ex. un groupe parlementaire qui renvoie à son parlement). Seule la relation de subordination est déterminante : les partis qui portent un groupe parlementaire ne lui sont pas supérieurs, et leur rapport au groupe n’est donc pas représenté par</w:t>
      </w:r>
      <w:r>
        <w:t xml:space="preserve"> </w:t>
      </w:r>
      <w:r>
        <w:rPr>
          <w:rStyle w:val="VerbatimChar"/>
        </w:rPr>
        <w:t xml:space="preserve">parent_groups</w:t>
      </w:r>
      <w:r>
        <w:t xml:space="preserve">. Le renvoi prend la forme d’une</w:t>
      </w:r>
      <w:r>
        <w:t xml:space="preserve"> </w:t>
      </w:r>
      <w:r>
        <w:rPr>
          <w:rStyle w:val="VerbatimChar"/>
        </w:rPr>
        <w:t xml:space="preserve">GroupReference</w:t>
      </w:r>
      <w:r>
        <w:t xml:space="preserve"> </w:t>
      </w:r>
      <w:r>
        <w:t xml:space="preserve">– la même que celle par laquelle une affiliation désigne son groupe. Que le lien exprime un rapport de subordination est indiqué par le slot</w:t>
      </w:r>
      <w:r>
        <w:t xml:space="preserve"> </w:t>
      </w:r>
      <w:r>
        <w:rPr>
          <w:rStyle w:val="VerbatimChar"/>
        </w:rPr>
        <w:t xml:space="preserve">parent_groups</w:t>
      </w:r>
      <w:r>
        <w:t xml:space="preserve"> </w:t>
      </w:r>
      <w:r>
        <w:t xml:space="preserve">lui-même ; la référence ne porte que l’adressage. Celui-ci peut se faire au moyen du</w:t>
      </w:r>
      <w:r>
        <w:t xml:space="preserve"> </w:t>
      </w:r>
      <w:r>
        <w:rPr>
          <w:rStyle w:val="VerbatimChar"/>
        </w:rPr>
        <w:t xml:space="preserve">local_id</w:t>
      </w:r>
      <w:r>
        <w:t xml:space="preserve"> </w:t>
      </w:r>
      <w:r>
        <w:t xml:space="preserve">lorsque le groupe supérieur fait partie de la même livraison, ou du</w:t>
      </w:r>
      <w:r>
        <w:t xml:space="preserve"> </w:t>
      </w:r>
      <w:r>
        <w:rPr>
          <w:rStyle w:val="VerbatimChar"/>
        </w:rPr>
        <w:t xml:space="preserve">global_uri</w:t>
      </w:r>
      <w:r>
        <w:t xml:space="preserve"> </w:t>
      </w:r>
      <w:r>
        <w:t xml:space="preserve">lorsqu’il se situe en dehors – un parti cantonal peut ainsi renvoyer à son parti national sans que celui-ci doive être livré. Lorsque les deux sont connus, les deux sont indiqués.</w:t>
      </w:r>
    </w:p>
    <w:p>
      <w:pPr>
        <w:pStyle w:val="Compact"/>
        <w:numPr>
          <w:ilvl w:val="0"/>
          <w:numId w:val="1008"/>
        </w:numPr>
      </w:pPr>
      <w:r>
        <w:rPr>
          <w:b/>
          <w:bCs/>
        </w:rPr>
        <w:t xml:space="preserve">Validité temporelle également pour les groupes :</w:t>
      </w:r>
      <w:r>
        <w:t xml:space="preserve"> </w:t>
      </w:r>
      <w:r>
        <w:t xml:space="preserve">au moyen de</w:t>
      </w:r>
      <w:r>
        <w:t xml:space="preserve"> </w:t>
      </w:r>
      <w:r>
        <w:rPr>
          <w:rStyle w:val="VerbatimChar"/>
        </w:rPr>
        <w:t xml:space="preserve">valid_from</w:t>
      </w:r>
      <w:r>
        <w:t xml:space="preserve">/</w:t>
      </w:r>
      <w:r>
        <w:rPr>
          <w:rStyle w:val="VerbatimChar"/>
        </w:rPr>
        <w:t xml:space="preserve">valid_through</w:t>
      </w:r>
      <w:r>
        <w:t xml:space="preserve">, il est possible de représenter p. ex. des commissions n’existant que durant une législature, ou des changements de nom et des fusions de partis.</w:t>
      </w:r>
    </w:p>
    <w:bookmarkStart w:id="141" w:name="classe-group"/>
    <w:p>
      <w:pPr>
        <w:pStyle w:val="berschrift2"/>
      </w:pPr>
      <w:r>
        <w:t xml:space="preserve">Classe: Group</w:t>
      </w:r>
    </w:p>
    <w:p>
      <w:pPr>
        <w:pStyle w:val="FirstParagraph"/>
      </w:pPr>
      <w:r>
        <w:rPr>
          <w:i/>
          <w:iCs/>
        </w:rPr>
        <w:t xml:space="preserve">Un groupe, une organisation ou une collectivité politique (p. ex. parti, commission, parlement, département).</w:t>
      </w:r>
    </w:p>
    <w:bookmarkStart w:id="127" w:name="attributs-7"/>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group_type</w:t>
            </w:r>
          </w:p>
        </w:tc>
        <w:tc>
          <w:tcPr>
            <w:shd w:val="clear" w:color="auto" w:fill="F2F2F2"/>
          </w:tcPr>
          <w:p>
            <w:pPr>
              <w:pStyle w:val="Compact"/>
            </w:pPr>
            <w:r>
              <w:t xml:space="preserve">1</w:t>
            </w:r>
            <w:r>
              <w:t xml:space="preserve"> </w:t>
            </w:r>
            <w:r>
              <w:t xml:space="preserve"> </w:t>
            </w:r>
            <w:hyperlink w:anchor="GroupType">
              <w:r>
                <w:rPr>
                  <w:rStyle w:val="Hyperlink"/>
                </w:rPr>
                <w:t xml:space="preserve">GroupType</w:t>
              </w:r>
            </w:hyperlink>
          </w:p>
        </w:tc>
        <w:tc>
          <w:tcPr>
            <w:shd w:val="clear" w:color="auto" w:fill="F2F2F2"/>
          </w:tcPr>
          <w:p>
            <w:pPr>
              <w:pStyle w:val="Compact"/>
            </w:pPr>
            <w:r>
              <w:t xml:space="preserve">Type de groupe (p. ex. parti, commission, parlement ou similaire). La désignation et la description exactes du groupe sont fournies via</w:t>
            </w:r>
            <w:r>
              <w:t xml:space="preserve"> </w:t>
            </w:r>
            <w:r>
              <w:rPr>
                <w:rStyle w:val="VerbatimChar"/>
              </w:rPr>
              <w:t xml:space="preserve">label</w:t>
            </w:r>
            <w:r>
              <w:t xml:space="preserve">.</w:t>
            </w:r>
          </w:p>
        </w:tc>
      </w:tr>
      <w:tr>
        <w:tc>
          <w:tcPr/>
          <w:p>
            <w:pPr>
              <w:pStyle w:val="Compact"/>
            </w:pPr>
            <w:r>
              <w:t xml:space="preserve">label</w:t>
            </w:r>
          </w:p>
        </w:tc>
        <w:tc>
          <w:tcPr/>
          <w:p>
            <w:pPr>
              <w:pStyle w:val="Compact"/>
            </w:pPr>
            <w:r>
              <w:t xml:space="preserve">1..*</w:t>
            </w:r>
            <w:r>
              <w:t xml:space="preserve"> </w:t>
            </w:r>
            <w:r>
              <w:t xml:space="preserve"> </w:t>
            </w:r>
            <w:hyperlink w:anchor="MultilingualValue">
              <w:r>
                <w:rPr>
                  <w:rStyle w:val="Hyperlink"/>
                </w:rPr>
                <w:t xml:space="preserve">MultilingualValue</w:t>
              </w:r>
            </w:hyperlink>
          </w:p>
        </w:tc>
        <w:tc>
          <w:tcPr/>
          <w:p>
            <w:pPr>
              <w:pStyle w:val="Compact"/>
            </w:pPr>
            <w:r>
              <w:t xml:space="preserve">Désignation du groupe avec la langue dans laquelle elle est publiée. Lorsqu’un groupe porte officiellement un nom dans plusieurs langues, une entrée est saisie par langue.</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Abréviation (peut être multilingue).</w:t>
            </w:r>
          </w:p>
        </w:tc>
      </w:tr>
      <w:tr>
        <w:tc>
          <w:tcPr/>
          <w:p>
            <w:pPr>
              <w:pStyle w:val="Compact"/>
            </w:pPr>
            <w:r>
              <w:t xml:space="preserve">description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Description de l’entité.</w:t>
            </w:r>
          </w:p>
        </w:tc>
      </w:tr>
      <w:tr>
        <w:tc>
          <w:tcPr>
            <w:shd w:val="clear" w:color="auto" w:fill="F2F2F2"/>
          </w:tcPr>
          <w:p>
            <w:pPr>
              <w:pStyle w:val="Compact"/>
            </w:pPr>
            <w:r>
              <w:t xml:space="preserve">organization_uid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 de l’organisation (format eCH-0097 : CHE-XXX.XXX.XXX) issu du registre fédéral IDE (uid.admin.ch).</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Forme juridique de l’organisation. Voir le vocabulaire contrôlé : https://register.ld.admin.ch/i14y/concept/legalForm</w:t>
            </w:r>
          </w:p>
        </w:tc>
      </w:tr>
      <w:tr>
        <w:tc>
          <w:tcPr>
            <w:shd w:val="clear" w:color="auto" w:fill="F2F2F2"/>
          </w:tcPr>
          <w:p>
            <w:pPr>
              <w:pStyle w:val="Compact"/>
            </w:pPr>
            <w:r>
              <w:t xml:space="preserve">landing_page</w:t>
            </w:r>
          </w:p>
        </w:tc>
        <w:tc>
          <w:tcPr>
            <w:shd w:val="clear" w:color="auto" w:fill="F2F2F2"/>
          </w:tcPr>
          <w:p>
            <w:pPr>
              <w:pStyle w:val="Compact"/>
            </w:pPr>
            <w:r>
              <w:t xml:space="preserve">*</w:t>
            </w:r>
            <w:r>
              <w:t xml:space="preserve"> </w:t>
            </w:r>
            <w:r>
              <w:t xml:space="preserve"> </w:t>
            </w:r>
            <w:hyperlink w:anchor="MultilingualUri">
              <w:r>
                <w:rPr>
                  <w:rStyle w:val="Hyperlink"/>
                </w:rPr>
                <w:t xml:space="preserve">MultilingualUri</w:t>
              </w:r>
            </w:hyperlink>
          </w:p>
        </w:tc>
        <w:tc>
          <w:tcPr>
            <w:shd w:val="clear" w:color="auto" w:fill="F2F2F2"/>
          </w:tcPr>
          <w:p>
            <w:pPr>
              <w:pStyle w:val="Compact"/>
            </w:pPr>
            <w:r>
              <w:t xml:space="preserve">Site web fournissant de plus amples informations. Lorsque le site est publié à une adresse propre par langue, une entrée est saisie par langue.</w:t>
            </w:r>
          </w:p>
        </w:tc>
      </w:tr>
      <w:tr>
        <w:tc>
          <w:tcPr/>
          <w:p>
            <w:pPr>
              <w:pStyle w:val="Compact"/>
            </w:pPr>
            <w:r>
              <w:t xml:space="preserve">parent_groups</w:t>
            </w:r>
          </w:p>
        </w:tc>
        <w:tc>
          <w:tcPr/>
          <w:p>
            <w:pPr>
              <w:pStyle w:val="Compact"/>
            </w:pPr>
            <w:r>
              <w:t xml:space="preserve">*</w:t>
            </w:r>
            <w:r>
              <w:t xml:space="preserve"> </w:t>
            </w:r>
            <w:r>
              <w:t xml:space="preserve"> </w:t>
            </w:r>
            <w:hyperlink w:anchor="GroupReference">
              <w:r>
                <w:rPr>
                  <w:rStyle w:val="Hyperlink"/>
                </w:rPr>
                <w:t xml:space="preserve">GroupReference</w:t>
              </w:r>
            </w:hyperlink>
          </w:p>
        </w:tc>
        <w:tc>
          <w:tcPr/>
          <w:p>
            <w:pPr>
              <w:pStyle w:val="Compact"/>
            </w:pPr>
            <w:r>
              <w:t xml:space="preserve">Référence aux groupes supérieurs sous forme de GroupReference, c’est-à-dire indiquée au moyen de leur local_id ou de leur global_uri. Seule une véritable relation de subordination y a sa place : le parti faîtier d’un parti cantonal, la hiérarchie au sein de l’exécutif, une sous-commission rattachée à sa commission ou un groupe parlementaire rattaché à son parlement. (parentGroup est généralement utilisé au sein d’un même group_type, mais les liens intertypes sont autorisés, p. ex. groupe parlementaire → parlement.) Les partis qui portent un groupe parlementaire ne lui sont pas supérieurs et ne sont donc pas indiqués ici.</w:t>
            </w:r>
          </w:p>
        </w:tc>
      </w:tr>
      <w:tr>
        <w:tc>
          <w:tcPr>
            <w:shd w:val="clear" w:color="auto" w:fill="F2F2F2"/>
          </w:tcPr>
          <w:p>
            <w:pPr>
              <w:pStyle w:val="Compact"/>
            </w:pPr>
            <w:r>
              <w:t xml:space="preserve">spatial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Référence spatiale (numéro OFS de commune, numéro OFS de canton ou pays). Formats : commune : ld.admin.ch/municipality/1234, canton : ld.admin.ch/canton/23, pays : ld.admin.ch/country/CHE.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Informations de contact (e-mail, site web, réseaux sociaux). Directive : l’e-mail est quasi obligatoire et devrait toujours être fourni lorsqu’il est disponible.</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Adresses avec type (privée, professionnelle, locale).</w:t>
            </w:r>
          </w:p>
        </w:tc>
      </w:tr>
      <w:tr>
        <w:tc>
          <w:tcPr/>
          <w:p>
            <w:pPr>
              <w:pStyle w:val="Compact"/>
            </w:pPr>
            <w:r>
              <w:t xml:space="preserve">statutes_url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vers les statuts du parti (PDF ou page web ; facultatif pour les partis).</w:t>
            </w:r>
          </w:p>
        </w:tc>
      </w:tr>
      <w:tr>
        <w:tc>
          <w:tcPr>
            <w:shd w:val="clear" w:color="auto" w:fill="F2F2F2"/>
          </w:tcPr>
          <w:p>
            <w:pPr>
              <w:pStyle w:val="Compact"/>
            </w:pPr>
            <w:r>
              <w:t xml:space="preserve">party_color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Couleur du parti sous forme de valeur hexadécimale (facultatif pour les partis, p. ex. « #FF0000 »).</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127"/>
    <w:bookmarkStart w:id="128" w:name="utilisations-7"/>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8"/>
    <w:bookmarkStart w:id="140" w:name="exemples-2"/>
    <w:p>
      <w:pPr>
        <w:pStyle w:val="berschrift3"/>
      </w:pPr>
      <w:r>
        <w:t xml:space="preserve">Exemples</w:t>
      </w:r>
    </w:p>
    <w:bookmarkStart w:id="129" w:name="X1c70b61a01d8ae89b649534fb9fddffac253dfe"/>
    <w:p>
      <w:pPr>
        <w:pStyle w:val="berschrift4"/>
      </w:pPr>
      <w:r>
        <w:t xml:space="preserve">Exemple : Groupe parlementaire renvoyant au parlement dont il relève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1266</w:t>
      </w:r>
      <w:r>
        <w:br/>
      </w:r>
      <w:r>
        <w:rPr>
          <w:rStyle w:val="FunctionTok"/>
        </w:rPr>
        <w:t xml:space="preserve">global_uri</w:t>
      </w:r>
      <w:r>
        <w:rPr>
          <w:rStyle w:val="KeywordTok"/>
        </w:rPr>
        <w:t xml:space="preserve">:</w:t>
      </w:r>
      <w:r>
        <w:rPr>
          <w:rStyle w:val="AttributeTok"/>
        </w:rPr>
        <w:t xml:space="preserve"> https://grosserrat.bs.ch/gremien/parteien-und-fraktionen/mitte-evp</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 Evangelische Volkspartei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Fraktion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p>
    <w:bookmarkEnd w:id="129"/>
    <w:bookmarkStart w:id="130" w:name="X4774335b9cee6eec99193491944a81eb12101cb"/>
    <w:p>
      <w:pPr>
        <w:pStyle w:val="berschrift4"/>
      </w:pPr>
      <w:r>
        <w:t xml:space="preserve">Exemple : Commission renvoyant à son conseil cantonal</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https://ar.ch/kantonsrat/kommissionen/staendige-kommissionen-des-kantonsrates/geschaeftspruefungskommission/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Geschäftsprüfungskommission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rPr>
          <w:rStyle w:val="AttributeTok"/>
        </w:rPr>
        <w:t xml:space="preserve"> Kantonsrat Appenzell Ausserrhoden</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Kantonsrat Appenzell Ausserrhoden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p>
    <w:bookmarkEnd w:id="130"/>
    <w:bookmarkStart w:id="131" w:name="Xdc4c46237616d2525ceb1e46f739430dda505a5"/>
    <w:p>
      <w:pPr>
        <w:pStyle w:val="berschrift4"/>
      </w:pPr>
      <w:r>
        <w:t xml:space="preserve">Exemple : Chancellerie d’État renvoyant à son gouvernement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7172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https://www.bs.ch/regierungsrat/staatskanzlei</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council_secretariat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Basel-Stadt</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council_executive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 (Exekutivrat)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1"/>
    <w:bookmarkStart w:id="132" w:name="Xe5ec302af3c3c19c5708cfd8cb0df6f52dae725"/>
    <w:p>
      <w:pPr>
        <w:pStyle w:val="berschrift4"/>
      </w:pPr>
      <w:r>
        <w:t xml:space="preserve">Exemple : Délégation bilingue auprès d’un organe intercantonal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FunctionTok"/>
        </w:rPr>
        <w:t xml:space="preserve">global_uri</w:t>
      </w:r>
      <w:r>
        <w:rPr>
          <w:rStyle w:val="KeywordTok"/>
        </w:rPr>
        <w:t xml:space="preserve">:</w:t>
      </w:r>
      <w:r>
        <w:rPr>
          <w:rStyle w:val="AttributeTok"/>
        </w:rPr>
        <w:t xml:space="preserve"> https://www.fr.ch/parlinfo/app/organizations/a1acb0c030d54b3baed840fe8bbed6b5</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description</w:t>
      </w:r>
      <w:r>
        <w:rPr>
          <w:rStyle w:val="KeywordTok"/>
        </w:rPr>
        <w:t xml:space="preserv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Die Interparlamentarische Aufsichtskommission strafrechtliche Einschliessung besteht</w:t>
      </w:r>
      <w:r>
        <w:br/>
      </w:r>
      <w:r>
        <w:rPr>
          <w:rStyle w:val="NormalTok"/>
        </w:rPr>
        <w:t xml:space="preserve">    aus 18 Grossrätinnen und Grossräten aus den sechs Vertragskantonen Freiburg, Genf,</w:t>
      </w:r>
      <w:r>
        <w:br/>
      </w:r>
      <w:r>
        <w:rPr>
          <w:rStyle w:val="NormalTok"/>
        </w:rPr>
        <w:t xml:space="preserve">    Jura, Neuenburg, Waadt und Wallis.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La Commission interparlementaire de contrôle détention pénale est composée de</w:t>
      </w:r>
      <w:r>
        <w:br/>
      </w:r>
      <w:r>
        <w:rPr>
          <w:rStyle w:val="NormalTok"/>
        </w:rPr>
        <w:t xml:space="preserve">    18 députés issus des six cantons partenaires : Fribourg, Genève, Jura, Neuchâtel,</w:t>
      </w:r>
      <w:r>
        <w:br/>
      </w:r>
      <w:r>
        <w:rPr>
          <w:rStyle w:val="NormalTok"/>
        </w:rPr>
        <w:t xml:space="preserve">    Vaud et Valais.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Delegation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spatial</w:t>
      </w:r>
      <w:r>
        <w:rPr>
          <w:rStyle w:val="KeywordTok"/>
        </w:rPr>
        <w:t xml:space="preserve">:</w:t>
      </w:r>
      <w:r>
        <w:rPr>
          <w:rStyle w:val="AttributeTok"/>
        </w:rPr>
        <w:t xml:space="preserve"> https://ld.admin.ch/canton/10</w:t>
      </w:r>
      <w:r>
        <w:br/>
      </w:r>
      <w:r>
        <w:rPr>
          <w:rStyle w:val="FunctionTok"/>
        </w:rPr>
        <w:t xml:space="preserve">valid_from</w:t>
      </w:r>
      <w:r>
        <w:rPr>
          <w:rStyle w:val="KeywordTok"/>
        </w:rPr>
        <w:t xml:space="preserve">:</w:t>
      </w:r>
      <w:r>
        <w:rPr>
          <w:rStyle w:val="AttributeTok"/>
        </w:rPr>
        <w:t xml:space="preserve"> 2007-12-12</w:t>
      </w:r>
    </w:p>
    <w:bookmarkEnd w:id="132"/>
    <w:bookmarkStart w:id="133" w:name="X576487eb3d2aefd9b25eb5d9a1bb3938c1d5948"/>
    <w:p>
      <w:pPr>
        <w:pStyle w:val="berschrift4"/>
      </w:pPr>
      <w:r>
        <w:t xml:space="preserve">Exemple : Commission extraparlementaire dotée du pouvoir de décision</w:t>
      </w:r>
    </w:p>
    <w:p>
      <w:pPr>
        <w:pStyle w:val="SourceCode"/>
      </w:pPr>
      <w:r>
        <w:rPr>
          <w:rStyle w:val="FunctionTok"/>
        </w:rPr>
        <w:t xml:space="preserve">global_uri</w:t>
      </w:r>
      <w:r>
        <w:rPr>
          <w:rStyle w:val="KeywordTok"/>
        </w:rPr>
        <w:t xml:space="preserve">:</w:t>
      </w:r>
      <w:r>
        <w:rPr>
          <w:rStyle w:val="AttributeTok"/>
        </w:rPr>
        <w:t xml:space="preserve"> https://www.weko.admin.ch/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Wettbewerbskommission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 de la concurrence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Commissione della concorrenza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WEKO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https://www.weko.admin.ch/fr</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https://www.weko.admin.ch/it</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committee_extraparliamentary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Ausserparlamentarische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https://ld.admin.ch/country/CHE</w:t>
      </w:r>
    </w:p>
    <w:bookmarkEnd w:id="133"/>
    <w:bookmarkStart w:id="134" w:name="Xf51e15bb75be90332a4941dc0af87ee1478da2f"/>
    <w:p>
      <w:pPr>
        <w:pStyle w:val="berschrift4"/>
      </w:pPr>
      <w:r>
        <w:t xml:space="preserve">Exemple : Parti cantonal renvoyant au parti national</w:t>
      </w:r>
    </w:p>
    <w:p>
      <w:pPr>
        <w:pStyle w:val="SourceCode"/>
      </w:pPr>
      <w:r>
        <w:rPr>
          <w:rStyle w:val="FunctionTok"/>
        </w:rPr>
        <w:t xml:space="preserve">global_uri</w:t>
      </w:r>
      <w:r>
        <w:rPr>
          <w:rStyle w:val="KeywordTok"/>
        </w:rPr>
        <w:t xml:space="preserve">:</w:t>
      </w:r>
      <w:r>
        <w:rPr>
          <w:rStyle w:val="AttributeTok"/>
        </w:rPr>
        <w:t xml:space="preserve"> https://www.evp-bs.ch/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Evangelische Volkspartei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 BS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https://www.evppev.ch/</w:t>
      </w:r>
      <w:r>
        <w:br/>
      </w:r>
      <w:r>
        <w:rPr>
          <w:rStyle w:val="AttributeTok"/>
        </w:rPr>
        <w:t xml:space="preserve">  </w:t>
      </w:r>
      <w:r>
        <w:rPr>
          <w:rStyle w:val="FunctionTok"/>
        </w:rPr>
        <w:t xml:space="preserve">label</w:t>
      </w:r>
      <w:r>
        <w:rPr>
          <w:rStyle w:val="KeywordTok"/>
        </w:rPr>
        <w:t xml:space="preserve">:</w:t>
      </w:r>
      <w:r>
        <w:rPr>
          <w:rStyle w:val="AttributeTok"/>
        </w:rPr>
        <w:t xml:space="preserve"> Evangelische Volkspartei der Schweiz</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134"/>
    <w:bookmarkStart w:id="135" w:name="X41114913d96e8239a8169dc130b778dd0714983"/>
    <w:p>
      <w:pPr>
        <w:pStyle w:val="berschrift4"/>
      </w:pPr>
      <w:r>
        <w:t xml:space="preserve">Exemple : Parlement communal avec référence spatiale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700</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https://www.stadt.sg.ch/home/verwaltung-politik/demokratie-politik/stadtparlament.html</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Stadtparlament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https://ld.admin.ch/municipality/3203</w:t>
      </w:r>
    </w:p>
    <w:bookmarkEnd w:id="135"/>
    <w:bookmarkStart w:id="136" w:name="X9ea98cf718409c371af990e52da5daf754bc024"/>
    <w:p>
      <w:pPr>
        <w:pStyle w:val="berschrift4"/>
      </w:pPr>
      <w:r>
        <w:t xml:space="preserve">Exemple : Association avec IDE et forme juridique du registre du commerce</w:t>
      </w:r>
    </w:p>
    <w:p>
      <w:pPr>
        <w:pStyle w:val="SourceCode"/>
      </w:pPr>
      <w:r>
        <w:rPr>
          <w:rStyle w:val="FunctionTok"/>
        </w:rPr>
        <w:t xml:space="preserve">global_uri</w:t>
      </w:r>
      <w:r>
        <w:rPr>
          <w:rStyle w:val="KeywordTok"/>
        </w:rPr>
        <w:t xml:space="preserve">:</w:t>
      </w:r>
      <w:r>
        <w:rPr>
          <w:rStyle w:val="AttributeTok"/>
        </w:rPr>
        <w:t xml:space="preserve"> https://www.frc.ch/</w:t>
      </w:r>
      <w:r>
        <w:br/>
      </w:r>
      <w:r>
        <w:rPr>
          <w:rStyle w:val="FunctionTok"/>
        </w:rPr>
        <w:t xml:space="preserve">organization_uid</w:t>
      </w:r>
      <w:r>
        <w:rPr>
          <w:rStyle w:val="KeywordTok"/>
        </w:rPr>
        <w:t xml:space="preserve">:</w:t>
      </w:r>
      <w:r>
        <w:rPr>
          <w:rStyle w:val="AttributeTok"/>
        </w:rPr>
        <w:t xml:space="preserve"> CHE-106.063.525</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Fédération romande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association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Verein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https://ld.admin.ch/canton/22</w:t>
      </w:r>
    </w:p>
    <w:bookmarkEnd w:id="136"/>
    <w:bookmarkStart w:id="137" w:name="X9314686a3c8cad027f61d6350b592131d48569c"/>
    <w:p>
      <w:pPr>
        <w:pStyle w:val="berschrift4"/>
      </w:pPr>
      <w:r>
        <w:t xml:space="preserve">Exemple : Bureau du conseil renvoyant à son parlement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https://grosserrat.bs.ch/gremien/praesidium-und-buero</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council_bureau</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Ratsbüro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7"/>
    <w:bookmarkStart w:id="138" w:name="X0c5a941499bf8f5a460d922e03cdacbd64d5aa7"/>
    <w:p>
      <w:pPr>
        <w:pStyle w:val="berschrift4"/>
      </w:pPr>
      <w:r>
        <w:t xml:space="preserve">Exemple : Parti cantonal constituant un groupe propre à son niveau fédéral</w:t>
      </w:r>
    </w:p>
    <w:p>
      <w:pPr>
        <w:pStyle w:val="SourceCode"/>
      </w:pPr>
      <w:r>
        <w:rPr>
          <w:rStyle w:val="FunctionTok"/>
        </w:rPr>
        <w:t xml:space="preserve">global_uri</w:t>
      </w:r>
      <w:r>
        <w:rPr>
          <w:rStyle w:val="KeywordTok"/>
        </w:rPr>
        <w:t xml:space="preserve">:</w:t>
      </w:r>
      <w:r>
        <w:rPr>
          <w:rStyle w:val="AttributeTok"/>
        </w:rPr>
        <w:t xml:space="preserve"> https://bs.die-mitte.ch/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https://www.die-mitte.ch/</w:t>
      </w:r>
      <w:r>
        <w:br/>
      </w:r>
      <w:r>
        <w:rPr>
          <w:rStyle w:val="AttributeTok"/>
        </w:rPr>
        <w:t xml:space="preserve">  </w:t>
      </w:r>
      <w:r>
        <w:rPr>
          <w:rStyle w:val="FunctionTok"/>
        </w:rPr>
        <w:t xml:space="preserve">label</w:t>
      </w:r>
      <w:r>
        <w:rPr>
          <w:rStyle w:val="KeywordTok"/>
        </w:rPr>
        <w:t xml:space="preserve">:</w:t>
      </w:r>
      <w:r>
        <w:rPr>
          <w:rStyle w:val="AttributeTok"/>
        </w:rPr>
        <w:t xml:space="preserve"> Die Mitte Schweiz</w:t>
      </w:r>
    </w:p>
    <w:bookmarkEnd w:id="138"/>
    <w:bookmarkStart w:id="139" w:name="X8272be6eef929239e68ca03b6a022d498f31be7"/>
    <w:p>
      <w:pPr>
        <w:pStyle w:val="berschrift4"/>
      </w:pPr>
      <w:r>
        <w:t xml:space="preserve">Exemple : Groupe d’intérêt avec nom trilingue et contact</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FunctionTok"/>
        </w:rPr>
        <w:t xml:space="preserve">global_uri</w:t>
      </w:r>
      <w:r>
        <w:rPr>
          <w:rStyle w:val="KeywordTok"/>
        </w:rPr>
        <w:t xml:space="preserve">:</w:t>
      </w:r>
      <w:r>
        <w:rPr>
          <w:rStyle w:val="AttributeTok"/>
        </w:rPr>
        <w:t xml:space="preserve"> https://www.parlament.ch/de/organe/gruppen/konsumenteninformation-und-schutz</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description</w:t>
      </w:r>
      <w:r>
        <w:rPr>
          <w:rStyle w:val="KeywordTok"/>
        </w:rPr>
        <w:t xml:space="preserv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L'intergroupe parlementaire « Information et défense des consommateurs » réunit</w:t>
      </w:r>
      <w:r>
        <w:br/>
      </w:r>
      <w:r>
        <w:rPr>
          <w:rStyle w:val="NormalTok"/>
        </w:rPr>
        <w:t xml:space="preserve">    toutes les sensibilités politiques. Cet intergroupe a pour mission d'informer</w:t>
      </w:r>
      <w:r>
        <w:br/>
      </w:r>
      <w:r>
        <w:rPr>
          <w:rStyle w:val="NormalTok"/>
        </w:rPr>
        <w:t xml:space="preserve">    et de sensibiliser les élu·e·s aux questions relatives à la défense des consommateur·rice·s</w:t>
      </w:r>
      <w:r>
        <w:br/>
      </w:r>
      <w:r>
        <w:rPr>
          <w:rStyle w:val="NormalTok"/>
        </w:rPr>
        <w:t xml:space="preserve">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https://www.parlament.ch/centers/documents/de/gruppen-der-bundesversammlung.pdf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l.altwegg@frc.ch</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phone</w:t>
      </w:r>
      <w:r>
        <w:br/>
      </w:r>
      <w:r>
        <w:rPr>
          <w:rStyle w:val="AttributeTok"/>
        </w:rPr>
        <w:t xml:space="preserve">  </w:t>
      </w:r>
      <w:r>
        <w:rPr>
          <w:rStyle w:val="FunctionTok"/>
        </w:rPr>
        <w:t xml:space="preserve">value</w:t>
      </w:r>
      <w:r>
        <w:rPr>
          <w:rStyle w:val="KeywordTok"/>
        </w:rPr>
        <w:t xml:space="preserve">:</w:t>
      </w:r>
      <w:r>
        <w:rPr>
          <w:rStyle w:val="AttributeTok"/>
        </w:rPr>
        <w:t xml:space="preserve"> +41 21 331 00 95</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Interessengruppe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Groupe d'intérêt</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Gruppo d'interesse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spatial</w:t>
      </w:r>
      <w:r>
        <w:rPr>
          <w:rStyle w:val="KeywordTok"/>
        </w:rPr>
        <w:t xml:space="preserve">:</w:t>
      </w:r>
      <w:r>
        <w:rPr>
          <w:rStyle w:val="AttributeTok"/>
        </w:rPr>
        <w:t xml:space="preserve"> https://ld.admin.ch/country/CHE</w:t>
      </w:r>
      <w:r>
        <w:br/>
      </w:r>
      <w:r>
        <w:rPr>
          <w:rStyle w:val="FunctionTok"/>
        </w:rPr>
        <w:t xml:space="preserve">valid_from</w:t>
      </w:r>
      <w:r>
        <w:rPr>
          <w:rStyle w:val="KeywordTok"/>
        </w:rPr>
        <w:t xml:space="preserve">:</w:t>
      </w:r>
      <w:r>
        <w:rPr>
          <w:rStyle w:val="AttributeTok"/>
        </w:rPr>
        <w:t xml:space="preserve"> 2012-01-01</w:t>
      </w:r>
    </w:p>
    <w:bookmarkEnd w:id="139"/>
    <w:bookmarkEnd w:id="140"/>
    <w:bookmarkEnd w:id="141"/>
    <w:bookmarkStart w:id="144" w:name="classe-grouptype"/>
    <w:p>
      <w:pPr>
        <w:pStyle w:val="berschrift2"/>
      </w:pPr>
      <w:r>
        <w:t xml:space="preserve">Classe: GroupType</w:t>
      </w:r>
    </w:p>
    <w:p>
      <w:pPr>
        <w:pStyle w:val="FirstParagraph"/>
      </w:pPr>
      <w:r>
        <w:rPr>
          <w:i/>
          <w:iCs/>
        </w:rPr>
        <w:t xml:space="preserve">Type de groupe (p. ex. parti, commission, parlement, département).</w:t>
      </w:r>
    </w:p>
    <w:bookmarkStart w:id="142" w:name="attributs-8"/>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group_type_enum</w:t>
            </w:r>
          </w:p>
        </w:tc>
        <w:tc>
          <w:tcPr>
            <w:shd w:val="clear" w:color="auto" w:fill="F2F2F2"/>
          </w:tcPr>
          <w:p>
            <w:pPr>
              <w:pStyle w:val="Compact"/>
            </w:pPr>
            <w:r>
              <w:t xml:space="preserve">0..1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Lien vers le vocabulaire contrôlé pour les types de groupes.</w:t>
            </w:r>
          </w:p>
        </w:tc>
      </w:tr>
      <w:tr>
        <w:tc>
          <w:tcPr/>
          <w:p>
            <w:pPr>
              <w:pStyle w:val="Compact"/>
            </w:pPr>
            <w:r>
              <w:t xml:space="preserve">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Désignation du type telle que l’emploie l’organe qui la publie, avec la langue dans laquelle elle est publiée. Lorsqu’un organe publie la désignation en plusieurs langues, une entrée est saisie par langue.</w:t>
            </w:r>
          </w:p>
        </w:tc>
      </w:tr>
    </w:tbl>
    <w:bookmarkEnd w:id="142"/>
    <w:bookmarkStart w:id="143" w:name="utilisations-8"/>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43"/>
    <w:bookmarkEnd w:id="144"/>
    <w:bookmarkStart w:id="170" w:name="enum-grouptypeenum"/>
    <w:p>
      <w:pPr>
        <w:pStyle w:val="berschrift2"/>
      </w:pPr>
      <w:r>
        <w:t xml:space="preserve">Enum: GroupTypeEnum</w:t>
      </w:r>
    </w:p>
    <w:p>
      <w:pPr>
        <w:pStyle w:val="FirstParagraph"/>
      </w:pPr>
      <w:r>
        <w:rPr>
          <w:i/>
          <w:iCs/>
        </w:rPr>
        <w:t xml:space="preserve">Trois règles s’appliquent aux types de groupes et d’organisations politiques.</w:t>
      </w:r>
    </w:p>
    <w:p>
      <w:pPr>
        <w:pStyle w:val="Textkrper"/>
      </w:pPr>
      <w:r>
        <w:rPr>
          <w:i/>
          <w:iCs/>
        </w:rPr>
        <w:t xml:space="preserve">La valeur désigne la fonction politique ; la désignation locale relève du libellé du groupe. Büro, Ratsleitung et Ufficio presidenziale reçoivent donc tous la valeur</w:t>
      </w:r>
      <w:r>
        <w:rPr>
          <w:i/>
          <w:iCs/>
        </w:rPr>
        <w:t xml:space="preserve"> </w:t>
      </w:r>
      <w:r>
        <w:rPr>
          <w:rStyle w:val="VerbatimChar"/>
          <w:i/>
          <w:iCs/>
        </w:rPr>
        <w:t xml:space="preserve">council_bureau</w:t>
      </w:r>
      <w:r>
        <w:rPr>
          <w:i/>
          <w:iCs/>
        </w:rPr>
        <w:t xml:space="preserve">.</w:t>
      </w:r>
    </w:p>
    <w:p>
      <w:pPr>
        <w:pStyle w:val="Textkrper"/>
      </w:pPr>
      <w:r>
        <w:rPr>
          <w:i/>
          <w:iCs/>
        </w:rPr>
        <w:t xml:space="preserve">Les valeurs apparentées partagent un préfixe. La famille</w:t>
      </w:r>
      <w:r>
        <w:rPr>
          <w:i/>
          <w:iCs/>
        </w:rPr>
        <w:t xml:space="preserve"> </w:t>
      </w:r>
      <w:r>
        <w:rPr>
          <w:rStyle w:val="VerbatimChar"/>
          <w:i/>
          <w:iCs/>
        </w:rPr>
        <w:t xml:space="preserve">council_</w:t>
      </w:r>
      <w:r>
        <w:rPr>
          <w:i/>
          <w:iCs/>
        </w:rPr>
        <w:t xml:space="preserve"> </w:t>
      </w:r>
      <w:r>
        <w:rPr>
          <w:i/>
          <w:iCs/>
        </w:rPr>
        <w:t xml:space="preserve">ne distingue pas selon le conseil : une chancellerie d’État et les services du parlement sont tous deux</w:t>
      </w:r>
      <w:r>
        <w:rPr>
          <w:i/>
          <w:iCs/>
        </w:rPr>
        <w:t xml:space="preserve"> </w:t>
      </w:r>
      <w:r>
        <w:rPr>
          <w:rStyle w:val="VerbatimChar"/>
          <w:i/>
          <w:iCs/>
        </w:rPr>
        <w:t xml:space="preserve">council_secretariat</w:t>
      </w:r>
      <w:r>
        <w:rPr>
          <w:i/>
          <w:iCs/>
        </w:rPr>
        <w:t xml:space="preserve">, le rattachement ressortant de</w:t>
      </w:r>
      <w:r>
        <w:rPr>
          <w:i/>
          <w:iCs/>
        </w:rPr>
        <w:t xml:space="preserve"> </w:t>
      </w:r>
      <w:r>
        <w:rPr>
          <w:rStyle w:val="VerbatimChar"/>
          <w:i/>
          <w:iCs/>
        </w:rPr>
        <w:t xml:space="preserve">parent_groups</w:t>
      </w:r>
      <w:r>
        <w:rPr>
          <w:i/>
          <w:iCs/>
        </w:rPr>
        <w:t xml:space="preserve">. Elle se subdivise en</w:t>
      </w:r>
      <w:r>
        <w:rPr>
          <w:i/>
          <w:iCs/>
        </w:rPr>
        <w:t xml:space="preserve"> </w:t>
      </w:r>
      <w:r>
        <w:rPr>
          <w:rStyle w:val="VerbatimChar"/>
          <w:i/>
          <w:iCs/>
        </w:rPr>
        <w:t xml:space="preserve">council_presidency</w:t>
      </w:r>
      <w:r>
        <w:rPr>
          <w:i/>
          <w:iCs/>
        </w:rPr>
        <w:t xml:space="preserve"> </w:t>
      </w:r>
      <w:r>
        <w:rPr>
          <w:i/>
          <w:iCs/>
        </w:rPr>
        <w:t xml:space="preserve">pour la présidence,</w:t>
      </w:r>
      <w:r>
        <w:rPr>
          <w:i/>
          <w:iCs/>
        </w:rPr>
        <w:t xml:space="preserve"> </w:t>
      </w:r>
      <w:r>
        <w:rPr>
          <w:rStyle w:val="VerbatimChar"/>
          <w:i/>
          <w:iCs/>
        </w:rPr>
        <w:t xml:space="preserve">council_bureau</w:t>
      </w:r>
      <w:r>
        <w:rPr>
          <w:i/>
          <w:iCs/>
        </w:rPr>
        <w:t xml:space="preserve"> </w:t>
      </w:r>
      <w:r>
        <w:rPr>
          <w:i/>
          <w:iCs/>
        </w:rPr>
        <w:t xml:space="preserve">pour l’organe de direction élargi à la représentation des groupes et</w:t>
      </w:r>
      <w:r>
        <w:rPr>
          <w:i/>
          <w:iCs/>
        </w:rPr>
        <w:t xml:space="preserve"> </w:t>
      </w:r>
      <w:r>
        <w:rPr>
          <w:rStyle w:val="VerbatimChar"/>
          <w:i/>
          <w:iCs/>
        </w:rPr>
        <w:t xml:space="preserve">council_secretariat</w:t>
      </w:r>
      <w:r>
        <w:rPr>
          <w:i/>
          <w:iCs/>
        </w:rPr>
        <w:t xml:space="preserve"> </w:t>
      </w:r>
      <w:r>
        <w:rPr>
          <w:i/>
          <w:iCs/>
        </w:rPr>
        <w:t xml:space="preserve">pour l’unité administrative composée d’employés. La famille</w:t>
      </w:r>
      <w:r>
        <w:rPr>
          <w:i/>
          <w:iCs/>
        </w:rPr>
        <w:t xml:space="preserve"> </w:t>
      </w:r>
      <w:r>
        <w:rPr>
          <w:rStyle w:val="VerbatimChar"/>
          <w:i/>
          <w:iCs/>
        </w:rPr>
        <w:t xml:space="preserve">committee_</w:t>
      </w:r>
      <w:r>
        <w:rPr>
          <w:i/>
          <w:iCs/>
        </w:rPr>
        <w:t xml:space="preserve"> </w:t>
      </w:r>
      <w:r>
        <w:rPr>
          <w:i/>
          <w:iCs/>
        </w:rPr>
        <w:t xml:space="preserve">suit le même modèle, avec</w:t>
      </w:r>
      <w:r>
        <w:rPr>
          <w:i/>
          <w:iCs/>
        </w:rPr>
        <w:t xml:space="preserve"> </w:t>
      </w:r>
      <w:r>
        <w:rPr>
          <w:rStyle w:val="VerbatimChar"/>
          <w:i/>
          <w:iCs/>
        </w:rPr>
        <w:t xml:space="preserve">committee</w:t>
      </w:r>
      <w:r>
        <w:rPr>
          <w:i/>
          <w:iCs/>
        </w:rPr>
        <w:t xml:space="preserve"> </w:t>
      </w:r>
      <w:r>
        <w:rPr>
          <w:i/>
          <w:iCs/>
        </w:rPr>
        <w:t xml:space="preserve">comme cas de base.</w:t>
      </w:r>
    </w:p>
    <w:p>
      <w:pPr>
        <w:pStyle w:val="Textkrper"/>
      </w:pPr>
      <w:r>
        <w:rPr>
          <w:i/>
          <w:iCs/>
        </w:rPr>
        <w:t xml:space="preserve">La forme juridique ne relève pas de ce vocabulaire, mais de</w:t>
      </w:r>
      <w:r>
        <w:rPr>
          <w:i/>
          <w:iCs/>
        </w:rPr>
        <w:t xml:space="preserve"> </w:t>
      </w:r>
      <w:r>
        <w:rPr>
          <w:rStyle w:val="VerbatimChar"/>
          <w:i/>
          <w:iCs/>
        </w:rPr>
        <w:t xml:space="preserve">legal_form</w:t>
      </w:r>
      <w:r>
        <w:rPr>
          <w:i/>
          <w:iCs/>
        </w:rPr>
        <w:t xml:space="preserve">.</w:t>
      </w:r>
    </w:p>
    <w:p>
      <w:pPr>
        <w:pStyle w:val="Textkrper"/>
      </w:pPr>
      <w:r>
        <w:t xml:space="preserve">URI:</w:t>
      </w:r>
      <w:r>
        <w:t xml:space="preserve"> </w:t>
      </w:r>
      <w:hyperlink ns1:id="rId145">
        <w:r>
          <w:rPr>
            <w:rStyle w:val="Hyperlink"/>
          </w:rPr>
          <w:t xml:space="preserve">act:GroupTypeEnum</w:t>
        </w:r>
      </w:hyperlink>
    </w:p>
    <w:bookmarkStart w:id="169" w:name="valeurs-admissibles-3"/>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party</w:t>
            </w:r>
          </w:p>
        </w:tc>
        <w:tc>
          <w:tcPr>
            <w:shd w:val="clear" w:color="auto" w:fill="F2F2F2"/>
          </w:tcPr>
          <w:p>
            <w:pPr>
              <w:pStyle w:val="Compact"/>
            </w:pPr>
            <w:r>
              <w:t xml:space="preserve">Parti politique au niveau fédéral, cantonal ou communal. Chaque niveau fédéral est géré comme un groupe distinct (p. ex. parti national, parti cantonal, parti communal).</w:t>
            </w:r>
          </w:p>
        </w:tc>
      </w:tr>
      <w:tr>
        <w:tc>
          <w:tcPr/>
          <w:p>
            <w:pPr>
              <w:pStyle w:val="Compact"/>
            </w:pPr>
          </w:p>
        </w:tc>
        <w:tc>
          <w:tcPr/>
          <w:p>
            <w:pPr>
              <w:pStyle w:val="Compact"/>
            </w:pPr>
            <w:hyperlink ns1:id="rId146">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Liste électorale (peut faire partie d’un parti ou être indépendante).</w:t>
            </w:r>
          </w:p>
        </w:tc>
      </w:tr>
      <w:tr>
        <w:tc>
          <w:tcPr/>
          <w:p>
            <w:pPr>
              <w:pStyle w:val="Compact"/>
            </w:pPr>
          </w:p>
        </w:tc>
        <w:tc>
          <w:tcPr/>
          <w:p>
            <w:pPr>
              <w:pStyle w:val="Compact"/>
            </w:pPr>
            <w:hyperlink ns1:id="rId147">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Groupe de travail ad hoc, généralement d’une durée limitée.</w:t>
            </w:r>
          </w:p>
        </w:tc>
      </w:tr>
      <w:tr>
        <w:tc>
          <w:tcPr/>
          <w:p>
            <w:pPr>
              <w:pStyle w:val="Compact"/>
            </w:pPr>
          </w:p>
        </w:tc>
        <w:tc>
          <w:tcPr/>
          <w:p>
            <w:pPr>
              <w:pStyle w:val="Compact"/>
            </w:pPr>
            <w:hyperlink ns1:id="rId148">
              <w:r>
                <w:rPr>
                  <w:rStyle w:val="Hyperlink"/>
                </w:rPr>
                <w:t xml:space="preserve">act:enum/group_type/workgroup</w:t>
              </w:r>
            </w:hyperlink>
          </w:p>
        </w:tc>
      </w:tr>
      <w:tr>
        <w:tc>
          <w:tcPr>
            <w:shd w:val="clear" w:color="auto" w:fill="F2F2F2"/>
          </w:tcPr>
          <w:p>
            <w:pPr>
              <w:pStyle w:val="Compact"/>
            </w:pPr>
            <w:r>
              <w:t xml:space="preserve">assembly</w:t>
            </w:r>
          </w:p>
        </w:tc>
        <w:tc>
          <w:tcPr>
            <w:shd w:val="clear" w:color="auto" w:fill="F2F2F2"/>
          </w:tcPr>
          <w:p>
            <w:pPr>
              <w:pStyle w:val="Compact"/>
            </w:pPr>
            <w:r>
              <w:t xml:space="preserve">Assemblée des personnes ayant le droit de vote en tant qu’organe législatif, en particulier l’assemblée communale. Contrairement à un conseil, elle n’est pas un organe élu.</w:t>
            </w:r>
          </w:p>
        </w:tc>
      </w:tr>
      <w:tr>
        <w:tc>
          <w:tcPr/>
          <w:p>
            <w:pPr>
              <w:pStyle w:val="Compact"/>
            </w:pPr>
          </w:p>
        </w:tc>
        <w:tc>
          <w:tcPr/>
          <w:p>
            <w:pPr>
              <w:pStyle w:val="Compact"/>
            </w:pPr>
            <w:hyperlink ns1:id="rId149">
              <w:r>
                <w:rPr>
                  <w:rStyle w:val="Hyperlink"/>
                </w:rPr>
                <w:t xml:space="preserve">act:enum/group_type/assembly</w:t>
              </w:r>
            </w:hyperlink>
          </w:p>
        </w:tc>
      </w:tr>
      <w:tr>
        <w:tc>
          <w:tcPr>
            <w:shd w:val="clear" w:color="auto" w:fill="F2F2F2"/>
          </w:tcPr>
          <w:p>
            <w:pPr>
              <w:pStyle w:val="Compact"/>
            </w:pPr>
            <w:r>
              <w:t xml:space="preserve">council_legislative</w:t>
            </w:r>
          </w:p>
        </w:tc>
        <w:tc>
          <w:tcPr>
            <w:shd w:val="clear" w:color="auto" w:fill="F2F2F2"/>
          </w:tcPr>
          <w:p>
            <w:pPr>
              <w:pStyle w:val="Compact"/>
            </w:pPr>
            <w:r>
              <w:t xml:space="preserve">Parlement au niveau fédéral, cantonal ou communal (p. ex. Assemblée fédérale, Conseil national, Conseil des États, Grand Conseil, parlement cantonal, parlement communal).</w:t>
            </w:r>
          </w:p>
        </w:tc>
      </w:tr>
      <w:tr>
        <w:tc>
          <w:tcPr/>
          <w:p>
            <w:pPr>
              <w:pStyle w:val="Compact"/>
            </w:pPr>
          </w:p>
        </w:tc>
        <w:tc>
          <w:tcPr/>
          <w:p>
            <w:pPr>
              <w:pStyle w:val="Compact"/>
            </w:pPr>
            <w:hyperlink ns1:id="rId150">
              <w:r>
                <w:rPr>
                  <w:rStyle w:val="Hyperlink"/>
                </w:rPr>
                <w:t xml:space="preserve">act:enum/group_type/council_legislative</w:t>
              </w:r>
            </w:hyperlink>
          </w:p>
        </w:tc>
      </w:tr>
      <w:tr>
        <w:tc>
          <w:tcPr>
            <w:shd w:val="clear" w:color="auto" w:fill="F2F2F2"/>
          </w:tcPr>
          <w:p>
            <w:pPr>
              <w:pStyle w:val="Compact"/>
            </w:pPr>
            <w:r>
              <w:t xml:space="preserve">delegation</w:t>
            </w:r>
          </w:p>
        </w:tc>
        <w:tc>
          <w:tcPr>
            <w:shd w:val="clear" w:color="auto" w:fill="F2F2F2"/>
          </w:tcPr>
          <w:p>
            <w:pPr>
              <w:pStyle w:val="Compact"/>
            </w:pPr>
            <w:r>
              <w:t xml:space="preserve">Délégation.</w:t>
            </w:r>
          </w:p>
        </w:tc>
      </w:tr>
      <w:tr>
        <w:tc>
          <w:tcPr/>
          <w:p>
            <w:pPr>
              <w:pStyle w:val="Compact"/>
            </w:pPr>
          </w:p>
        </w:tc>
        <w:tc>
          <w:tcPr/>
          <w:p>
            <w:pPr>
              <w:pStyle w:val="Compact"/>
            </w:pPr>
            <w:hyperlink ns1:id="rId151">
              <w:r>
                <w:rPr>
                  <w:rStyle w:val="Hyperlink"/>
                </w:rPr>
                <w:t xml:space="preserve">act:enum/group_type/delegation</w:t>
              </w:r>
            </w:hyperlink>
          </w:p>
        </w:tc>
      </w:tr>
      <w:tr>
        <w:tc>
          <w:tcPr>
            <w:shd w:val="clear" w:color="auto" w:fill="F2F2F2"/>
          </w:tcPr>
          <w:p>
            <w:pPr>
              <w:pStyle w:val="Compact"/>
            </w:pPr>
            <w:r>
              <w:t xml:space="preserve">committee</w:t>
            </w:r>
          </w:p>
        </w:tc>
        <w:tc>
          <w:tcPr>
            <w:shd w:val="clear" w:color="auto" w:fill="F2F2F2"/>
          </w:tcPr>
          <w:p>
            <w:pPr>
              <w:pStyle w:val="Compact"/>
            </w:pPr>
            <w:r>
              <w:t xml:space="preserve">Commission permanente, y compris les commissions de surveillance (p. ex. CdG), les commissions thématiques, les commissions d’enquête parlementaire (CEP) et les commissions de vérification des comptes.</w:t>
            </w:r>
          </w:p>
        </w:tc>
      </w:tr>
      <w:tr>
        <w:tc>
          <w:tcPr/>
          <w:p>
            <w:pPr>
              <w:pStyle w:val="Compact"/>
            </w:pPr>
          </w:p>
        </w:tc>
        <w:tc>
          <w:tcPr/>
          <w:p>
            <w:pPr>
              <w:pStyle w:val="Compact"/>
            </w:pPr>
            <w:hyperlink ns1:id="rId152">
              <w:r>
                <w:rPr>
                  <w:rStyle w:val="Hyperlink"/>
                </w:rPr>
                <w:t xml:space="preserve">act:enum/group_type/committee</w:t>
              </w:r>
            </w:hyperlink>
          </w:p>
        </w:tc>
      </w:tr>
      <w:tr>
        <w:tc>
          <w:tcPr>
            <w:shd w:val="clear" w:color="auto" w:fill="F2F2F2"/>
          </w:tcPr>
          <w:p>
            <w:pPr>
              <w:pStyle w:val="Compact"/>
            </w:pPr>
            <w:r>
              <w:t xml:space="preserve">committee_ad_hoc</w:t>
            </w:r>
          </w:p>
        </w:tc>
        <w:tc>
          <w:tcPr>
            <w:shd w:val="clear" w:color="auto" w:fill="F2F2F2"/>
          </w:tcPr>
          <w:p>
            <w:pPr>
              <w:pStyle w:val="Compact"/>
            </w:pPr>
            <w:r>
              <w:t xml:space="preserve">Commission instituée pour une tâche unique et dissoute une fois celle-ci accomplie, par opposition à une commission permanente.</w:t>
            </w:r>
          </w:p>
        </w:tc>
      </w:tr>
      <w:tr>
        <w:tc>
          <w:tcPr/>
          <w:p>
            <w:pPr>
              <w:pStyle w:val="Compact"/>
            </w:pPr>
          </w:p>
        </w:tc>
        <w:tc>
          <w:tcPr/>
          <w:p>
            <w:pPr>
              <w:pStyle w:val="Compact"/>
            </w:pPr>
            <w:hyperlink ns1:id="rId153">
              <w:r>
                <w:rPr>
                  <w:rStyle w:val="Hyperlink"/>
                </w:rPr>
                <w:t xml:space="preserve">act:enum/group_type/committee_ad_hoc</w:t>
              </w:r>
            </w:hyperlink>
          </w:p>
        </w:tc>
      </w:tr>
      <w:tr>
        <w:tc>
          <w:tcPr>
            <w:shd w:val="clear" w:color="auto" w:fill="F2F2F2"/>
          </w:tcPr>
          <w:p>
            <w:pPr>
              <w:pStyle w:val="Compact"/>
            </w:pPr>
            <w:r>
              <w:t xml:space="preserve">parliamentary_group</w:t>
            </w:r>
          </w:p>
        </w:tc>
        <w:tc>
          <w:tcPr>
            <w:shd w:val="clear" w:color="auto" w:fill="F2F2F2"/>
          </w:tcPr>
          <w:p>
            <w:pPr>
              <w:pStyle w:val="Compact"/>
            </w:pPr>
            <w:r>
              <w:t xml:space="preserve">Groupe parlementaire.</w:t>
            </w:r>
          </w:p>
        </w:tc>
      </w:tr>
      <w:tr>
        <w:tc>
          <w:tcPr/>
          <w:p>
            <w:pPr>
              <w:pStyle w:val="Compact"/>
            </w:pPr>
          </w:p>
        </w:tc>
        <w:tc>
          <w:tcPr/>
          <w:p>
            <w:pPr>
              <w:pStyle w:val="Compact"/>
            </w:pPr>
            <w:hyperlink ns1:id="rId154">
              <w:r>
                <w:rPr>
                  <w:rStyle w:val="Hyperlink"/>
                </w:rPr>
                <w:t xml:space="preserve">act:enum/group_type/parliamentary_group</w:t>
              </w:r>
            </w:hyperlink>
          </w:p>
        </w:tc>
      </w:tr>
      <w:tr>
        <w:tc>
          <w:tcPr>
            <w:shd w:val="clear" w:color="auto" w:fill="F2F2F2"/>
          </w:tcPr>
          <w:p>
            <w:pPr>
              <w:pStyle w:val="Compact"/>
            </w:pPr>
            <w:r>
              <w:t xml:space="preserve">council_bureau</w:t>
            </w:r>
          </w:p>
        </w:tc>
        <w:tc>
          <w:tcPr>
            <w:shd w:val="clear" w:color="auto" w:fill="F2F2F2"/>
          </w:tcPr>
          <w:p>
            <w:pPr>
              <w:pStyle w:val="Compact"/>
            </w:pPr>
            <w:r>
              <w:t xml:space="preserve">Organe dirigeant la marche des affaires d’un conseil, quelle que soit sa désignation locale (bureau, direction du conseil, comité de direction). S’emploie aussi bien pour le conseil législatif que pour le conseil exécutif ; la désignation locale est consignée dans le libellé.</w:t>
            </w:r>
          </w:p>
        </w:tc>
      </w:tr>
      <w:tr>
        <w:tc>
          <w:tcPr/>
          <w:p>
            <w:pPr>
              <w:pStyle w:val="Compact"/>
            </w:pPr>
          </w:p>
        </w:tc>
        <w:tc>
          <w:tcPr/>
          <w:p>
            <w:pPr>
              <w:pStyle w:val="Compact"/>
            </w:pPr>
            <w:hyperlink ns1:id="rId155">
              <w:r>
                <w:rPr>
                  <w:rStyle w:val="Hyperlink"/>
                </w:rPr>
                <w:t xml:space="preserve">act:enum/group_type/council_bureau</w:t>
              </w:r>
            </w:hyperlink>
          </w:p>
        </w:tc>
      </w:tr>
      <w:tr>
        <w:tc>
          <w:tcPr>
            <w:shd w:val="clear" w:color="auto" w:fill="F2F2F2"/>
          </w:tcPr>
          <w:p>
            <w:pPr>
              <w:pStyle w:val="Compact"/>
            </w:pPr>
            <w:r>
              <w:t xml:space="preserve">council_presidency</w:t>
            </w:r>
          </w:p>
        </w:tc>
        <w:tc>
          <w:tcPr>
            <w:shd w:val="clear" w:color="auto" w:fill="F2F2F2"/>
          </w:tcPr>
          <w:p>
            <w:pPr>
              <w:pStyle w:val="Compact"/>
            </w:pPr>
            <w:r>
              <w:t xml:space="preserve">Présidence d’un conseil, pour le conseil législatif comme pour le conseil exécutif.</w:t>
            </w:r>
          </w:p>
        </w:tc>
      </w:tr>
      <w:tr>
        <w:tc>
          <w:tcPr/>
          <w:p>
            <w:pPr>
              <w:pStyle w:val="Compact"/>
            </w:pPr>
          </w:p>
        </w:tc>
        <w:tc>
          <w:tcPr/>
          <w:p>
            <w:pPr>
              <w:pStyle w:val="Compact"/>
            </w:pPr>
            <w:hyperlink ns1:id="rId156">
              <w:r>
                <w:rPr>
                  <w:rStyle w:val="Hyperlink"/>
                </w:rPr>
                <w:t xml:space="preserve">act:enum/group_type/council_presidency</w:t>
              </w:r>
            </w:hyperlink>
          </w:p>
        </w:tc>
      </w:tr>
      <w:tr>
        <w:tc>
          <w:tcPr>
            <w:shd w:val="clear" w:color="auto" w:fill="F2F2F2"/>
          </w:tcPr>
          <w:p>
            <w:pPr>
              <w:pStyle w:val="Compact"/>
            </w:pPr>
            <w:r>
              <w:t xml:space="preserve">council_executive</w:t>
            </w:r>
          </w:p>
        </w:tc>
        <w:tc>
          <w:tcPr>
            <w:shd w:val="clear" w:color="auto" w:fill="F2F2F2"/>
          </w:tcPr>
          <w:p>
            <w:pPr>
              <w:pStyle w:val="Compact"/>
            </w:pPr>
            <w:r>
              <w:t xml:space="preserve">Gouvernement / exécutif en tant qu’organe collégial (p. ex. Conseil fédéral, conseil d’État, conseil municipal ou conseil communal).</w:t>
            </w:r>
          </w:p>
        </w:tc>
      </w:tr>
      <w:tr>
        <w:tc>
          <w:tcPr/>
          <w:p>
            <w:pPr>
              <w:pStyle w:val="Compact"/>
            </w:pPr>
          </w:p>
        </w:tc>
        <w:tc>
          <w:tcPr/>
          <w:p>
            <w:pPr>
              <w:pStyle w:val="Compact"/>
            </w:pPr>
            <w:hyperlink ns1:id="rId157">
              <w:r>
                <w:rPr>
                  <w:rStyle w:val="Hyperlink"/>
                </w:rPr>
                <w:t xml:space="preserve">act:enum/group_type/council_executive</w:t>
              </w:r>
            </w:hyperlink>
          </w:p>
        </w:tc>
      </w:tr>
      <w:tr>
        <w:tc>
          <w:tcPr>
            <w:shd w:val="clear" w:color="auto" w:fill="F2F2F2"/>
          </w:tcPr>
          <w:p>
            <w:pPr>
              <w:pStyle w:val="Compact"/>
            </w:pPr>
            <w:r>
              <w:t xml:space="preserve">department</w:t>
            </w:r>
          </w:p>
        </w:tc>
        <w:tc>
          <w:tcPr>
            <w:shd w:val="clear" w:color="auto" w:fill="F2F2F2"/>
          </w:tcPr>
          <w:p>
            <w:pPr>
              <w:pStyle w:val="Compact"/>
            </w:pPr>
            <w:r>
              <w:t xml:space="preserve">Département gouvernemental.</w:t>
            </w:r>
          </w:p>
        </w:tc>
      </w:tr>
      <w:tr>
        <w:tc>
          <w:tcPr/>
          <w:p>
            <w:pPr>
              <w:pStyle w:val="Compact"/>
            </w:pPr>
          </w:p>
        </w:tc>
        <w:tc>
          <w:tcPr/>
          <w:p>
            <w:pPr>
              <w:pStyle w:val="Compact"/>
            </w:pPr>
            <w:hyperlink ns1:id="rId158">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Office gouvernemental.</w:t>
            </w:r>
          </w:p>
        </w:tc>
      </w:tr>
      <w:tr>
        <w:tc>
          <w:tcPr/>
          <w:p>
            <w:pPr>
              <w:pStyle w:val="Compact"/>
            </w:pPr>
          </w:p>
        </w:tc>
        <w:tc>
          <w:tcPr/>
          <w:p>
            <w:pPr>
              <w:pStyle w:val="Compact"/>
            </w:pPr>
            <w:hyperlink ns1:id="rId159">
              <w:r>
                <w:rPr>
                  <w:rStyle w:val="Hyperlink"/>
                </w:rPr>
                <w:t xml:space="preserve">act:enum/group_type/office</w:t>
              </w:r>
            </w:hyperlink>
          </w:p>
        </w:tc>
      </w:tr>
      <w:tr>
        <w:tc>
          <w:tcPr>
            <w:shd w:val="clear" w:color="auto" w:fill="F2F2F2"/>
          </w:tcPr>
          <w:p>
            <w:pPr>
              <w:pStyle w:val="Compact"/>
            </w:pPr>
            <w:r>
              <w:t xml:space="preserve">committee_extraparliamentary</w:t>
            </w:r>
          </w:p>
        </w:tc>
        <w:tc>
          <w:tcPr>
            <w:shd w:val="clear" w:color="auto" w:fill="F2F2F2"/>
          </w:tcPr>
          <w:p>
            <w:pPr>
              <w:pStyle w:val="Compact"/>
            </w:pPr>
            <w:r>
              <w:t xml:space="preserve">Commission généralement instituée par le gouvernement pour conseiller l’administration dans son domaine et pour examiner ses affaires au préalable ; certaines disposent en outre de compétences décisionnelles propres. Ce qui la distingue d’une commission parlementaire sont sa composition et sa base légale : ses membres sont des spécialistes externes et des représentantes et représentants d’intérêts plutôt que des membres du conseil, et elle se fonde sur le droit régissant l’organisation du gouvernement et de l’administration et non sur le droit parlementaire. Ce type existe tant au niveau fédéral qu’au niveau cantonal (p. ex. la Commission de la concurrence de la Confédération ; les commissions extraparlementaires du canton de Vaud). Une commission dont les membres sont des membres du conseil ne relève pas de cette valeur, même lorsqu’elle est rattachée à l’exécutif ; elle est saisie comme commission ou commission ad hoc avec le conseil exécutif comme groupe supérieur.</w:t>
            </w:r>
          </w:p>
        </w:tc>
      </w:tr>
      <w:tr>
        <w:tc>
          <w:tcPr/>
          <w:p>
            <w:pPr>
              <w:pStyle w:val="Compact"/>
            </w:pPr>
          </w:p>
        </w:tc>
        <w:tc>
          <w:tcPr/>
          <w:p>
            <w:pPr>
              <w:pStyle w:val="Compact"/>
            </w:pPr>
            <w:hyperlink ns1:id="rId160">
              <w:r>
                <w:rPr>
                  <w:rStyle w:val="Hyperlink"/>
                </w:rPr>
                <w:t xml:space="preserve">act:enum/group_type/committee_extraparliamentary</w:t>
              </w:r>
            </w:hyperlink>
          </w:p>
        </w:tc>
      </w:tr>
      <w:tr>
        <w:tc>
          <w:tcPr>
            <w:shd w:val="clear" w:color="auto" w:fill="F2F2F2"/>
          </w:tcPr>
          <w:p>
            <w:pPr>
              <w:pStyle w:val="Compact"/>
            </w:pPr>
            <w:r>
              <w:t xml:space="preserve">interest_group</w:t>
            </w:r>
          </w:p>
        </w:tc>
        <w:tc>
          <w:tcPr>
            <w:shd w:val="clear" w:color="auto" w:fill="F2F2F2"/>
          </w:tcPr>
          <w:p>
            <w:pPr>
              <w:pStyle w:val="Compact"/>
            </w:pPr>
            <w:r>
              <w:t xml:space="preserve">Groupe d’intérêts issu de la société civile.</w:t>
            </w:r>
          </w:p>
        </w:tc>
      </w:tr>
      <w:tr>
        <w:tc>
          <w:tcPr/>
          <w:p>
            <w:pPr>
              <w:pStyle w:val="Compact"/>
            </w:pPr>
          </w:p>
        </w:tc>
        <w:tc>
          <w:tcPr/>
          <w:p>
            <w:pPr>
              <w:pStyle w:val="Compact"/>
            </w:pPr>
            <w:hyperlink ns1:id="rId161">
              <w:r>
                <w:rPr>
                  <w:rStyle w:val="Hyperlink"/>
                </w:rPr>
                <w:t xml:space="preserve">act:enum/group_type/interest_group</w:t>
              </w:r>
            </w:hyperlink>
          </w:p>
        </w:tc>
      </w:tr>
      <w:tr>
        <w:tc>
          <w:tcPr>
            <w:shd w:val="clear" w:color="auto" w:fill="F2F2F2"/>
          </w:tcPr>
          <w:p>
            <w:pPr>
              <w:pStyle w:val="Compact"/>
            </w:pPr>
            <w:r>
              <w:t xml:space="preserve">control_body</w:t>
            </w:r>
          </w:p>
        </w:tc>
        <w:tc>
          <w:tcPr>
            <w:shd w:val="clear" w:color="auto" w:fill="F2F2F2"/>
          </w:tcPr>
          <w:p>
            <w:pPr>
              <w:pStyle w:val="Compact"/>
            </w:pPr>
            <w:r>
              <w:t xml:space="preserve">Organe de contrôle ou de surveillance (p. ex. Contrôle fédéral des finances CDF, autorité de surveillance AS-MPC).</w:t>
            </w:r>
          </w:p>
        </w:tc>
      </w:tr>
      <w:tr>
        <w:tc>
          <w:tcPr/>
          <w:p>
            <w:pPr>
              <w:pStyle w:val="Compact"/>
            </w:pPr>
          </w:p>
        </w:tc>
        <w:tc>
          <w:tcPr/>
          <w:p>
            <w:pPr>
              <w:pStyle w:val="Compact"/>
            </w:pPr>
            <w:hyperlink ns1:id="rId162">
              <w:r>
                <w:rPr>
                  <w:rStyle w:val="Hyperlink"/>
                </w:rPr>
                <w:t xml:space="preserve">act:enum/group_type/control_body</w:t>
              </w:r>
            </w:hyperlink>
          </w:p>
        </w:tc>
      </w:tr>
      <w:tr>
        <w:tc>
          <w:tcPr>
            <w:shd w:val="clear" w:color="auto" w:fill="F2F2F2"/>
          </w:tcPr>
          <w:p>
            <w:pPr>
              <w:pStyle w:val="Compact"/>
            </w:pPr>
            <w:r>
              <w:t xml:space="preserve">council_secretariat</w:t>
            </w:r>
          </w:p>
        </w:tc>
        <w:tc>
          <w:tcPr>
            <w:shd w:val="clear" w:color="auto" w:fill="F2F2F2"/>
          </w:tcPr>
          <w:p>
            <w:pPr>
              <w:pStyle w:val="Compact"/>
            </w:pPr>
            <w:r>
              <w:t xml:space="preserve">Unité administrative au service d’un conseil, quelle que soit sa désignation locale (services du parlement, secrétariat du conseil, chancellerie d’État, cantonale ou communale). S’emploie aussi bien pour le conseil législatif que pour le conseil exécutif : la chancellerie d’État est l’état-major du conseil exécutif, les services du parlement celui du conseil législatif.</w:t>
            </w:r>
          </w:p>
        </w:tc>
      </w:tr>
      <w:tr>
        <w:tc>
          <w:tcPr/>
          <w:p>
            <w:pPr>
              <w:pStyle w:val="Compact"/>
            </w:pPr>
          </w:p>
        </w:tc>
        <w:tc>
          <w:tcPr/>
          <w:p>
            <w:pPr>
              <w:pStyle w:val="Compact"/>
            </w:pPr>
            <w:hyperlink ns1:id="rId163">
              <w:r>
                <w:rPr>
                  <w:rStyle w:val="Hyperlink"/>
                </w:rPr>
                <w:t xml:space="preserve">act:enum/group_type/council_secretariat</w:t>
              </w:r>
            </w:hyperlink>
          </w:p>
        </w:tc>
      </w:tr>
      <w:tr>
        <w:tc>
          <w:tcPr>
            <w:shd w:val="clear" w:color="auto" w:fill="F2F2F2"/>
          </w:tcPr>
          <w:p>
            <w:pPr>
              <w:pStyle w:val="Compact"/>
            </w:pPr>
            <w:r>
              <w:t xml:space="preserve">court</w:t>
            </w:r>
          </w:p>
        </w:tc>
        <w:tc>
          <w:tcPr>
            <w:shd w:val="clear" w:color="auto" w:fill="F2F2F2"/>
          </w:tcPr>
          <w:p>
            <w:pPr>
              <w:pStyle w:val="Compact"/>
            </w:pPr>
            <w:r>
              <w:t xml:space="preserve">Tribunal / pouvoir judiciaire à tout niveau (p. ex. Tribunal fédéral, tribunal cantonal, tribunal de district).</w:t>
            </w:r>
          </w:p>
        </w:tc>
      </w:tr>
      <w:tr>
        <w:tc>
          <w:tcPr/>
          <w:p>
            <w:pPr>
              <w:pStyle w:val="Compact"/>
            </w:pPr>
          </w:p>
        </w:tc>
        <w:tc>
          <w:tcPr/>
          <w:p>
            <w:pPr>
              <w:pStyle w:val="Compact"/>
            </w:pPr>
            <w:hyperlink ns1:id="rId164">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Association.</w:t>
            </w:r>
          </w:p>
        </w:tc>
      </w:tr>
      <w:tr>
        <w:tc>
          <w:tcPr/>
          <w:p>
            <w:pPr>
              <w:pStyle w:val="Compact"/>
            </w:pPr>
          </w:p>
        </w:tc>
        <w:tc>
          <w:tcPr/>
          <w:p>
            <w:pPr>
              <w:pStyle w:val="Compact"/>
            </w:pPr>
            <w:hyperlink ns1:id="rId165">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Porteur de pétition.</w:t>
            </w:r>
          </w:p>
        </w:tc>
      </w:tr>
      <w:tr>
        <w:tc>
          <w:tcPr/>
          <w:p>
            <w:pPr>
              <w:pStyle w:val="Compact"/>
            </w:pPr>
          </w:p>
        </w:tc>
        <w:tc>
          <w:tcPr/>
          <w:p>
            <w:pPr>
              <w:pStyle w:val="Compact"/>
            </w:pPr>
            <w:hyperlink ns1:id="rId166">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Université ou établissement d’enseignement en tant que prestataire externalisé de tâches publiques.</w:t>
            </w:r>
          </w:p>
        </w:tc>
      </w:tr>
      <w:tr>
        <w:tc>
          <w:tcPr/>
          <w:p>
            <w:pPr>
              <w:pStyle w:val="Compact"/>
            </w:pPr>
          </w:p>
        </w:tc>
        <w:tc>
          <w:tcPr/>
          <w:p>
            <w:pPr>
              <w:pStyle w:val="Compact"/>
            </w:pPr>
            <w:hyperlink ns1:id="rId167">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Autre type de groupe non couvert par les catégories standard.</w:t>
            </w:r>
          </w:p>
        </w:tc>
      </w:tr>
      <w:tr>
        <w:tc>
          <w:tcPr/>
          <w:p>
            <w:pPr>
              <w:pStyle w:val="Compact"/>
            </w:pPr>
          </w:p>
        </w:tc>
        <w:tc>
          <w:tcPr/>
          <w:p>
            <w:pPr>
              <w:pStyle w:val="Compact"/>
            </w:pPr>
            <w:hyperlink ns1:id="rId168">
              <w:r>
                <w:rPr>
                  <w:rStyle w:val="Hyperlink"/>
                </w:rPr>
                <w:t xml:space="preserve">act:enum/group_type/other</w:t>
              </w:r>
            </w:hyperlink>
          </w:p>
        </w:tc>
      </w:tr>
    </w:tbl>
    <w:bookmarkEnd w:id="169"/>
    <w:p>
      <w:r>
        <w:br w:type="page"/>
      </w:r>
    </w:p>
    <w:bookmarkEnd w:id="170"/>
    <w:bookmarkEnd w:id="171"/>
    <w:bookmarkStart w:id="186" w:name="affiliations-memberships"/>
    <w:p>
      <w:pPr>
        <w:pStyle w:val="berschrift1"/>
      </w:pPr>
      <w:r>
        <w:t xml:space="preserve">Affiliations (Memberships)</w:t>
      </w:r>
    </w:p>
    <w:p>
      <w:pPr>
        <w:pStyle w:val="FirstParagraph"/>
      </w:pPr>
      <w:r>
        <w:t xml:space="preserve">Le schéma Membership représente la relation entre personnes et groupes et constitue l’élément de liaison central du schéma des acteurs.</w:t>
      </w:r>
    </w:p>
    <w:p>
      <w:pPr>
        <w:pStyle w:val="Compact"/>
        <w:numPr>
          <w:ilvl w:val="0"/>
          <w:numId w:val="1009"/>
        </w:numPr>
      </w:pPr>
      <w:r>
        <w:rPr>
          <w:b/>
          <w:bCs/>
        </w:rPr>
        <w:t xml:space="preserve">Délimitation par rapport aux liens d’intérêts (</w:t>
      </w:r>
      <w:r>
        <w:rPr>
          <w:rStyle w:val="VerbatimChar"/>
          <w:b/>
          <w:bCs/>
        </w:rPr>
        <w:t xml:space="preserve">InterestLink</w:t>
      </w:r>
      <w:r>
        <w:rPr>
          <w:b/>
          <w:bCs/>
        </w:rPr>
        <w:t xml:space="preserve">) :</w:t>
      </w:r>
      <w:r>
        <w:t xml:space="preserve"> </w:t>
      </w:r>
      <w:r>
        <w:rPr>
          <w:rStyle w:val="VerbatimChar"/>
        </w:rPr>
        <w:t xml:space="preserve">Membership</w:t>
      </w:r>
      <w:r>
        <w:t xml:space="preserve"> </w:t>
      </w:r>
      <w:r>
        <w:t xml:space="preserve">consigne l’</w:t>
      </w:r>
      <w:r>
        <w:rPr>
          <w:i/>
          <w:iCs/>
        </w:rPr>
        <w:t xml:space="preserve">appartenance formelle</w:t>
      </w:r>
      <w:r>
        <w:t xml:space="preserve"> </w:t>
      </w:r>
      <w:r>
        <w:t xml:space="preserve">d’une personne à un groupe au sein du schéma des acteurs (p. ex. affiliation à un parti, à une commission ou à un parlement). Les liens d’intérêts et les conflits d’intérêts avec des organisations</w:t>
      </w:r>
      <w:r>
        <w:t xml:space="preserve"> </w:t>
      </w:r>
      <w:r>
        <w:rPr>
          <w:i/>
          <w:iCs/>
        </w:rPr>
        <w:t xml:space="preserve">extérieures</w:t>
      </w:r>
      <w:r>
        <w:t xml:space="preserve"> </w:t>
      </w:r>
      <w:r>
        <w:t xml:space="preserve">au schéma en sont délibérément séparés et sont représentés au moyen d’</w:t>
      </w:r>
      <w:r>
        <w:rPr>
          <w:rStyle w:val="VerbatimChar"/>
        </w:rPr>
        <w:t xml:space="preserve">InterestLink</w:t>
      </w:r>
      <w:r>
        <w:t xml:space="preserve"> </w:t>
      </w:r>
      <w:r>
        <w:t xml:space="preserve">(voir le chapitre suivant).</w:t>
      </w:r>
    </w:p>
    <w:p>
      <w:pPr>
        <w:pStyle w:val="Compact"/>
        <w:numPr>
          <w:ilvl w:val="0"/>
          <w:numId w:val="1009"/>
        </w:numPr>
      </w:pPr>
      <w:r>
        <w:rPr>
          <w:b/>
          <w:bCs/>
        </w:rPr>
        <w:t xml:space="preserve">Références avec instantané plutôt qu’intégration (</w:t>
      </w:r>
      <w:r>
        <w:rPr>
          <w:rStyle w:val="VerbatimChar"/>
          <w:b/>
          <w:bCs/>
        </w:rPr>
        <w:t xml:space="preserve">person_reference</w:t>
      </w:r>
      <w:r>
        <w:rPr>
          <w:b/>
          <w:bCs/>
        </w:rPr>
        <w:t xml:space="preserve">/</w:t>
      </w:r>
      <w:r>
        <w:rPr>
          <w:rStyle w:val="VerbatimChar"/>
          <w:b/>
          <w:bCs/>
        </w:rPr>
        <w:t xml:space="preserve">group_reference</w:t>
      </w:r>
      <w:r>
        <w:rPr>
          <w:b/>
          <w:bCs/>
        </w:rPr>
        <w:t xml:space="preserve">) :</w:t>
      </w:r>
      <w:r>
        <w:t xml:space="preserve"> </w:t>
      </w:r>
      <w:r>
        <w:t xml:space="preserve">une affiliation renvoie à la personne et au groupe au moyen de références légères et consigne à cette occasion leurs principales caractéristiques d’identification au moment de la mise en relation. L’enregistrement demeure ainsi historiquement correct, même si la personne ou le groupe change ultérieurement.</w:t>
      </w:r>
    </w:p>
    <w:p>
      <w:pPr>
        <w:pStyle w:val="Compact"/>
        <w:numPr>
          <w:ilvl w:val="0"/>
          <w:numId w:val="1009"/>
        </w:numPr>
      </w:pPr>
      <w:r>
        <w:rPr>
          <w:b/>
          <w:bCs/>
        </w:rPr>
        <w:t xml:space="preserve">Activité explicite ou déduite (</w:t>
      </w:r>
      <w:r>
        <w:rPr>
          <w:rStyle w:val="VerbatimChar"/>
          <w:b/>
          <w:bCs/>
        </w:rPr>
        <w:t xml:space="preserve">is_active</w:t>
      </w:r>
      <w:r>
        <w:rPr>
          <w:b/>
          <w:bCs/>
        </w:rPr>
        <w:t xml:space="preserve">) :</w:t>
      </w:r>
      <w:r>
        <w:t xml:space="preserve"> </w:t>
      </w:r>
      <w:r>
        <w:t xml:space="preserve">le fait qu’une affiliation soit active peut être défini explicitement au moyen d’</w:t>
      </w:r>
      <w:r>
        <w:rPr>
          <w:rStyle w:val="VerbatimChar"/>
        </w:rPr>
        <w:t xml:space="preserve">is_active</w:t>
      </w:r>
      <w:r>
        <w:t xml:space="preserve"> </w:t>
      </w:r>
      <w:r>
        <w:t xml:space="preserve">ou déduit de la validité temporelle. Si</w:t>
      </w:r>
      <w:r>
        <w:t xml:space="preserve"> </w:t>
      </w:r>
      <w:r>
        <w:rPr>
          <w:rStyle w:val="VerbatimChar"/>
        </w:rPr>
        <w:t xml:space="preserve">is_active</w:t>
      </w:r>
      <w:r>
        <w:t xml:space="preserve"> </w:t>
      </w:r>
      <w:r>
        <w:t xml:space="preserve">n’est pas défini, l’activité découle de</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Affiliation ≠ droit de vote (</w:t>
      </w:r>
      <w:r>
        <w:rPr>
          <w:rStyle w:val="VerbatimChar"/>
          <w:b/>
          <w:bCs/>
        </w:rPr>
        <w:t xml:space="preserve">authorized_to_vote</w:t>
      </w:r>
      <w:r>
        <w:rPr>
          <w:b/>
          <w:bCs/>
        </w:rPr>
        <w:t xml:space="preserve">) :</w:t>
      </w:r>
      <w:r>
        <w:t xml:space="preserve"> </w:t>
      </w:r>
      <w:r>
        <w:t xml:space="preserve">le droit de vote est géré séparément de l’affiliation – typiquement</w:t>
      </w:r>
      <w:r>
        <w:t xml:space="preserve"> </w:t>
      </w:r>
      <w:r>
        <w:rPr>
          <w:rStyle w:val="VerbatimChar"/>
        </w:rPr>
        <w:t xml:space="preserve">false</w:t>
      </w:r>
      <w:r>
        <w:t xml:space="preserve"> </w:t>
      </w:r>
      <w:r>
        <w:t xml:space="preserve">pour les membres suppléants (sauf lorsqu’ils sont en fonction), les personnes observatrices, le secrétariat et les invités.</w:t>
      </w:r>
    </w:p>
    <w:p>
      <w:pPr>
        <w:pStyle w:val="Compact"/>
        <w:numPr>
          <w:ilvl w:val="0"/>
          <w:numId w:val="1009"/>
        </w:numPr>
      </w:pPr>
      <w:r>
        <w:rPr>
          <w:b/>
          <w:bCs/>
        </w:rPr>
        <w:t xml:space="preserve">Rôle comme vocabulaire contrôlé avec option en texte libre (</w:t>
      </w:r>
      <w:r>
        <w:rPr>
          <w:rStyle w:val="VerbatimChar"/>
          <w:b/>
          <w:bCs/>
        </w:rPr>
        <w:t xml:space="preserve">role_type</w:t>
      </w:r>
      <w:r>
        <w:rPr>
          <w:b/>
          <w:bCs/>
        </w:rPr>
        <w:t xml:space="preserve">) :</w:t>
      </w:r>
      <w:r>
        <w:t xml:space="preserve"> </w:t>
      </w:r>
      <w:r>
        <w:t xml:space="preserve">le rôle au sein du groupe (p. ex. membre, présidence, suppléance) est indiqué au moyen d’un vocabulaire contrôlé (</w:t>
      </w:r>
      <w:r>
        <w:rPr>
          <w:rStyle w:val="VerbatimChar"/>
        </w:rPr>
        <w:t xml:space="preserve">RoleEnum</w:t>
      </w:r>
      <w:r>
        <w:t xml:space="preserve">) ; pour les rôles non couverts, la valeur</w:t>
      </w:r>
      <w:r>
        <w:t xml:space="preserve"> </w:t>
      </w:r>
      <w:r>
        <w:rPr>
          <w:rStyle w:val="VerbatimChar"/>
        </w:rPr>
        <w:t xml:space="preserve">other</w:t>
      </w:r>
      <w:r>
        <w:t xml:space="preserve"> </w:t>
      </w:r>
      <w:r>
        <w:t xml:space="preserve">est utilisée, assortie d’une désignation libre.</w:t>
      </w:r>
    </w:p>
    <w:p>
      <w:pPr>
        <w:pStyle w:val="Compact"/>
        <w:numPr>
          <w:ilvl w:val="0"/>
          <w:numId w:val="1009"/>
        </w:numPr>
      </w:pPr>
      <w:r>
        <w:rPr>
          <w:b/>
          <w:bCs/>
        </w:rPr>
        <w:t xml:space="preserve">Circonscription électorale rattachée à l’affiliation et non à la personne (</w:t>
      </w:r>
      <w:r>
        <w:rPr>
          <w:rStyle w:val="VerbatimChar"/>
          <w:b/>
          <w:bCs/>
        </w:rPr>
        <w:t xml:space="preserve">electoral_district</w:t>
      </w:r>
      <w:r>
        <w:rPr>
          <w:b/>
          <w:bCs/>
        </w:rPr>
        <w:t xml:space="preserve">) :</w:t>
      </w:r>
      <w:r>
        <w:t xml:space="preserve"> </w:t>
      </w:r>
      <w:r>
        <w:t xml:space="preserve">la circonscription ne décrit pas la personne, mais le mandat – une même personne peut être élue, au fil du temps ou à différents niveaux fédéraux, dans des circonscriptions différentes.</w:t>
      </w:r>
      <w:r>
        <w:t xml:space="preserve"> </w:t>
      </w:r>
      <w:r>
        <w:rPr>
          <w:rStyle w:val="VerbatimChar"/>
        </w:rPr>
        <w:t xml:space="preserve">ElectoralDistrict</w:t>
      </w:r>
      <w:r>
        <w:t xml:space="preserve"> </w:t>
      </w:r>
      <w:r>
        <w:t xml:space="preserve">ne porte donc pas de validité temporelle propre, mais hérite des</w:t>
      </w:r>
      <w:r>
        <w:t xml:space="preserve"> </w:t>
      </w:r>
      <w:r>
        <w:rPr>
          <w:rStyle w:val="VerbatimChar"/>
        </w:rPr>
        <w:t xml:space="preserve">valid_from</w:t>
      </w:r>
      <w:r>
        <w:t xml:space="preserve">/</w:t>
      </w:r>
      <w:r>
        <w:rPr>
          <w:rStyle w:val="VerbatimChar"/>
        </w:rPr>
        <w:t xml:space="preserve">valid_through</w:t>
      </w:r>
      <w:r>
        <w:t xml:space="preserve"> </w:t>
      </w:r>
      <w:r>
        <w:t xml:space="preserve">de l’affiliation englobante. Pour l’identification, les ressources LINDAS des unités spatiales suisses sont prévues (voir</w:t>
      </w:r>
      <w:r>
        <w:t xml:space="preserve"> </w:t>
      </w:r>
      <w:r>
        <w:rPr>
          <w:rStyle w:val="VerbatimChar"/>
        </w:rPr>
        <w:t xml:space="preserve">global_uri</w:t>
      </w:r>
      <w:r>
        <w:t xml:space="preserve">).</w:t>
      </w:r>
    </w:p>
    <w:bookmarkStart w:id="174" w:name="classe-membership"/>
    <w:p>
      <w:pPr>
        <w:pStyle w:val="berschrift2"/>
      </w:pPr>
      <w:r>
        <w:t xml:space="preserve">Classe: Membership</w:t>
      </w:r>
    </w:p>
    <w:p>
      <w:pPr>
        <w:pStyle w:val="FirstParagraph"/>
      </w:pPr>
      <w:r>
        <w:rPr>
          <w:i/>
          <w:iCs/>
        </w:rPr>
        <w:t xml:space="preserve">Une relation d’affiliation entre une personne et un groupe, représentant une appartenance formelle (p. ex. membre d’un parti, membre d’une commission, parlementaire). À distinguer de InterestLink, qui recouvre les liens d’intérêts externes et les conflits d’intérêts avec des organisations situées en dehors du schéma des acteurs.</w:t>
      </w:r>
    </w:p>
    <w:bookmarkStart w:id="172" w:name="attributs-9"/>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Référence à une personne avec des données instantanées au moment de la mise en relation.</w:t>
            </w:r>
          </w:p>
        </w:tc>
      </w:tr>
      <w:tr>
        <w:tc>
          <w:tcPr/>
          <w:p>
            <w:pPr>
              <w:pStyle w:val="Compact"/>
            </w:pPr>
            <w:r>
              <w:t xml:space="preserve">group_reference</w:t>
            </w:r>
          </w:p>
        </w:tc>
        <w:tc>
          <w:tcPr/>
          <w:p>
            <w:pPr>
              <w:pStyle w:val="Compact"/>
            </w:pPr>
            <w:r>
              <w:t xml:space="preserve">1</w:t>
            </w:r>
            <w:r>
              <w:t xml:space="preserve"> </w:t>
            </w:r>
            <w:r>
              <w:t xml:space="preserve"> </w:t>
            </w:r>
            <w:hyperlink w:anchor="GroupReference">
              <w:r>
                <w:rPr>
                  <w:rStyle w:val="Hyperlink"/>
                </w:rPr>
                <w:t xml:space="preserve">GroupReference</w:t>
              </w:r>
            </w:hyperlink>
          </w:p>
        </w:tc>
        <w:tc>
          <w:tcPr/>
          <w:p>
            <w:pPr>
              <w:pStyle w:val="Compact"/>
            </w:pPr>
            <w:r>
              <w:t xml:space="preserve">Référence à un groupe avec des données instantanées au moment de la mise en relation.</w:t>
            </w:r>
          </w:p>
        </w:tc>
      </w:tr>
      <w:tr>
        <w:tc>
          <w:tcPr>
            <w:shd w:val="clear" w:color="auto" w:fill="F2F2F2"/>
          </w:tcPr>
          <w:p>
            <w:pPr>
              <w:pStyle w:val="Compact"/>
            </w:pPr>
            <w:r>
              <w:t xml:space="preserve">electoral_district</w:t>
            </w:r>
          </w:p>
        </w:tc>
        <w:tc>
          <w:tcPr>
            <w:shd w:val="clear" w:color="auto" w:fill="F2F2F2"/>
          </w:tcPr>
          <w:p>
            <w:pPr>
              <w:pStyle w:val="Compact"/>
            </w:pPr>
            <w:r>
              <w:t xml:space="preserve">0..1</w:t>
            </w:r>
            <w:r>
              <w:t xml:space="preserve"> </w:t>
            </w:r>
            <w:r>
              <w:t xml:space="preserve"> </w:t>
            </w:r>
            <w:hyperlink w:anchor="ElectoralDistrict">
              <w:r>
                <w:rPr>
                  <w:rStyle w:val="Hyperlink"/>
                </w:rPr>
                <w:t xml:space="preserve">ElectoralDistrict</w:t>
              </w:r>
            </w:hyperlink>
          </w:p>
        </w:tc>
        <w:tc>
          <w:tcPr>
            <w:shd w:val="clear" w:color="auto" w:fill="F2F2F2"/>
          </w:tcPr>
          <w:p>
            <w:pPr>
              <w:pStyle w:val="Compact"/>
            </w:pPr>
            <w:r>
              <w:t xml:space="preserve">Lien vers la circonscription électorale.</w:t>
            </w:r>
          </w:p>
        </w:tc>
      </w:tr>
      <w:tr>
        <w:tc>
          <w:tcPr/>
          <w:p>
            <w:pPr>
              <w:pStyle w:val="Compact"/>
            </w:pPr>
            <w:r>
              <w:t xml:space="preserve">role_type</w:t>
            </w:r>
          </w:p>
        </w:tc>
        <w:tc>
          <w:tcPr/>
          <w:p>
            <w:pPr>
              <w:pStyle w:val="Compact"/>
            </w:pPr>
            <w:r>
              <w:t xml:space="preserve">0..1</w:t>
            </w:r>
            <w:r>
              <w:t xml:space="preserve"> </w:t>
            </w:r>
            <w:r>
              <w:t xml:space="preserve"> </w:t>
            </w:r>
            <w:hyperlink w:anchor="RoleType">
              <w:r>
                <w:rPr>
                  <w:rStyle w:val="Hyperlink"/>
                </w:rPr>
                <w:t xml:space="preserve">RoleType</w:t>
              </w:r>
            </w:hyperlink>
          </w:p>
        </w:tc>
        <w:tc>
          <w:tcPr/>
          <w:p>
            <w:pPr>
              <w:pStyle w:val="Compact"/>
            </w:pPr>
            <w:r>
              <w:t xml:space="preserve">Rôle de la personne dans l’affiliation ou la fonction.</w:t>
            </w:r>
          </w:p>
        </w:tc>
      </w:tr>
      <w:tr>
        <w:tc>
          <w:tcPr>
            <w:shd w:val="clear" w:color="auto" w:fill="F2F2F2"/>
          </w:tcPr>
          <w:p>
            <w:pPr>
              <w:pStyle w:val="Compact"/>
            </w:pPr>
            <w:r>
              <w:t xml:space="preserve">authorized_to_vote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la personne dispose du droit de vote au sein du groupe. Généralement false pour les membres suppléants (lorsqu’ils ne remplacent personne), les observateurs, les secrétaires et les invités.</w:t>
            </w:r>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l’affiliation est actuellement active. Peut compléter ou remplacer</w:t>
            </w:r>
            <w:r>
              <w:t xml:space="preserve"> </w:t>
            </w:r>
            <w:r>
              <w:rPr>
                <w:rStyle w:val="VerbatimChar"/>
              </w:rPr>
              <w:t xml:space="preserve">valid_from</w:t>
            </w:r>
            <w:r>
              <w:t xml:space="preserve">/</w:t>
            </w:r>
            <w:r>
              <w:rPr>
                <w:rStyle w:val="VerbatimChar"/>
              </w:rPr>
              <w:t xml:space="preserve">valid_through</w:t>
            </w:r>
            <w:r>
              <w:t xml:space="preserve">. Si cette valeur n’est pas renseignée, l’activité est déduite des champs de validité temporelle.</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bl>
    <w:bookmarkEnd w:id="172"/>
    <w:bookmarkStart w:id="173" w:name="utilisations-9"/>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73"/>
    <w:bookmarkEnd w:id="174"/>
    <w:bookmarkStart w:id="179" w:name="classe-roletype"/>
    <w:p>
      <w:pPr>
        <w:pStyle w:val="berschrift2"/>
      </w:pPr>
      <w:r>
        <w:t xml:space="preserve">Classe: RoleType</w:t>
      </w:r>
    </w:p>
    <w:p>
      <w:pPr>
        <w:pStyle w:val="FirstParagraph"/>
      </w:pPr>
      <w:r>
        <w:rPr>
          <w:i/>
          <w:iCs/>
        </w:rPr>
        <w:t xml:space="preserve">Rôle d’une personne dans une affiliation ou une fonction (p. ex. membre, président, suppléant). Si un rôle ne figure pas dans le vocabulaire RoleEnum proposé, la valeur « other » peut être utilisée, et un libellé descriptif doit être fourni dans le slot</w:t>
      </w:r>
      <w:r>
        <w:rPr>
          <w:i/>
          <w:iCs/>
        </w:rPr>
        <w:t xml:space="preserve"> </w:t>
      </w:r>
      <w:r>
        <w:rPr>
          <w:rStyle w:val="VerbatimChar"/>
          <w:i/>
          <w:iCs/>
        </w:rPr>
        <w:t xml:space="preserve">role_label</w:t>
      </w:r>
      <w:r>
        <w:rPr>
          <w:i/>
          <w:iCs/>
        </w:rPr>
        <w:t xml:space="preserve">. Le libellé peut également être utilisé lorsqu’une désignation spécifique est nécessaire, même s’il existe une valeur sémantique appropriée dans</w:t>
      </w:r>
      <w:r>
        <w:rPr>
          <w:i/>
          <w:iCs/>
        </w:rPr>
        <w:t xml:space="preserve"> </w:t>
      </w:r>
      <w:r>
        <w:rPr>
          <w:rStyle w:val="VerbatimChar"/>
          <w:i/>
          <w:iCs/>
        </w:rPr>
        <w:t xml:space="preserve">role_type_enum</w:t>
      </w:r>
      <w:r>
        <w:rPr>
          <w:i/>
          <w:iCs/>
        </w:rPr>
        <w:t xml:space="preserve"> </w:t>
      </w:r>
      <w:r>
        <w:rPr>
          <w:i/>
          <w:iCs/>
        </w:rPr>
        <w:t xml:space="preserve">; il doit être fourni lorsque</w:t>
      </w:r>
      <w:r>
        <w:rPr>
          <w:i/>
          <w:iCs/>
        </w:rPr>
        <w:t xml:space="preserve"> </w:t>
      </w:r>
      <w:r>
        <w:rPr>
          <w:rStyle w:val="VerbatimChar"/>
          <w:i/>
          <w:iCs/>
        </w:rPr>
        <w:t xml:space="preserve">role_type_enum</w:t>
      </w:r>
      <w:r>
        <w:rPr>
          <w:i/>
          <w:iCs/>
        </w:rPr>
        <w:t xml:space="preserve"> </w:t>
      </w:r>
      <w:r>
        <w:rPr>
          <w:i/>
          <w:iCs/>
        </w:rPr>
        <w:t xml:space="preserve">est réglé sur « other ».</w:t>
      </w:r>
    </w:p>
    <w:bookmarkStart w:id="176" w:name="attributs-10"/>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Rôle de la personne dans l’affiliation ou la fonction.</w:t>
            </w:r>
          </w:p>
        </w:tc>
      </w:tr>
      <w:tr>
        <w:tc>
          <w:tcPr/>
          <w:p>
            <w:pPr>
              <w:pStyle w:val="Compact"/>
            </w:pPr>
            <w:r>
              <w:t xml:space="preserve">role_label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Libellé de rôle spécifique. À utiliser lorsqu’un nom de rôle spécifique est nécessaire, même s’il existe une valeur sémantique appropriée dans</w:t>
            </w:r>
            <w:r>
              <w:t xml:space="preserve"> </w:t>
            </w:r>
            <w:r>
              <w:rPr>
                <w:rStyle w:val="VerbatimChar"/>
              </w:rPr>
              <w:t xml:space="preserve">role_type_enum</w:t>
            </w:r>
            <w:r>
              <w:t xml:space="preserve"> </w:t>
            </w:r>
            <w:r>
              <w:t xml:space="preserve">; fournir ce libellé lorsque « role_type_enum » est réglé sur « other ». La désignation est saisie avec la langue dans laquelle elle est publiée ; lorsqu’elle est publiée en plusieurs langues, une entrée est saisie par langue.</w:t>
            </w:r>
          </w:p>
        </w:tc>
      </w:tr>
    </w:tbl>
    <w:bookmarkStart w:id="175" w:name="contraintes-2"/>
    <w:p>
      <w:pPr>
        <w:pStyle w:val="berschrift5"/>
      </w:pPr>
      <w:r>
        <w:t xml:space="preserve">Contraintes</w:t>
      </w:r>
    </w:p>
    <w:p>
      <w:pPr>
        <w:pStyle w:val="FirstParagraph"/>
      </w:pPr>
      <w:r>
        <w:t xml:space="preserve">Au moins l’un des champs suivants doit être renseigné :</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role_label">
        <w:r>
          <w:rPr>
            <w:rStyle w:val="Hyperlink"/>
          </w:rPr>
          <w:t xml:space="preserve">role_label</w:t>
        </w:r>
      </w:hyperlink>
    </w:p>
    <w:bookmarkEnd w:id="175"/>
    <w:bookmarkEnd w:id="176"/>
    <w:bookmarkStart w:id="178" w:name="utilisations-10"/>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77" w:name="règles"/>
    <w:p>
      <w:pPr>
        <w:pStyle w:val="berschrift5"/>
      </w:pPr>
      <w:r>
        <w:t xml:space="preserve">Règles</w:t>
      </w:r>
    </w:p>
    <w:p>
      <w:pPr>
        <w:pStyle w:val="Compact"/>
        <w:numPr>
          <w:ilvl w:val="0"/>
          <w:numId w:val="1011"/>
        </w:numPr>
      </w:pPr>
      <w:r>
        <w:t xml:space="preserve">Si le type de rôle est « other », un libellé descriptif doit être fourni.</w:t>
      </w:r>
    </w:p>
    <w:bookmarkEnd w:id="177"/>
    <w:bookmarkEnd w:id="178"/>
    <w:bookmarkEnd w:id="179"/>
    <w:bookmarkStart w:id="182" w:name="enum-roleenum"/>
    <w:p>
      <w:pPr>
        <w:pStyle w:val="berschrift2"/>
      </w:pPr>
      <w:r>
        <w:t xml:space="preserve">Enum: RoleEnum</w:t>
      </w:r>
    </w:p>
    <w:p>
      <w:pPr>
        <w:pStyle w:val="FirstParagraph"/>
      </w:pPr>
      <w:r>
        <w:rPr>
          <w:i/>
          <w:iCs/>
        </w:rPr>
        <w:t xml:space="preserve">Rôles qu’une personne peut occuper dans le cadre d’une affiliation.</w:t>
      </w:r>
    </w:p>
    <w:p>
      <w:pPr>
        <w:pStyle w:val="Textkrper"/>
      </w:pPr>
      <w:r>
        <w:t xml:space="preserve">URI:</w:t>
      </w:r>
      <w:r>
        <w:t xml:space="preserve"> </w:t>
      </w:r>
      <w:hyperlink ns1:id="rId180">
        <w:r>
          <w:rPr>
            <w:rStyle w:val="Hyperlink"/>
          </w:rPr>
          <w:t xml:space="preserve">act:RoleEnum</w:t>
        </w:r>
      </w:hyperlink>
    </w:p>
    <w:bookmarkStart w:id="181" w:name="valeurs-admissibles-4"/>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member</w:t>
            </w:r>
          </w:p>
        </w:tc>
        <w:tc>
          <w:tcPr>
            <w:shd w:val="clear" w:color="auto" w:fill="F2F2F2"/>
          </w:tcPr>
          <w:p>
            <w:pPr>
              <w:pStyle w:val="Compact"/>
            </w:pPr>
            <w:r>
              <w:t xml:space="preserve">Membre ordinaire (par défaut).</w:t>
            </w:r>
          </w:p>
        </w:tc>
      </w:tr>
      <w:tr>
        <w:tc>
          <w:tcPr/>
          <w:p>
            <w:pPr>
              <w:pStyle w:val="Compact"/>
            </w:pPr>
            <w:r>
              <w:t xml:space="preserve">president</w:t>
            </w:r>
          </w:p>
        </w:tc>
        <w:tc>
          <w:tcPr/>
          <w:p>
            <w:pPr>
              <w:pStyle w:val="Compact"/>
            </w:pPr>
            <w:r>
              <w:t xml:space="preserve">Président ou président du groupe.</w:t>
            </w:r>
          </w:p>
        </w:tc>
      </w:tr>
      <w:tr>
        <w:tc>
          <w:tcPr>
            <w:shd w:val="clear" w:color="auto" w:fill="F2F2F2"/>
          </w:tcPr>
          <w:p>
            <w:pPr>
              <w:pStyle w:val="Compact"/>
            </w:pPr>
            <w:r>
              <w:t xml:space="preserve">deputy</w:t>
            </w:r>
          </w:p>
        </w:tc>
        <w:tc>
          <w:tcPr>
            <w:shd w:val="clear" w:color="auto" w:fill="F2F2F2"/>
          </w:tcPr>
          <w:p>
            <w:pPr>
              <w:pStyle w:val="Compact"/>
            </w:pPr>
            <w:r>
              <w:t xml:space="preserve">Rôle de suppléance ou de vice-présidence.</w:t>
            </w:r>
          </w:p>
        </w:tc>
      </w:tr>
      <w:tr>
        <w:tc>
          <w:tcPr/>
          <w:p>
            <w:pPr>
              <w:pStyle w:val="Compact"/>
            </w:pPr>
            <w:r>
              <w:t xml:space="preserve">other</w:t>
            </w:r>
          </w:p>
        </w:tc>
        <w:tc>
          <w:tcPr/>
          <w:p>
            <w:pPr>
              <w:pStyle w:val="Compact"/>
            </w:pPr>
            <w:r>
              <w:t xml:space="preserve">Autre rôle ; utiliser role_label pour un libellé descriptif.</w:t>
            </w:r>
          </w:p>
        </w:tc>
      </w:tr>
    </w:tbl>
    <w:bookmarkEnd w:id="181"/>
    <w:bookmarkEnd w:id="182"/>
    <w:bookmarkStart w:id="185" w:name="classe-electoraldistrict"/>
    <w:p>
      <w:pPr>
        <w:pStyle w:val="berschrift2"/>
      </w:pPr>
      <w:r>
        <w:t xml:space="preserve">Classe: ElectoralDistrict</w:t>
      </w:r>
    </w:p>
    <w:p>
      <w:pPr>
        <w:pStyle w:val="FirstParagraph"/>
      </w:pPr>
      <w:r>
        <w:rPr>
          <w:i/>
          <w:iCs/>
        </w:rPr>
        <w:t xml:space="preserve">Circonscription ou région électorale associée à une affiliation. La validité temporelle est héritée de l’affiliation englobante.</w:t>
      </w:r>
    </w:p>
    <w:bookmarkStart w:id="183" w:name="attributs-11"/>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Pour les références IRI, les ressources LINDAS doivent être utilisées. Les IRI des différents niveaux administratifs des unités spatiales suisses sont disponibles à l’adresse : https://ld.admin.ch/country/CHE. Sous les liens de la section schema:containsPlace, le niveau souhaité peut être sélectionné. Exemples pour chaque niveau administratif : - Pays - Suisse : https://ld.admin.ch/country/CHE - Canton - Argovie : https://ld.admin.ch/canton/19 - District - Brigue : https://ld.admin.ch/district/2301 - Commune - Versoix : https://ld.admin.ch/municipality/6644</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bl>
    <w:bookmarkEnd w:id="183"/>
    <w:bookmarkStart w:id="184" w:name="utilisations-11"/>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84"/>
    <w:p>
      <w:r>
        <w:br w:type="page"/>
      </w:r>
    </w:p>
    <w:bookmarkEnd w:id="185"/>
    <w:bookmarkEnd w:id="186"/>
    <w:bookmarkStart w:id="251" w:name="liens-dintérêts-interest-links"/>
    <w:p>
      <w:pPr>
        <w:pStyle w:val="berschrift1"/>
      </w:pPr>
      <w:r>
        <w:t xml:space="preserve">Liens d’intérêts (Interest Links)</w:t>
      </w:r>
    </w:p>
    <w:p>
      <w:pPr>
        <w:pStyle w:val="FirstParagraph"/>
      </w:pPr>
      <w:r>
        <w:t xml:space="preserve">Le schéma InterestLink consigne les liens d’intérêts, les conflits d’intérêts et les imbrications des personnes avec des organisations. Il s’appuie sur les exigences de transparence applicables aux membres du parlement selon</w:t>
      </w:r>
      <w:r>
        <w:t xml:space="preserve"> </w:t>
      </w:r>
      <w:hyperlink ns1:id="rId187">
        <w:r>
          <w:rPr>
            <w:rStyle w:val="Hyperlink"/>
          </w:rPr>
          <w:t xml:space="preserve">Assemblée fédérale – Liens d’intérêts</w:t>
        </w:r>
      </w:hyperlink>
      <w:r>
        <w:t xml:space="preserve">.</w:t>
      </w:r>
    </w:p>
    <w:p>
      <w:pPr>
        <w:pStyle w:val="Compact"/>
        <w:numPr>
          <w:ilvl w:val="0"/>
          <w:numId w:val="1012"/>
        </w:numPr>
      </w:pPr>
      <w:r>
        <w:rPr>
          <w:b/>
          <w:bCs/>
        </w:rPr>
        <w:t xml:space="preserve">Délimitation par rapport aux affiliations (</w:t>
      </w:r>
      <w:r>
        <w:rPr>
          <w:rStyle w:val="VerbatimChar"/>
          <w:b/>
          <w:bCs/>
        </w:rPr>
        <w:t xml:space="preserve">Membership</w:t>
      </w:r>
      <w:r>
        <w:rPr>
          <w:b/>
          <w:bCs/>
        </w:rPr>
        <w:t xml:space="preserve">) :</w:t>
      </w:r>
      <w:r>
        <w:t xml:space="preserve"> </w:t>
      </w:r>
      <w:r>
        <w:rPr>
          <w:rStyle w:val="VerbatimChar"/>
        </w:rPr>
        <w:t xml:space="preserve">InterestLink</w:t>
      </w:r>
      <w:r>
        <w:t xml:space="preserve"> </w:t>
      </w:r>
      <w:r>
        <w:t xml:space="preserve">représente les liens avec des organisations</w:t>
      </w:r>
      <w:r>
        <w:t xml:space="preserve"> </w:t>
      </w:r>
      <w:r>
        <w:rPr>
          <w:i/>
          <w:iCs/>
        </w:rPr>
        <w:t xml:space="preserve">extérieures</w:t>
      </w:r>
      <w:r>
        <w:t xml:space="preserve"> </w:t>
      </w:r>
      <w:r>
        <w:t xml:space="preserve">au schéma des acteurs (conflits d’intérêts, financement de la politique) – par opposition à l’appartenance formelle</w:t>
      </w:r>
      <w:r>
        <w:t xml:space="preserve"> </w:t>
      </w:r>
      <w:r>
        <w:rPr>
          <w:i/>
          <w:iCs/>
        </w:rPr>
        <w:t xml:space="preserve">au sein</w:t>
      </w:r>
      <w:r>
        <w:t xml:space="preserve"> </w:t>
      </w:r>
      <w:r>
        <w:t xml:space="preserve">du schéma, qui est consignée au moyen de</w:t>
      </w:r>
      <w:r>
        <w:t xml:space="preserve"> </w:t>
      </w:r>
      <w:r>
        <w:rPr>
          <w:rStyle w:val="VerbatimChar"/>
        </w:rPr>
        <w:t xml:space="preserve">Membership</w:t>
      </w:r>
      <w:r>
        <w:t xml:space="preserve">.</w:t>
      </w:r>
    </w:p>
    <w:p>
      <w:pPr>
        <w:pStyle w:val="Compact"/>
        <w:numPr>
          <w:ilvl w:val="0"/>
          <w:numId w:val="1012"/>
        </w:numPr>
      </w:pPr>
      <w:r>
        <w:rPr>
          <w:b/>
          <w:bCs/>
        </w:rPr>
        <w:t xml:space="preserve">Classification obligatoire (</w:t>
      </w:r>
      <w:r>
        <w:rPr>
          <w:rStyle w:val="VerbatimChar"/>
          <w:b/>
          <w:bCs/>
        </w:rPr>
        <w:t xml:space="preserve">interest_type</w:t>
      </w:r>
      <w:r>
        <w:rPr>
          <w:b/>
          <w:bCs/>
        </w:rPr>
        <w:t xml:space="preserve">) :</w:t>
      </w:r>
      <w:r>
        <w:t xml:space="preserve"> </w:t>
      </w:r>
      <w:r>
        <w:t xml:space="preserve">chaque lien est obligatoirement classé selon son type (activité professionnelle, mandats politiques, association), en s’appuyant sur les catégories de divulgation de l’Assemblée fédérale.</w:t>
      </w:r>
    </w:p>
    <w:p>
      <w:pPr>
        <w:pStyle w:val="Compact"/>
        <w:numPr>
          <w:ilvl w:val="0"/>
          <w:numId w:val="1012"/>
        </w:numPr>
      </w:pPr>
      <w:r>
        <w:rPr>
          <w:b/>
          <w:bCs/>
        </w:rPr>
        <w:t xml:space="preserve">Organisation référençable par IDE (</w:t>
      </w:r>
      <w:r>
        <w:rPr>
          <w:rStyle w:val="VerbatimChar"/>
          <w:b/>
          <w:bCs/>
        </w:rPr>
        <w:t xml:space="preserve">organization_uid</w:t>
      </w:r>
      <w:r>
        <w:rPr>
          <w:b/>
          <w:bCs/>
        </w:rPr>
        <w:t xml:space="preserve">) :</w:t>
      </w:r>
      <w:r>
        <w:t xml:space="preserve"> </w:t>
      </w:r>
      <w:r>
        <w:t xml:space="preserve">si l’organisation est enregistrée dans le registre IDE, elle est référencée au moyen de son IDE (eCH-0097,</w:t>
      </w:r>
      <w:r>
        <w:t xml:space="preserve"> </w:t>
      </w:r>
      <w:r>
        <w:rPr>
          <w:rStyle w:val="VerbatimChar"/>
        </w:rPr>
        <w:t xml:space="preserve">CHE-XXX.XXX.XXX</w:t>
      </w:r>
      <w:r>
        <w:t xml:space="preserve">) – ce qui permet des analyses, p. ex. à l’aide de codes NOGA. Pour les organisations sans IDE,</w:t>
      </w:r>
      <w:r>
        <w:t xml:space="preserve"> </w:t>
      </w:r>
      <w:r>
        <w:rPr>
          <w:rStyle w:val="VerbatimChar"/>
        </w:rPr>
        <w:t xml:space="preserve">organization_name</w:t>
      </w:r>
      <w:r>
        <w:t xml:space="preserve">/</w:t>
      </w:r>
      <w:r>
        <w:rPr>
          <w:rStyle w:val="VerbatimChar"/>
        </w:rPr>
        <w:t xml:space="preserve">organization_address</w:t>
      </w:r>
      <w:r>
        <w:t xml:space="preserve"> </w:t>
      </w:r>
      <w:r>
        <w:t xml:space="preserve">sont disponibles ; la forme juridique suit un vocabulaire contrôlé (</w:t>
      </w:r>
      <w:r>
        <w:rPr>
          <w:rStyle w:val="VerbatimChar"/>
        </w:rPr>
        <w:t xml:space="preserve">LegalFormEnum</w:t>
      </w:r>
      <w:r>
        <w:t xml:space="preserve">).</w:t>
      </w:r>
    </w:p>
    <w:p>
      <w:pPr>
        <w:pStyle w:val="Compact"/>
        <w:numPr>
          <w:ilvl w:val="0"/>
          <w:numId w:val="1012"/>
        </w:numPr>
      </w:pPr>
      <w:r>
        <w:rPr>
          <w:b/>
          <w:bCs/>
        </w:rPr>
        <w:t xml:space="preserve">Étendue et rémunération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 :</w:t>
      </w:r>
      <w:r>
        <w:t xml:space="preserve"> </w:t>
      </w:r>
      <w:r>
        <w:t xml:space="preserve">outre l’organe et la fonction au sein de l’organisation, il est explicitement consigné si la position est rémunérée – un aspect central de la transparence.</w:t>
      </w:r>
    </w:p>
    <w:bookmarkStart w:id="203" w:name="classe-interestlink"/>
    <w:p>
      <w:pPr>
        <w:pStyle w:val="berschrift2"/>
      </w:pPr>
      <w:r>
        <w:t xml:space="preserve">Classe: InterestLink</w:t>
      </w:r>
    </w:p>
    <w:p>
      <w:pPr>
        <w:pStyle w:val="FirstParagraph"/>
      </w:pPr>
      <w:r>
        <w:rPr>
          <w:i/>
          <w:iCs/>
        </w:rPr>
        <w:t xml:space="preserve">Un lien d’intérêts (conflit d’intérêts, financement politique) d’une personne avec une organisation située en dehors du schéma des acteurs.</w:t>
      </w:r>
    </w:p>
    <w:bookmarkStart w:id="189" w:name="attributs-12"/>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Référence à une personne avec des données instantanées au moment de la mise en relation.</w:t>
            </w:r>
          </w:p>
        </w:tc>
      </w:tr>
      <w:tr>
        <w:tc>
          <w:tcPr/>
          <w:p>
            <w:pPr>
              <w:pStyle w:val="Compact"/>
            </w:pPr>
            <w:r>
              <w:t xml:space="preserve">interest_type</w:t>
            </w:r>
          </w:p>
        </w:tc>
        <w:tc>
          <w:tcPr/>
          <w:p>
            <w:pPr>
              <w:pStyle w:val="Compact"/>
            </w:pPr>
            <w:r>
              <w:t xml:space="preserve">1</w:t>
            </w:r>
            <w:r>
              <w:t xml:space="preserve"> </w:t>
            </w:r>
            <w:r>
              <w:t xml:space="preserve"> </w:t>
            </w:r>
            <w:hyperlink w:anchor="InterestTypeEnum">
              <w:r>
                <w:rPr>
                  <w:rStyle w:val="Hyperlink"/>
                </w:rPr>
                <w:t xml:space="preserve">InterestTypeEnum</w:t>
              </w:r>
            </w:hyperlink>
          </w:p>
        </w:tc>
        <w:tc>
          <w:tcPr/>
          <w:p>
            <w:pPr>
              <w:pStyle w:val="Compact"/>
            </w:pPr>
            <w:r>
              <w:t xml:space="preserve">Type de lien d’intérêts (activité professionnelle, mandat politique, association).</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de l’organisation ou de l’entreprise.</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 de l’organisation (format eCH-0097 : CHE-XXX.XXX.XXX) issu du registre fédéral IDE (uid.admin.ch).</w:t>
            </w:r>
          </w:p>
        </w:tc>
      </w:tr>
      <w:tr>
        <w:tc>
          <w:tcPr>
            <w:shd w:val="clear" w:color="auto" w:fill="F2F2F2"/>
          </w:tcPr>
          <w:p>
            <w:pPr>
              <w:pStyle w:val="Compact"/>
            </w:pPr>
            <w:r>
              <w:t xml:space="preserve">organization_address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Adresse de l’organisation.</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Forme juridique de l’organisation. Voir le vocabulaire contrôlé : https://register.ld.admin.ch/i14y/concept/legalForm</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l’activité est rémunérée.</w:t>
            </w:r>
          </w:p>
        </w:tc>
      </w:tr>
      <w:tr>
        <w:tc>
          <w:tcPr/>
          <w:p>
            <w:pPr>
              <w:pStyle w:val="Compact"/>
            </w:pPr>
            <w:r>
              <w:t xml:space="preserve">committee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Comité ou organe au sein de l’organisation (p. ex. conseil d’administration, conseil de fondation, comité directeur, conseil de surveillance, comité consultatif, direction).</w:t>
            </w:r>
          </w:p>
        </w:tc>
      </w:tr>
      <w:tr>
        <w:tc>
          <w:tcPr>
            <w:shd w:val="clear" w:color="auto" w:fill="F2F2F2"/>
          </w:tcPr>
          <w:p>
            <w:pPr>
              <w:pStyle w:val="Compact"/>
            </w:pPr>
            <w:r>
              <w:t xml:space="preserve">function_role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Fonction ou rôle dans l’organisation (p. ex. président/e, vice-président/e, membre, délégué, directeur/directrice, conseiller/ère).</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188" w:name="contraintes-3"/>
    <w:p>
      <w:pPr>
        <w:pStyle w:val="berschrift5"/>
      </w:pPr>
      <w:r>
        <w:t xml:space="preserve">Contraintes</w:t>
      </w:r>
    </w:p>
    <w:p>
      <w:pPr>
        <w:pStyle w:val="FirstParagraph"/>
      </w:pPr>
      <w:r>
        <w:t xml:space="preserve">Au moins l’un des champs suivants doit être renseigné :</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88"/>
    <w:bookmarkEnd w:id="189"/>
    <w:bookmarkStart w:id="190" w:name="utilisations-12"/>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190"/>
    <w:bookmarkStart w:id="202" w:name="exemples-3"/>
    <w:p>
      <w:pPr>
        <w:pStyle w:val="berschrift3"/>
      </w:pPr>
      <w:r>
        <w:t xml:space="preserve">Exemples</w:t>
      </w:r>
    </w:p>
    <w:bookmarkStart w:id="191" w:name="Xc8c180feb87de7b42689041da2e7578acdde7f8"/>
    <w:p>
      <w:pPr>
        <w:pStyle w:val="berschrift4"/>
      </w:pPr>
      <w:r>
        <w:t xml:space="preserve">Exemple : Société propre, dirigée à titre opérationnel</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1"/>
    <w:bookmarkStart w:id="192" w:name="X22f08faf66566b905542a04ee89a9ac5336444d"/>
    <w:p>
      <w:pPr>
        <w:pStyle w:val="berschrift4"/>
      </w:pPr>
      <w:r>
        <w:t xml:space="preserve">Exemple : Présidence non rémunérée d’une alliance politique</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2"/>
    <w:bookmarkStart w:id="193" w:name="Xfa9084162aa0e4962ddbc70965acd84fab60707"/>
    <w:p>
      <w:pPr>
        <w:pStyle w:val="berschrift4"/>
      </w:pPr>
      <w:r>
        <w:t xml:space="preserve">Exemple : Mandat d’administrateur dans une holding</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3"/>
    <w:bookmarkStart w:id="194" w:name="Xd5ac5dbb807608890f0049e76f5ec8b9dd7b0ef"/>
    <w:p>
      <w:pPr>
        <w:pStyle w:val="berschrift4"/>
      </w:pPr>
      <w:r>
        <w:t xml:space="preserve">Exemple : Mandat d’administrateur dans une société immobilière</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4"/>
    <w:bookmarkStart w:id="195" w:name="Xe4cba1841cdb3037631de5facd5f5e865659dc9"/>
    <w:p>
      <w:pPr>
        <w:pStyle w:val="berschrift4"/>
      </w:pPr>
      <w:r>
        <w:t xml:space="preserve">Exemple : Affiliation à une association de branche</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5"/>
    <w:bookmarkStart w:id="196" w:name="Xf19344f41271174e9167b30d332f5a7ec80baa5"/>
    <w:p>
      <w:pPr>
        <w:pStyle w:val="berschrift4"/>
      </w:pPr>
      <w:r>
        <w:t xml:space="preserve">Exemple : Mandat au conseil de fondation avec IDE de l’organisation</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organization_uid</w:t>
      </w:r>
      <w:r>
        <w:rPr>
          <w:rStyle w:val="KeywordTok"/>
        </w:rPr>
        <w:t xml:space="preserve">:</w:t>
      </w:r>
      <w:r>
        <w:rPr>
          <w:rStyle w:val="AttributeTok"/>
        </w:rPr>
        <w:t xml:space="preserve"> CHE-109.810.537</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6"/>
    <w:bookmarkStart w:id="197" w:name="X1312458ad31e048a8c5a5a919b4e9a33dd2c7c6"/>
    <w:p>
      <w:pPr>
        <w:pStyle w:val="berschrift4"/>
      </w:pPr>
      <w:r>
        <w:t xml:space="preserve">Exemple : Mandat au comité consultatif sans fonction d’organe</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7"/>
    <w:bookmarkStart w:id="198" w:name="Xf520f9b5a5b9264644c5ae5f1de097105147e90"/>
    <w:p>
      <w:pPr>
        <w:pStyle w:val="berschrift4"/>
      </w:pPr>
      <w:r>
        <w:t xml:space="preserve">Exemple : Participation bénévole à l’association porteuse d’un grand projet</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8"/>
    <w:bookmarkStart w:id="199" w:name="X3a48ce9f09d0c6b8ec7aaee098a5c618d3c8756"/>
    <w:p>
      <w:pPr>
        <w:pStyle w:val="berschrift4"/>
      </w:pPr>
      <w:r>
        <w:t xml:space="preserve">Exemple : Présidence d’une association économique</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9"/>
    <w:bookmarkStart w:id="200" w:name="exemple-présidence-dun-parti-national"/>
    <w:p>
      <w:pPr>
        <w:pStyle w:val="berschrift4"/>
      </w:pPr>
      <w:r>
        <w:t xml:space="preserve">Exemple : Présidence d’un parti national</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0"/>
    <w:bookmarkStart w:id="201" w:name="Xe14619c161d2fce38c737b955742854aedfc1a5"/>
    <w:p>
      <w:pPr>
        <w:pStyle w:val="berschrift4"/>
      </w:pPr>
      <w:r>
        <w:t xml:space="preserve">Exemple : Mandat d’administrateur dans une entreprise technologique</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1"/>
    <w:bookmarkEnd w:id="202"/>
    <w:bookmarkEnd w:id="203"/>
    <w:bookmarkStart w:id="209" w:name="enum-interesttypeenum"/>
    <w:p>
      <w:pPr>
        <w:pStyle w:val="berschrift2"/>
      </w:pPr>
      <w:r>
        <w:t xml:space="preserve">Enum: InterestTypeEnum</w:t>
      </w:r>
    </w:p>
    <w:p>
      <w:pPr>
        <w:pStyle w:val="FirstParagraph"/>
      </w:pPr>
      <w:r>
        <w:rPr>
          <w:i/>
          <w:iCs/>
        </w:rPr>
        <w:t xml:space="preserve">Types de liens d’intérêts (conflits d’intérêts, financement politique).</w:t>
      </w:r>
    </w:p>
    <w:p>
      <w:pPr>
        <w:pStyle w:val="Textkrper"/>
      </w:pPr>
      <w:r>
        <w:t xml:space="preserve">URI:</w:t>
      </w:r>
      <w:r>
        <w:t xml:space="preserve"> </w:t>
      </w:r>
      <w:hyperlink ns1:id="rId204">
        <w:r>
          <w:rPr>
            <w:rStyle w:val="Hyperlink"/>
          </w:rPr>
          <w:t xml:space="preserve">act:InterestTypeEnum</w:t>
        </w:r>
      </w:hyperlink>
    </w:p>
    <w:bookmarkStart w:id="208" w:name="valeurs-admissibles-5"/>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professional_activity</w:t>
            </w:r>
          </w:p>
        </w:tc>
        <w:tc>
          <w:tcPr>
            <w:shd w:val="clear" w:color="auto" w:fill="F2F2F2"/>
          </w:tcPr>
          <w:p>
            <w:pPr>
              <w:pStyle w:val="Compact"/>
            </w:pPr>
            <w:r>
              <w:t xml:space="preserve">Activité professionnelle en dehors du mandat politique (p. ex. emploi salarié, activité indépendante, conseil, mandats d’administrateur dans des entreprises privées).</w:t>
            </w:r>
          </w:p>
        </w:tc>
      </w:tr>
      <w:tr>
        <w:tc>
          <w:tcPr/>
          <w:p>
            <w:pPr>
              <w:pStyle w:val="Compact"/>
            </w:pPr>
          </w:p>
        </w:tc>
        <w:tc>
          <w:tcPr/>
          <w:p>
            <w:pPr>
              <w:pStyle w:val="Compact"/>
            </w:pPr>
            <w:hyperlink ns1:id="rId205">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Mandat ou fonction politique à d’autres niveaux fédéraux ou dans d’autres collectivités (p. ex. appartenance à un parlement cantonal/communal, conseil d’État, commission extraparlementaire).</w:t>
            </w:r>
          </w:p>
        </w:tc>
      </w:tr>
      <w:tr>
        <w:tc>
          <w:tcPr/>
          <w:p>
            <w:pPr>
              <w:pStyle w:val="Compact"/>
            </w:pPr>
          </w:p>
        </w:tc>
        <w:tc>
          <w:tcPr/>
          <w:p>
            <w:pPr>
              <w:pStyle w:val="Compact"/>
            </w:pPr>
            <w:hyperlink ns1:id="rId206">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Appartenance à des associations, des fédérations ou des organisations d’intérêts (p. ex. associations de branche, associations professionnelles, organisations de lobbying, fondations, associations d’utilité publique).</w:t>
            </w:r>
          </w:p>
        </w:tc>
      </w:tr>
      <w:tr>
        <w:tc>
          <w:tcPr/>
          <w:p>
            <w:pPr>
              <w:pStyle w:val="Compact"/>
            </w:pPr>
          </w:p>
        </w:tc>
        <w:tc>
          <w:tcPr/>
          <w:p>
            <w:pPr>
              <w:pStyle w:val="Compact"/>
            </w:pPr>
            <w:hyperlink ns1:id="rId207">
              <w:r>
                <w:rPr>
                  <w:rStyle w:val="Hyperlink"/>
                </w:rPr>
                <w:t xml:space="preserve">act:enum/interest_type/association</w:t>
              </w:r>
            </w:hyperlink>
          </w:p>
        </w:tc>
      </w:tr>
    </w:tbl>
    <w:bookmarkEnd w:id="208"/>
    <w:bookmarkEnd w:id="209"/>
    <w:bookmarkStart w:id="250" w:name="enum-legalformenum"/>
    <w:p>
      <w:pPr>
        <w:pStyle w:val="berschrift2"/>
      </w:pPr>
      <w:r>
        <w:t xml:space="preserve">Enum: LegalFormEnum</w:t>
      </w:r>
    </w:p>
    <w:p>
      <w:pPr>
        <w:pStyle w:val="FirstParagraph"/>
      </w:pPr>
      <w:r>
        <w:rPr>
          <w:i/>
          <w:iCs/>
        </w:rPr>
        <w:t xml:space="preserve">Formes juridiques selon la liste de codes publiée par l’Office fédéral de la statistique sur la plateforme I14Y, conforme à eCH-0108 (données de base des entreprises et registre des entreprises). Voir https://register.ld.admin.ch/i14y/concept/legalForm</w:t>
      </w:r>
    </w:p>
    <w:p>
      <w:pPr>
        <w:pStyle w:val="Textkrper"/>
      </w:pPr>
      <w:r>
        <w:t xml:space="preserve">URI:</w:t>
      </w:r>
      <w:r>
        <w:t xml:space="preserve"> </w:t>
      </w:r>
      <w:hyperlink ns1:id="rId210">
        <w:r>
          <w:rPr>
            <w:rStyle w:val="Hyperlink"/>
          </w:rPr>
          <w:t xml:space="preserve">act:LegalFormEnum</w:t>
        </w:r>
      </w:hyperlink>
    </w:p>
    <w:bookmarkStart w:id="249" w:name="valeurs-admissibles-6"/>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0101</w:t>
            </w:r>
          </w:p>
        </w:tc>
        <w:tc>
          <w:tcPr>
            <w:shd w:val="clear" w:color="auto" w:fill="F2F2F2"/>
          </w:tcPr>
          <w:p>
            <w:pPr>
              <w:pStyle w:val="Compact"/>
            </w:pPr>
            <w:r>
              <w:t xml:space="preserve">Entreprise individuelle.</w:t>
            </w:r>
          </w:p>
        </w:tc>
      </w:tr>
      <w:tr>
        <w:tc>
          <w:tcPr/>
          <w:p>
            <w:pPr>
              <w:pStyle w:val="Compact"/>
            </w:pPr>
          </w:p>
        </w:tc>
        <w:tc>
          <w:tcPr/>
          <w:p>
            <w:pPr>
              <w:pStyle w:val="Compact"/>
            </w:pPr>
            <w:hyperlink ns1:id="rId211">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Société en nom collectif (SNC).</w:t>
            </w:r>
          </w:p>
        </w:tc>
      </w:tr>
      <w:tr>
        <w:tc>
          <w:tcPr/>
          <w:p>
            <w:pPr>
              <w:pStyle w:val="Compact"/>
            </w:pPr>
          </w:p>
        </w:tc>
        <w:tc>
          <w:tcPr/>
          <w:p>
            <w:pPr>
              <w:pStyle w:val="Compact"/>
            </w:pPr>
            <w:hyperlink ns1:id="rId212">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Société en commandite (SCm).</w:t>
            </w:r>
          </w:p>
        </w:tc>
      </w:tr>
      <w:tr>
        <w:tc>
          <w:tcPr/>
          <w:p>
            <w:pPr>
              <w:pStyle w:val="Compact"/>
            </w:pPr>
          </w:p>
        </w:tc>
        <w:tc>
          <w:tcPr/>
          <w:p>
            <w:pPr>
              <w:pStyle w:val="Compact"/>
            </w:pPr>
            <w:hyperlink ns1:id="rId213">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Société en commandite par actions (SCmA).</w:t>
            </w:r>
          </w:p>
        </w:tc>
      </w:tr>
      <w:tr>
        <w:tc>
          <w:tcPr/>
          <w:p>
            <w:pPr>
              <w:pStyle w:val="Compact"/>
            </w:pPr>
          </w:p>
        </w:tc>
        <w:tc>
          <w:tcPr/>
          <w:p>
            <w:pPr>
              <w:pStyle w:val="Compact"/>
            </w:pPr>
            <w:hyperlink ns1:id="rId214">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Société anonyme (SA).</w:t>
            </w:r>
          </w:p>
        </w:tc>
      </w:tr>
      <w:tr>
        <w:tc>
          <w:tcPr/>
          <w:p>
            <w:pPr>
              <w:pStyle w:val="Compact"/>
            </w:pPr>
          </w:p>
        </w:tc>
        <w:tc>
          <w:tcPr/>
          <w:p>
            <w:pPr>
              <w:pStyle w:val="Compact"/>
            </w:pPr>
            <w:hyperlink ns1:id="rId215">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Société à responsabilité limitée (Sàrl).</w:t>
            </w:r>
          </w:p>
        </w:tc>
      </w:tr>
      <w:tr>
        <w:tc>
          <w:tcPr/>
          <w:p>
            <w:pPr>
              <w:pStyle w:val="Compact"/>
            </w:pPr>
          </w:p>
        </w:tc>
        <w:tc>
          <w:tcPr/>
          <w:p>
            <w:pPr>
              <w:pStyle w:val="Compact"/>
            </w:pPr>
            <w:hyperlink ns1:id="rId216">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Société coopérative.</w:t>
            </w:r>
          </w:p>
        </w:tc>
      </w:tr>
      <w:tr>
        <w:tc>
          <w:tcPr/>
          <w:p>
            <w:pPr>
              <w:pStyle w:val="Compact"/>
            </w:pPr>
          </w:p>
        </w:tc>
        <w:tc>
          <w:tcPr/>
          <w:p>
            <w:pPr>
              <w:pStyle w:val="Compact"/>
            </w:pPr>
            <w:hyperlink ns1:id="rId217">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Association.</w:t>
            </w:r>
          </w:p>
        </w:tc>
      </w:tr>
      <w:tr>
        <w:tc>
          <w:tcPr/>
          <w:p>
            <w:pPr>
              <w:pStyle w:val="Compact"/>
            </w:pPr>
          </w:p>
        </w:tc>
        <w:tc>
          <w:tcPr/>
          <w:p>
            <w:pPr>
              <w:pStyle w:val="Compact"/>
            </w:pPr>
            <w:hyperlink ns1:id="rId218">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Fondation.</w:t>
            </w:r>
          </w:p>
        </w:tc>
      </w:tr>
      <w:tr>
        <w:tc>
          <w:tcPr/>
          <w:p>
            <w:pPr>
              <w:pStyle w:val="Compact"/>
            </w:pPr>
          </w:p>
        </w:tc>
        <w:tc>
          <w:tcPr/>
          <w:p>
            <w:pPr>
              <w:pStyle w:val="Compact"/>
            </w:pPr>
            <w:hyperlink ns1:id="rId219">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Succursale d’une entreprise étrangère.</w:t>
            </w:r>
          </w:p>
        </w:tc>
      </w:tr>
      <w:tr>
        <w:tc>
          <w:tcPr/>
          <w:p>
            <w:pPr>
              <w:pStyle w:val="Compact"/>
            </w:pPr>
          </w:p>
        </w:tc>
        <w:tc>
          <w:tcPr/>
          <w:p>
            <w:pPr>
              <w:pStyle w:val="Compact"/>
            </w:pPr>
            <w:hyperlink ns1:id="rId220">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Forme juridique particulière.</w:t>
            </w:r>
          </w:p>
        </w:tc>
      </w:tr>
      <w:tr>
        <w:tc>
          <w:tcPr/>
          <w:p>
            <w:pPr>
              <w:pStyle w:val="Compact"/>
            </w:pPr>
          </w:p>
        </w:tc>
        <w:tc>
          <w:tcPr/>
          <w:p>
            <w:pPr>
              <w:pStyle w:val="Compact"/>
            </w:pPr>
            <w:hyperlink ns1:id="rId221">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Société en commandite de placements collectifs (SCmPC).</w:t>
            </w:r>
          </w:p>
        </w:tc>
      </w:tr>
      <w:tr>
        <w:tc>
          <w:tcPr/>
          <w:p>
            <w:pPr>
              <w:pStyle w:val="Compact"/>
            </w:pPr>
          </w:p>
        </w:tc>
        <w:tc>
          <w:tcPr/>
          <w:p>
            <w:pPr>
              <w:pStyle w:val="Compact"/>
            </w:pPr>
            <w:hyperlink ns1:id="rId222">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Société d’investissement à capital variable (SICAV).</w:t>
            </w:r>
          </w:p>
        </w:tc>
      </w:tr>
      <w:tr>
        <w:tc>
          <w:tcPr/>
          <w:p>
            <w:pPr>
              <w:pStyle w:val="Compact"/>
            </w:pPr>
          </w:p>
        </w:tc>
        <w:tc>
          <w:tcPr/>
          <w:p>
            <w:pPr>
              <w:pStyle w:val="Compact"/>
            </w:pPr>
            <w:hyperlink ns1:id="rId223">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Société d’investissement à capital fixe (SICAF).</w:t>
            </w:r>
          </w:p>
        </w:tc>
      </w:tr>
      <w:tr>
        <w:tc>
          <w:tcPr/>
          <w:p>
            <w:pPr>
              <w:pStyle w:val="Compact"/>
            </w:pPr>
          </w:p>
        </w:tc>
        <w:tc>
          <w:tcPr/>
          <w:p>
            <w:pPr>
              <w:pStyle w:val="Compact"/>
            </w:pPr>
            <w:hyperlink ns1:id="rId224">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Institut de droit public.</w:t>
            </w:r>
          </w:p>
        </w:tc>
      </w:tr>
      <w:tr>
        <w:tc>
          <w:tcPr/>
          <w:p>
            <w:pPr>
              <w:pStyle w:val="Compact"/>
            </w:pPr>
          </w:p>
        </w:tc>
        <w:tc>
          <w:tcPr/>
          <w:p>
            <w:pPr>
              <w:pStyle w:val="Compact"/>
            </w:pPr>
            <w:hyperlink ns1:id="rId225">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Procuration non-commerciale.</w:t>
            </w:r>
          </w:p>
        </w:tc>
      </w:tr>
      <w:tr>
        <w:tc>
          <w:tcPr/>
          <w:p>
            <w:pPr>
              <w:pStyle w:val="Compact"/>
            </w:pPr>
          </w:p>
        </w:tc>
        <w:tc>
          <w:tcPr/>
          <w:p>
            <w:pPr>
              <w:pStyle w:val="Compact"/>
            </w:pPr>
            <w:hyperlink ns1:id="rId226">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Représentant d’indivision.</w:t>
            </w:r>
          </w:p>
        </w:tc>
      </w:tr>
      <w:tr>
        <w:tc>
          <w:tcPr/>
          <w:p>
            <w:pPr>
              <w:pStyle w:val="Compact"/>
            </w:pPr>
          </w:p>
        </w:tc>
        <w:tc>
          <w:tcPr/>
          <w:p>
            <w:pPr>
              <w:pStyle w:val="Compact"/>
            </w:pPr>
            <w:hyperlink ns1:id="rId227">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Succursale.</w:t>
            </w:r>
          </w:p>
        </w:tc>
      </w:tr>
      <w:tr>
        <w:tc>
          <w:tcPr/>
          <w:p>
            <w:pPr>
              <w:pStyle w:val="Compact"/>
            </w:pPr>
          </w:p>
        </w:tc>
        <w:tc>
          <w:tcPr/>
          <w:p>
            <w:pPr>
              <w:pStyle w:val="Compact"/>
            </w:pPr>
            <w:hyperlink ns1:id="rId228">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Unité de l’administration fédérale.</w:t>
            </w:r>
          </w:p>
        </w:tc>
      </w:tr>
      <w:tr>
        <w:tc>
          <w:tcPr/>
          <w:p>
            <w:pPr>
              <w:pStyle w:val="Compact"/>
            </w:pPr>
          </w:p>
        </w:tc>
        <w:tc>
          <w:tcPr/>
          <w:p>
            <w:pPr>
              <w:pStyle w:val="Compact"/>
            </w:pPr>
            <w:hyperlink ns1:id="rId229">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Unité de l’administration cantonale.</w:t>
            </w:r>
          </w:p>
        </w:tc>
      </w:tr>
      <w:tr>
        <w:tc>
          <w:tcPr/>
          <w:p>
            <w:pPr>
              <w:pStyle w:val="Compact"/>
            </w:pPr>
          </w:p>
        </w:tc>
        <w:tc>
          <w:tcPr/>
          <w:p>
            <w:pPr>
              <w:pStyle w:val="Compact"/>
            </w:pPr>
            <w:hyperlink ns1:id="rId230">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Unité de l’administration du district.</w:t>
            </w:r>
          </w:p>
        </w:tc>
      </w:tr>
      <w:tr>
        <w:tc>
          <w:tcPr/>
          <w:p>
            <w:pPr>
              <w:pStyle w:val="Compact"/>
            </w:pPr>
          </w:p>
        </w:tc>
        <w:tc>
          <w:tcPr/>
          <w:p>
            <w:pPr>
              <w:pStyle w:val="Compact"/>
            </w:pPr>
            <w:hyperlink ns1:id="rId231">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Unité de l’administration communale.</w:t>
            </w:r>
          </w:p>
        </w:tc>
      </w:tr>
      <w:tr>
        <w:tc>
          <w:tcPr/>
          <w:p>
            <w:pPr>
              <w:pStyle w:val="Compact"/>
            </w:pPr>
          </w:p>
        </w:tc>
        <w:tc>
          <w:tcPr/>
          <w:p>
            <w:pPr>
              <w:pStyle w:val="Compact"/>
            </w:pPr>
            <w:hyperlink ns1:id="rId232">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Autre unité de l’administration de droit public.</w:t>
            </w:r>
          </w:p>
        </w:tc>
      </w:tr>
      <w:tr>
        <w:tc>
          <w:tcPr/>
          <w:p>
            <w:pPr>
              <w:pStyle w:val="Compact"/>
            </w:pPr>
          </w:p>
        </w:tc>
        <w:tc>
          <w:tcPr/>
          <w:p>
            <w:pPr>
              <w:pStyle w:val="Compact"/>
            </w:pPr>
            <w:hyperlink ns1:id="rId233">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Institution de droit public fédérale.</w:t>
            </w:r>
          </w:p>
        </w:tc>
      </w:tr>
      <w:tr>
        <w:tc>
          <w:tcPr/>
          <w:p>
            <w:pPr>
              <w:pStyle w:val="Compact"/>
            </w:pPr>
          </w:p>
        </w:tc>
        <w:tc>
          <w:tcPr/>
          <w:p>
            <w:pPr>
              <w:pStyle w:val="Compact"/>
            </w:pPr>
            <w:hyperlink ns1:id="rId234">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Institution de droit public cantonale.</w:t>
            </w:r>
          </w:p>
        </w:tc>
      </w:tr>
      <w:tr>
        <w:tc>
          <w:tcPr/>
          <w:p>
            <w:pPr>
              <w:pStyle w:val="Compact"/>
            </w:pPr>
          </w:p>
        </w:tc>
        <w:tc>
          <w:tcPr/>
          <w:p>
            <w:pPr>
              <w:pStyle w:val="Compact"/>
            </w:pPr>
            <w:hyperlink ns1:id="rId235">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Institution de droit public du district.</w:t>
            </w:r>
          </w:p>
        </w:tc>
      </w:tr>
      <w:tr>
        <w:tc>
          <w:tcPr/>
          <w:p>
            <w:pPr>
              <w:pStyle w:val="Compact"/>
            </w:pPr>
          </w:p>
        </w:tc>
        <w:tc>
          <w:tcPr/>
          <w:p>
            <w:pPr>
              <w:pStyle w:val="Compact"/>
            </w:pPr>
            <w:hyperlink ns1:id="rId236">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Institution de droit public communale.</w:t>
            </w:r>
          </w:p>
        </w:tc>
      </w:tr>
      <w:tr>
        <w:tc>
          <w:tcPr/>
          <w:p>
            <w:pPr>
              <w:pStyle w:val="Compact"/>
            </w:pPr>
          </w:p>
        </w:tc>
        <w:tc>
          <w:tcPr/>
          <w:p>
            <w:pPr>
              <w:pStyle w:val="Compact"/>
            </w:pPr>
            <w:hyperlink ns1:id="rId237">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Autre institution de droit public.</w:t>
            </w:r>
          </w:p>
        </w:tc>
      </w:tr>
      <w:tr>
        <w:tc>
          <w:tcPr/>
          <w:p>
            <w:pPr>
              <w:pStyle w:val="Compact"/>
            </w:pPr>
          </w:p>
        </w:tc>
        <w:tc>
          <w:tcPr/>
          <w:p>
            <w:pPr>
              <w:pStyle w:val="Compact"/>
            </w:pPr>
            <w:hyperlink ns1:id="rId238">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Société simple.</w:t>
            </w:r>
          </w:p>
        </w:tc>
      </w:tr>
      <w:tr>
        <w:tc>
          <w:tcPr/>
          <w:p>
            <w:pPr>
              <w:pStyle w:val="Compact"/>
            </w:pPr>
          </w:p>
        </w:tc>
        <w:tc>
          <w:tcPr/>
          <w:p>
            <w:pPr>
              <w:pStyle w:val="Compact"/>
            </w:pPr>
            <w:hyperlink ns1:id="rId239">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Établissement stable ou représentant suisse d’une entreprise étrangère.</w:t>
            </w:r>
          </w:p>
        </w:tc>
      </w:tr>
      <w:tr>
        <w:tc>
          <w:tcPr/>
          <w:p>
            <w:pPr>
              <w:pStyle w:val="Compact"/>
            </w:pPr>
          </w:p>
        </w:tc>
        <w:tc>
          <w:tcPr/>
          <w:p>
            <w:pPr>
              <w:pStyle w:val="Compact"/>
            </w:pPr>
            <w:hyperlink ns1:id="rId240">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Entreprise publique étrangère.</w:t>
            </w:r>
          </w:p>
        </w:tc>
      </w:tr>
      <w:tr>
        <w:tc>
          <w:tcPr/>
          <w:p>
            <w:pPr>
              <w:pStyle w:val="Compact"/>
            </w:pPr>
          </w:p>
        </w:tc>
        <w:tc>
          <w:tcPr/>
          <w:p>
            <w:pPr>
              <w:pStyle w:val="Compact"/>
            </w:pPr>
            <w:hyperlink ns1:id="rId241">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Administration publique étrangère.</w:t>
            </w:r>
          </w:p>
        </w:tc>
      </w:tr>
      <w:tr>
        <w:tc>
          <w:tcPr/>
          <w:p>
            <w:pPr>
              <w:pStyle w:val="Compact"/>
            </w:pPr>
          </w:p>
        </w:tc>
        <w:tc>
          <w:tcPr/>
          <w:p>
            <w:pPr>
              <w:pStyle w:val="Compact"/>
            </w:pPr>
            <w:hyperlink ns1:id="rId242">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Organisation internationale.</w:t>
            </w:r>
          </w:p>
        </w:tc>
      </w:tr>
      <w:tr>
        <w:tc>
          <w:tcPr/>
          <w:p>
            <w:pPr>
              <w:pStyle w:val="Compact"/>
            </w:pPr>
          </w:p>
        </w:tc>
        <w:tc>
          <w:tcPr/>
          <w:p>
            <w:pPr>
              <w:pStyle w:val="Compact"/>
            </w:pPr>
            <w:hyperlink ns1:id="rId243">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Autre société coopérative.</w:t>
            </w:r>
          </w:p>
        </w:tc>
      </w:tr>
      <w:tr>
        <w:tc>
          <w:tcPr/>
          <w:p>
            <w:pPr>
              <w:pStyle w:val="Compact"/>
            </w:pPr>
          </w:p>
        </w:tc>
        <w:tc>
          <w:tcPr/>
          <w:p>
            <w:pPr>
              <w:pStyle w:val="Compact"/>
            </w:pPr>
            <w:hyperlink ns1:id="rId244">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45">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Fonds.</w:t>
            </w:r>
          </w:p>
        </w:tc>
      </w:tr>
      <w:tr>
        <w:tc>
          <w:tcPr/>
          <w:p>
            <w:pPr>
              <w:pStyle w:val="Compact"/>
            </w:pPr>
          </w:p>
        </w:tc>
        <w:tc>
          <w:tcPr/>
          <w:p>
            <w:pPr>
              <w:pStyle w:val="Compact"/>
            </w:pPr>
            <w:hyperlink ns1:id="rId246">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Entreprise étrangère.</w:t>
            </w:r>
          </w:p>
        </w:tc>
      </w:tr>
      <w:tr>
        <w:tc>
          <w:tcPr/>
          <w:p>
            <w:pPr>
              <w:pStyle w:val="Compact"/>
            </w:pPr>
          </w:p>
        </w:tc>
        <w:tc>
          <w:tcPr/>
          <w:p>
            <w:pPr>
              <w:pStyle w:val="Compact"/>
            </w:pPr>
            <w:hyperlink ns1:id="rId247">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Forme juridique non déterminée ou inconnue.</w:t>
            </w:r>
          </w:p>
        </w:tc>
      </w:tr>
      <w:tr>
        <w:tc>
          <w:tcPr/>
          <w:p>
            <w:pPr>
              <w:pStyle w:val="Compact"/>
            </w:pPr>
          </w:p>
        </w:tc>
        <w:tc>
          <w:tcPr/>
          <w:p>
            <w:pPr>
              <w:pStyle w:val="Compact"/>
            </w:pPr>
            <w:hyperlink ns1:id="rId248">
              <w:r>
                <w:rPr>
                  <w:rStyle w:val="Hyperlink"/>
                </w:rPr>
                <w:t xml:space="preserve">https://register.ld.admin.ch/i14y/concept/legalForm/0571</w:t>
              </w:r>
            </w:hyperlink>
          </w:p>
        </w:tc>
      </w:tr>
    </w:tbl>
    <w:bookmarkEnd w:id="249"/>
    <w:p>
      <w:r>
        <w:br w:type="page"/>
      </w:r>
    </w:p>
    <w:bookmarkEnd w:id="250"/>
    <w:bookmarkEnd w:id="251"/>
    <w:bookmarkStart w:id="275" w:name="éléments-partagés"/>
    <w:p>
      <w:pPr>
        <w:pStyle w:val="berschrift1"/>
      </w:pPr>
      <w:r>
        <w:t xml:space="preserve">Éléments partagés</w:t>
      </w:r>
    </w:p>
    <w:bookmarkStart w:id="252" w:name="reference-classes"/>
    <w:p>
      <w:pPr>
        <w:pStyle w:val="berschrift2"/>
      </w:pPr>
      <w:r>
        <w:t xml:space="preserve">Reference Classes</w:t>
      </w:r>
    </w:p>
    <w:p>
      <w:pPr>
        <w:pStyle w:val="FirstParagraph"/>
      </w:pPr>
      <w:r>
        <w:rPr>
          <w:rStyle w:val="VerbatimChar"/>
        </w:rPr>
        <w:t xml:space="preserve">PersonReference</w:t>
      </w:r>
      <w:r>
        <w:t xml:space="preserve"> </w:t>
      </w:r>
      <w:r>
        <w:t xml:space="preserve">et</w:t>
      </w:r>
      <w:r>
        <w:t xml:space="preserve"> </w:t>
      </w:r>
      <w:r>
        <w:rPr>
          <w:rStyle w:val="VerbatimChar"/>
        </w:rPr>
        <w:t xml:space="preserve">GroupReference</w:t>
      </w:r>
      <w:r>
        <w:t xml:space="preserve"> </w:t>
      </w:r>
      <w:r>
        <w:t xml:space="preserve">sont utilisés pour référencer</w:t>
      </w:r>
      <w:r>
        <w:t xml:space="preserve"> </w:t>
      </w:r>
      <w:r>
        <w:rPr>
          <w:b/>
          <w:bCs/>
        </w:rPr>
        <w:t xml:space="preserve">localement</w:t>
      </w:r>
      <w:r>
        <w:t xml:space="preserve"> </w:t>
      </w:r>
      <w:r>
        <w:t xml:space="preserve">des personnes ou des groupes au sein d’une autre entité. Outre le lien proprement dit vers l’entité complète, seules les informations pertinentes au</w:t>
      </w:r>
      <w:r>
        <w:t xml:space="preserve"> </w:t>
      </w:r>
      <w:r>
        <w:rPr>
          <w:b/>
          <w:bCs/>
        </w:rPr>
        <w:t xml:space="preserve">moment de la mise en relation</w:t>
      </w:r>
      <w:r>
        <w:t xml:space="preserve"> </w:t>
      </w:r>
      <w:r>
        <w:t xml:space="preserve">sont enregistrées – il n’est donc pas nécessaire de répéter toutes les informations d’une personne ou d’un groupe à chaque mention.</w:t>
      </w:r>
    </w:p>
    <w:p>
      <w:pPr>
        <w:pStyle w:val="Textkrper"/>
      </w:pPr>
      <w:r>
        <w:t xml:space="preserve">Un exemple : une motion renvoie à la personne qui l’a déposée. En plus du lien vers l’entité complète de la personne, la motion enregistre localement des informations telles que le parti politique ou le rôle de la personne</w:t>
      </w:r>
      <w:r>
        <w:t xml:space="preserve"> </w:t>
      </w:r>
      <w:r>
        <w:rPr>
          <w:b/>
          <w:bCs/>
        </w:rPr>
        <w:t xml:space="preserve">au moment du dépôt</w:t>
      </w:r>
      <w:r>
        <w:t xml:space="preserve">. Si la personne change ultérieurement de parti ou de rôle, l’information dans la motion demeure néanmoins correcte et immuable.</w:t>
      </w:r>
    </w:p>
    <w:p>
      <w:pPr>
        <w:pStyle w:val="Textkrper"/>
      </w:pPr>
      <w:r>
        <w:t xml:space="preserve">Cela sert trois objectifs :</w:t>
      </w:r>
    </w:p>
    <w:p>
      <w:pPr>
        <w:pStyle w:val="Compact"/>
        <w:numPr>
          <w:ilvl w:val="0"/>
          <w:numId w:val="1014"/>
        </w:numPr>
      </w:pPr>
      <w:r>
        <w:rPr>
          <w:b/>
          <w:bCs/>
        </w:rPr>
        <w:t xml:space="preserve">Des données locales utiles</w:t>
      </w:r>
      <w:r>
        <w:t xml:space="preserve"> </w:t>
      </w:r>
      <w:r>
        <w:t xml:space="preserve">sans requêtes coûteuses sur l’entité complète</w:t>
      </w:r>
    </w:p>
    <w:p>
      <w:pPr>
        <w:pStyle w:val="Compact"/>
        <w:numPr>
          <w:ilvl w:val="0"/>
          <w:numId w:val="1014"/>
        </w:numPr>
      </w:pPr>
      <w:r>
        <w:rPr>
          <w:b/>
          <w:bCs/>
        </w:rPr>
        <w:t xml:space="preserve">Aucune redondance</w:t>
      </w:r>
      <w:r>
        <w:t xml:space="preserve">, car il n’est pas nécessaire de répéter toutes les informations à chaque mention</w:t>
      </w:r>
    </w:p>
    <w:p>
      <w:pPr>
        <w:pStyle w:val="Compact"/>
        <w:numPr>
          <w:ilvl w:val="0"/>
          <w:numId w:val="1014"/>
        </w:numPr>
      </w:pPr>
      <w:r>
        <w:rPr>
          <w:b/>
          <w:bCs/>
        </w:rPr>
        <w:t xml:space="preserve">Un versionnement implicite</w:t>
      </w:r>
      <w:r>
        <w:t xml:space="preserve">, car la référence locale demeure inchangée, même si l’entité liée change ultérieurement</w:t>
      </w:r>
    </w:p>
    <w:p>
      <w:pPr>
        <w:pStyle w:val="FirstParagraph"/>
      </w:pPr>
      <w:r>
        <w:t xml:space="preserve">Contrairement à une entité, une référence n’est pas identifiée en propre – elle ne fait que désigner une entité identifiée. C’est pourquoi le</w:t>
      </w:r>
      <w:r>
        <w:t xml:space="preserve"> </w:t>
      </w:r>
      <w:r>
        <w:rPr>
          <w:rStyle w:val="VerbatimChar"/>
        </w:rPr>
        <w:t xml:space="preserve">global_uri</w:t>
      </w:r>
      <w:r>
        <w:t xml:space="preserve"> </w:t>
      </w:r>
      <w:r>
        <w:t xml:space="preserve">n’y est pas obligatoire : il est seulement exigé qu’au moins l’une des deux indications</w:t>
      </w:r>
      <w:r>
        <w:t xml:space="preserve"> </w:t>
      </w:r>
      <w:r>
        <w:rPr>
          <w:rStyle w:val="VerbatimChar"/>
        </w:rPr>
        <w:t xml:space="preserve">local_id</w:t>
      </w:r>
      <w:r>
        <w:t xml:space="preserve"> </w:t>
      </w:r>
      <w:r>
        <w:t xml:space="preserve">ou</w:t>
      </w:r>
      <w:r>
        <w:t xml:space="preserve"> </w:t>
      </w:r>
      <w:r>
        <w:rPr>
          <w:rStyle w:val="VerbatimChar"/>
        </w:rPr>
        <w:t xml:space="preserve">global_uri</w:t>
      </w:r>
      <w:r>
        <w:t xml:space="preserve"> </w:t>
      </w:r>
      <w:r>
        <w:t xml:space="preserve">soit renseignée. Un système qui ne connaît que l’identifiant local de l’entité référencée indique celui-ci ; il est résolu au sein de la même livraison. Au-delà de la livraison, c’est le</w:t>
      </w:r>
      <w:r>
        <w:t xml:space="preserve"> </w:t>
      </w:r>
      <w:r>
        <w:rPr>
          <w:rStyle w:val="VerbatimChar"/>
        </w:rPr>
        <w:t xml:space="preserve">global_uri</w:t>
      </w:r>
      <w:r>
        <w:t xml:space="preserve"> </w:t>
      </w:r>
      <w:r>
        <w:t xml:space="preserve">qui fait le renvoi.</w:t>
      </w:r>
    </w:p>
    <w:bookmarkEnd w:id="252"/>
    <w:bookmarkStart w:id="256" w:name="classe-personreference"/>
    <w:p>
      <w:pPr>
        <w:pStyle w:val="berschrift2"/>
      </w:pPr>
      <w:r>
        <w:t xml:space="preserve">Classe: PersonReference</w:t>
      </w:r>
    </w:p>
    <w:p>
      <w:pPr>
        <w:pStyle w:val="FirstParagraph"/>
      </w:pPr>
      <w:r>
        <w:rPr>
          <w:i/>
          <w:iCs/>
        </w:rPr>
        <w:t xml:space="preserve">Référence légère à une personne avec les principales données d’identification au moment de la liaison. Préserve l’exactitude historique même si la personne change ultérieurement. La personne référencée est désignée par</w:t>
      </w:r>
      <w:r>
        <w:rPr>
          <w:i/>
          <w:iCs/>
        </w:rPr>
        <w:t xml:space="preserve"> </w:t>
      </w:r>
      <w:r>
        <w:rPr>
          <w:rStyle w:val="VerbatimChar"/>
          <w:i/>
          <w:iCs/>
        </w:rPr>
        <w:t xml:space="preserve">local_id</w:t>
      </w:r>
      <w:r>
        <w:rPr>
          <w:i/>
          <w:iCs/>
        </w:rPr>
        <w:t xml:space="preserve"> </w:t>
      </w:r>
      <w:r>
        <w:rPr>
          <w:i/>
          <w:iCs/>
        </w:rPr>
        <w:t xml:space="preserve">ou</w:t>
      </w:r>
      <w:r>
        <w:rPr>
          <w:i/>
          <w:iCs/>
        </w:rPr>
        <w:t xml:space="preserve"> </w:t>
      </w:r>
      <w:r>
        <w:rPr>
          <w:rStyle w:val="VerbatimChar"/>
          <w:i/>
          <w:iCs/>
        </w:rPr>
        <w:t xml:space="preserve">global_uri</w:t>
      </w:r>
      <w:r>
        <w:rPr>
          <w:i/>
          <w:iCs/>
        </w:rPr>
        <w:t xml:space="preserve"> </w:t>
      </w:r>
      <w:r>
        <w:rPr>
          <w:i/>
          <w:iCs/>
        </w:rPr>
        <w:t xml:space="preserve">; au moins l’un des deux est requis.</w:t>
      </w:r>
    </w:p>
    <w:bookmarkStart w:id="254" w:name="attributs-13"/>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d’affichage court obligatoire permettant d’identifier la personne au sein de l’organisation (par ex. avec l’ajout de l’année de naissance afin de distinguer les personnes portant le même nom).</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Nom d’affichage long facultatif comprenant les titres académiques et le nom officiel complet (par ex. « Dr. Maria Muster-Beispiel »).</w:t>
            </w:r>
          </w:p>
        </w:tc>
      </w:tr>
      <w:tr>
        <w:tc>
          <w:tcPr>
            <w:shd w:val="clear" w:color="auto" w:fill="F2F2F2"/>
          </w:tcPr>
          <w:p>
            <w:pPr>
              <w:pStyle w:val="Compact"/>
            </w:pPr>
            <w:r>
              <w:t xml:space="preserve">group_label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de l’organe/du groupe au moment de la liaison.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de l’entité référencée. Il est résolu au sein de la même livraison.</w:t>
            </w:r>
            <w:r>
              <w:t xml:space="preserve"> </w:t>
            </w:r>
            <w:r>
              <w:t xml:space="preserve">Héritage :</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L’URI unique et globalement valide de l’entité référencée. Contrairement à un local_id, elle est également résoluble au-delà de la livraison.</w:t>
            </w:r>
            <w:r>
              <w:t xml:space="preserve"> </w:t>
            </w:r>
            <w:r>
              <w:t xml:space="preserve">Héritage :</w:t>
            </w:r>
            <w:r>
              <w:t xml:space="preserve"> </w:t>
            </w:r>
            <w:hyperlink w:anchor="HasReferenceIdentification">
              <w:r>
                <w:rPr>
                  <w:rStyle w:val="Hyperlink"/>
                </w:rPr>
                <w:t xml:space="preserve">HasReferenceIdentification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 ex. http://www.wikidata.org/entity/Q813067 pour Beat Jans.</w:t>
            </w:r>
            <w:r>
              <w:t xml:space="preserve"> </w:t>
            </w:r>
            <w:r>
              <w:t xml:space="preserve">Héritage :</w:t>
            </w:r>
            <w:r>
              <w:t xml:space="preserve"> </w:t>
            </w:r>
            <w:hyperlink w:anchor="HasReferenceIdentification">
              <w:r>
                <w:rPr>
                  <w:rStyle w:val="Hyperlink"/>
                </w:rPr>
                <w:t xml:space="preserve">HasReferenceIdentification</w:t>
              </w:r>
            </w:hyperlink>
          </w:p>
        </w:tc>
      </w:tr>
    </w:tbl>
    <w:bookmarkStart w:id="253" w:name="contraintes-4"/>
    <w:p>
      <w:pPr>
        <w:pStyle w:val="berschrift5"/>
      </w:pPr>
      <w:r>
        <w:t xml:space="preserve">Contraintes</w:t>
      </w:r>
    </w:p>
    <w:p>
      <w:pPr>
        <w:pStyle w:val="FirstParagraph"/>
      </w:pPr>
      <w:r>
        <w:t xml:space="preserve">Au moins l’un des champs suivants doit être renseigné :</w:t>
      </w:r>
    </w:p>
    <w:p>
      <w:pPr>
        <w:pStyle w:val="Compact"/>
        <w:numPr>
          <w:ilvl w:val="0"/>
          <w:numId w:val="1015"/>
        </w:numPr>
      </w:pPr>
      <w:hyperlink w:anchor="local_id">
        <w:r>
          <w:rPr>
            <w:rStyle w:val="Hyperlink"/>
          </w:rPr>
          <w:t xml:space="preserve">local_id</w:t>
        </w:r>
      </w:hyperlink>
    </w:p>
    <w:p>
      <w:pPr>
        <w:pStyle w:val="Compact"/>
        <w:numPr>
          <w:ilvl w:val="0"/>
          <w:numId w:val="1015"/>
        </w:numPr>
      </w:pPr>
      <w:hyperlink w:anchor="global_uri">
        <w:r>
          <w:rPr>
            <w:rStyle w:val="Hyperlink"/>
          </w:rPr>
          <w:t xml:space="preserve">global_uri</w:t>
        </w:r>
      </w:hyperlink>
    </w:p>
    <w:bookmarkEnd w:id="253"/>
    <w:bookmarkEnd w:id="254"/>
    <w:bookmarkStart w:id="255" w:name="utilisations-13"/>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55"/>
    <w:bookmarkEnd w:id="256"/>
    <w:bookmarkStart w:id="260" w:name="classe-groupreference"/>
    <w:p>
      <w:pPr>
        <w:pStyle w:val="berschrift2"/>
      </w:pPr>
      <w:r>
        <w:t xml:space="preserve">Classe: GroupReference</w:t>
      </w:r>
    </w:p>
    <w:p>
      <w:pPr>
        <w:pStyle w:val="FirstParagraph"/>
      </w:pPr>
      <w:r>
        <w:rPr>
          <w:i/>
          <w:iCs/>
        </w:rPr>
        <w:t xml:space="preserve">Référence légère à un groupe avec les principales données d’identification au moment de la liaison. Le groupe référencé est désigné par</w:t>
      </w:r>
      <w:r>
        <w:rPr>
          <w:i/>
          <w:iCs/>
        </w:rPr>
        <w:t xml:space="preserve"> </w:t>
      </w:r>
      <w:r>
        <w:rPr>
          <w:rStyle w:val="VerbatimChar"/>
          <w:i/>
          <w:iCs/>
        </w:rPr>
        <w:t xml:space="preserve">local_id</w:t>
      </w:r>
      <w:r>
        <w:rPr>
          <w:i/>
          <w:iCs/>
        </w:rPr>
        <w:t xml:space="preserve"> </w:t>
      </w:r>
      <w:r>
        <w:rPr>
          <w:i/>
          <w:iCs/>
        </w:rPr>
        <w:t xml:space="preserve">ou</w:t>
      </w:r>
      <w:r>
        <w:rPr>
          <w:i/>
          <w:iCs/>
        </w:rPr>
        <w:t xml:space="preserve"> </w:t>
      </w:r>
      <w:r>
        <w:rPr>
          <w:rStyle w:val="VerbatimChar"/>
          <w:i/>
          <w:iCs/>
        </w:rPr>
        <w:t xml:space="preserve">global_uri</w:t>
      </w:r>
      <w:r>
        <w:rPr>
          <w:i/>
          <w:iCs/>
        </w:rPr>
        <w:t xml:space="preserve"> </w:t>
      </w:r>
      <w:r>
        <w:rPr>
          <w:i/>
          <w:iCs/>
        </w:rPr>
        <w:t xml:space="preserve">; au moins l’un des deux est requis. Un</w:t>
      </w:r>
      <w:r>
        <w:rPr>
          <w:i/>
          <w:iCs/>
        </w:rPr>
        <w:t xml:space="preserve"> </w:t>
      </w:r>
      <w:r>
        <w:rPr>
          <w:rStyle w:val="VerbatimChar"/>
          <w:i/>
          <w:iCs/>
        </w:rPr>
        <w:t xml:space="preserve">local_id</w:t>
      </w:r>
      <w:r>
        <w:rPr>
          <w:i/>
          <w:iCs/>
        </w:rPr>
        <w:t xml:space="preserve"> </w:t>
      </w:r>
      <w:r>
        <w:rPr>
          <w:i/>
          <w:iCs/>
        </w:rPr>
        <w:t xml:space="preserve">est résolu au sein de la même livraison, un</w:t>
      </w:r>
      <w:r>
        <w:rPr>
          <w:i/>
          <w:iCs/>
        </w:rPr>
        <w:t xml:space="preserve"> </w:t>
      </w:r>
      <w:r>
        <w:rPr>
          <w:rStyle w:val="VerbatimChar"/>
          <w:i/>
          <w:iCs/>
        </w:rPr>
        <w:t xml:space="preserve">global_uri</w:t>
      </w:r>
      <w:r>
        <w:rPr>
          <w:i/>
          <w:iCs/>
        </w:rPr>
        <w:t xml:space="preserve"> </w:t>
      </w:r>
      <w:r>
        <w:rPr>
          <w:i/>
          <w:iCs/>
        </w:rPr>
        <w:t xml:space="preserve">également au-delà.</w:t>
      </w:r>
    </w:p>
    <w:bookmarkStart w:id="258" w:name="attributs-14"/>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Abréviation (peut être multilingue).</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de l’entité référencée. Il est résolu au sein de la même livraison.</w:t>
            </w:r>
            <w:r>
              <w:t xml:space="preserve"> </w:t>
            </w:r>
            <w:r>
              <w:t xml:space="preserve">Héritage :</w:t>
            </w:r>
            <w:r>
              <w:t xml:space="preserve"> </w:t>
            </w:r>
            <w:hyperlink w:anchor="HasReferenceIdentification">
              <w:r>
                <w:rPr>
                  <w:rStyle w:val="Hyperlink"/>
                </w:rPr>
                <w:t xml:space="preserve">HasReferenceIdentification</w:t>
              </w:r>
            </w:hyperlink>
          </w:p>
        </w:tc>
      </w:tr>
      <w:tr>
        <w:tc>
          <w:tcPr/>
          <w:p>
            <w:pPr>
              <w:pStyle w:val="Compact"/>
            </w:pPr>
            <w:r>
              <w:t xml:space="preserve">global_uri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L’URI unique et globalement valide de l’entité référencée. Contrairement à un local_id, elle est également résoluble au-delà de la livraison.</w:t>
            </w:r>
            <w:r>
              <w:t xml:space="preserve"> </w:t>
            </w:r>
            <w:r>
              <w:t xml:space="preserve">Héritage :</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 ex. http://www.wikidata.org/entity/Q813067 pour Beat Jans.</w:t>
            </w:r>
            <w:r>
              <w:t xml:space="preserve"> </w:t>
            </w:r>
            <w:r>
              <w:t xml:space="preserve">Héritage :</w:t>
            </w:r>
            <w:r>
              <w:t xml:space="preserve"> </w:t>
            </w:r>
            <w:hyperlink w:anchor="HasReferenceIdentification">
              <w:r>
                <w:rPr>
                  <w:rStyle w:val="Hyperlink"/>
                </w:rPr>
                <w:t xml:space="preserve">HasReferenceIdentification</w:t>
              </w:r>
            </w:hyperlink>
          </w:p>
        </w:tc>
      </w:tr>
    </w:tbl>
    <w:bookmarkStart w:id="257" w:name="contraintes-5"/>
    <w:p>
      <w:pPr>
        <w:pStyle w:val="berschrift5"/>
      </w:pPr>
      <w:r>
        <w:t xml:space="preserve">Contraintes</w:t>
      </w:r>
    </w:p>
    <w:p>
      <w:pPr>
        <w:pStyle w:val="FirstParagraph"/>
      </w:pPr>
      <w:r>
        <w:t xml:space="preserve">Au moins l’un des champs suivants doit être renseigné :</w:t>
      </w:r>
    </w:p>
    <w:p>
      <w:pPr>
        <w:pStyle w:val="Compact"/>
        <w:numPr>
          <w:ilvl w:val="0"/>
          <w:numId w:val="1016"/>
        </w:numPr>
      </w:pPr>
      <w:hyperlink w:anchor="local_id">
        <w:r>
          <w:rPr>
            <w:rStyle w:val="Hyperlink"/>
          </w:rPr>
          <w:t xml:space="preserve">local_id</w:t>
        </w:r>
      </w:hyperlink>
    </w:p>
    <w:p>
      <w:pPr>
        <w:pStyle w:val="Compact"/>
        <w:numPr>
          <w:ilvl w:val="0"/>
          <w:numId w:val="1016"/>
        </w:numPr>
      </w:pPr>
      <w:hyperlink w:anchor="global_uri">
        <w:r>
          <w:rPr>
            <w:rStyle w:val="Hyperlink"/>
          </w:rPr>
          <w:t xml:space="preserve">global_uri</w:t>
        </w:r>
      </w:hyperlink>
    </w:p>
    <w:bookmarkEnd w:id="257"/>
    <w:bookmarkEnd w:id="258"/>
    <w:bookmarkStart w:id="259" w:name="utilisations-14"/>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parent_groups">
              <w:r>
                <w:rPr>
                  <w:rStyle w:val="Hyperlink"/>
                </w:rPr>
                <w:t xml:space="preserve">parent_groups</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Membership">
              <w:r>
                <w:rPr>
                  <w:rStyle w:val="Hyperlink"/>
                </w:rPr>
                <w:t xml:space="preserve">Membership</w:t>
              </w:r>
            </w:hyperlink>
          </w:p>
        </w:tc>
        <w:tc>
          <w:tcPr/>
          <w:p>
            <w:pPr>
              <w:pStyle w:val="Compact"/>
            </w:pPr>
            <w:hyperlink w:anchor="group_reference">
              <w:r>
                <w:rPr>
                  <w:rStyle w:val="Hyperlink"/>
                </w:rPr>
                <w:t xml:space="preserve">group_reference</w:t>
              </w:r>
            </w:hyperlink>
          </w:p>
        </w:tc>
        <w:tc>
          <w:tcPr/>
          <w:p>
            <w:pPr>
              <w:pStyle w:val="Compact"/>
            </w:pPr>
            <w:r>
              <w:t xml:space="preserve">range</w:t>
            </w:r>
          </w:p>
        </w:tc>
        <w:tc>
          <w:tcPr/>
          <w:p>
            <w:pPr>
              <w:pStyle w:val="Compact"/>
            </w:pPr>
            <w:hyperlink w:anchor="GroupReference">
              <w:r>
                <w:rPr>
                  <w:rStyle w:val="Hyperlink"/>
                </w:rPr>
                <w:t xml:space="preserve">GroupReference</w:t>
              </w:r>
            </w:hyperlink>
          </w:p>
        </w:tc>
      </w:tr>
    </w:tbl>
    <w:bookmarkEnd w:id="259"/>
    <w:bookmarkEnd w:id="260"/>
    <w:bookmarkStart w:id="261" w:name="classes-utilisées-à-plusieurs-reprises"/>
    <w:p>
      <w:pPr>
        <w:pStyle w:val="berschrift2"/>
      </w:pPr>
      <w:r>
        <w:t xml:space="preserve">Classes utilisées à plusieurs reprises</w:t>
      </w:r>
    </w:p>
    <w:bookmarkEnd w:id="261"/>
    <w:bookmarkStart w:id="268" w:name="classe-address"/>
    <w:p>
      <w:pPr>
        <w:pStyle w:val="berschrift2"/>
      </w:pPr>
      <w:r>
        <w:t xml:space="preserve">Classe: Address</w:t>
      </w:r>
    </w:p>
    <w:p>
      <w:pPr>
        <w:pStyle w:val="FirstParagraph"/>
      </w:pPr>
      <w:r>
        <w:rPr>
          <w:i/>
          <w:iCs/>
        </w:rPr>
        <w:t xml:space="preserve">Une adresse avec un type (p. ex. adresse privée, adresse professionnelle) et une valeur.</w:t>
      </w:r>
    </w:p>
    <w:bookmarkStart w:id="263" w:name="attributs-15"/>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Type d’adresse.</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de l’adresse issue du répertoire fédéral des adresses de bâtiments. La couche est accessible à l’adresse https://map.geo.admin.ch/#/map?topic=ech&amp;layers=ch.swisstopo.amtliches-gebaeudeadressverzeichnis. Exemple d’URI valide : https://geo.ld.admin.ch/location/address/101904050</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Adresse (rue).</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Code postal.</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Localité.</w:t>
            </w:r>
          </w:p>
        </w:tc>
      </w:tr>
      <w:tr>
        <w:tc>
          <w:tcPr/>
          <w:p>
            <w:pPr>
              <w:pStyle w:val="Compact"/>
            </w:pPr>
            <w:r>
              <w:t xml:space="preserve">country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de pays ISO 3166-1 alpha-2.</w:t>
            </w:r>
          </w:p>
        </w:tc>
      </w:tr>
    </w:tbl>
    <w:bookmarkStart w:id="262" w:name="contraintes-6"/>
    <w:p>
      <w:pPr>
        <w:pStyle w:val="berschrift5"/>
      </w:pPr>
      <w:r>
        <w:t xml:space="preserve">Contraintes</w:t>
      </w:r>
    </w:p>
    <w:p>
      <w:pPr>
        <w:pStyle w:val="FirstParagraph"/>
      </w:pPr>
      <w:r>
        <w:t xml:space="preserve">Au moins l’un des champs suivants doit être renseigné :</w:t>
      </w:r>
    </w:p>
    <w:p>
      <w:pPr>
        <w:pStyle w:val="Compact"/>
        <w:numPr>
          <w:ilvl w:val="0"/>
          <w:numId w:val="1017"/>
        </w:numPr>
      </w:pPr>
      <w:hyperlink w:anchor="postal_locality">
        <w:r>
          <w:rPr>
            <w:rStyle w:val="Hyperlink"/>
          </w:rPr>
          <w:t xml:space="preserve">postal_locality</w:t>
        </w:r>
      </w:hyperlink>
    </w:p>
    <w:p>
      <w:pPr>
        <w:pStyle w:val="Compact"/>
        <w:numPr>
          <w:ilvl w:val="0"/>
          <w:numId w:val="1017"/>
        </w:numPr>
      </w:pPr>
      <w:hyperlink w:anchor="address_uri">
        <w:r>
          <w:rPr>
            <w:rStyle w:val="Hyperlink"/>
          </w:rPr>
          <w:t xml:space="preserve">address_uri</w:t>
        </w:r>
      </w:hyperlink>
    </w:p>
    <w:bookmarkEnd w:id="262"/>
    <w:bookmarkEnd w:id="263"/>
    <w:bookmarkStart w:id="264" w:name="utilisations-15"/>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64"/>
    <w:bookmarkStart w:id="267" w:name="exemples-4"/>
    <w:p>
      <w:pPr>
        <w:pStyle w:val="berschrift3"/>
      </w:pPr>
      <w:r>
        <w:t xml:space="preserve">Exemples</w:t>
      </w:r>
    </w:p>
    <w:bookmarkStart w:id="265" w:name="exemple-swiss-politicians-beat-jans-1"/>
    <w:p>
      <w:pPr>
        <w:pStyle w:val="berschrift4"/>
      </w:pPr>
      <w:r>
        <w:t xml:space="preserve">Exemple : swiss politicians Beat Jans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65"/>
    <w:bookmarkStart w:id="266" w:name="X1eeabce250e671180e478f6e90bf3cba87d0015"/>
    <w:p>
      <w:pPr>
        <w:pStyle w:val="berschrift4"/>
      </w:pPr>
      <w:r>
        <w:t xml:space="preserve">Exemple : groups Konsumenteninformation und -schutz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address_uri</w:t>
      </w:r>
      <w:r>
        <w:rPr>
          <w:rStyle w:val="KeywordTok"/>
        </w:rPr>
        <w:t xml:space="preserve">:</w:t>
      </w:r>
      <w:r>
        <w:rPr>
          <w:rStyle w:val="AttributeTok"/>
        </w:rPr>
        <w:t xml:space="preserve"> https://geo.ld.admin.ch/location/address/101009806</w:t>
      </w:r>
      <w:r>
        <w:br/>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FunctionTok"/>
        </w:rPr>
        <w:t xml:space="preserve">postal_locality</w:t>
      </w:r>
      <w:r>
        <w:rPr>
          <w:rStyle w:val="KeywordTok"/>
        </w:rPr>
        <w:t xml:space="preserve">:</w:t>
      </w:r>
      <w:r>
        <w:rPr>
          <w:rStyle w:val="AttributeTok"/>
        </w:rPr>
        <w:t xml:space="preserve"> Lausanne</w:t>
      </w:r>
      <w:r>
        <w:br/>
      </w:r>
      <w:r>
        <w:rPr>
          <w:rStyle w:val="FunctionTok"/>
        </w:rPr>
        <w:t xml:space="preserve">country</w:t>
      </w:r>
      <w:r>
        <w:rPr>
          <w:rStyle w:val="KeywordTok"/>
        </w:rPr>
        <w:t xml:space="preserve">:</w:t>
      </w:r>
      <w:r>
        <w:rPr>
          <w:rStyle w:val="AttributeTok"/>
        </w:rPr>
        <w:t xml:space="preserve"> CH</w:t>
      </w:r>
    </w:p>
    <w:bookmarkEnd w:id="266"/>
    <w:bookmarkEnd w:id="267"/>
    <w:bookmarkEnd w:id="268"/>
    <w:bookmarkStart w:id="271" w:name="enum-addresstypeenum"/>
    <w:p>
      <w:pPr>
        <w:pStyle w:val="berschrift2"/>
      </w:pPr>
      <w:r>
        <w:t xml:space="preserve">Enum: AddressTypeEnum</w:t>
      </w:r>
    </w:p>
    <w:p>
      <w:pPr>
        <w:pStyle w:val="FirstParagraph"/>
      </w:pPr>
      <w:r>
        <w:rPr>
          <w:i/>
          <w:iCs/>
        </w:rPr>
        <w:t xml:space="preserve">Types d’adresses.</w:t>
      </w:r>
    </w:p>
    <w:p>
      <w:pPr>
        <w:pStyle w:val="Textkrper"/>
      </w:pPr>
      <w:r>
        <w:t xml:space="preserve">URI:</w:t>
      </w:r>
      <w:r>
        <w:t xml:space="preserve"> </w:t>
      </w:r>
      <w:hyperlink ns1:id="rId269">
        <w:r>
          <w:rPr>
            <w:rStyle w:val="Hyperlink"/>
          </w:rPr>
          <w:t xml:space="preserve">act:AddressTypeEnum</w:t>
        </w:r>
      </w:hyperlink>
    </w:p>
    <w:bookmarkStart w:id="270" w:name="valeurs-admissibles-7"/>
    <w:p>
      <w:pPr>
        <w:pStyle w:val="berschrift3"/>
      </w:pPr>
      <w:r>
        <w:t xml:space="preserve">Valeurs admissibles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privateAddress</w:t>
            </w:r>
          </w:p>
        </w:tc>
        <w:tc>
          <w:tcPr>
            <w:shd w:val="clear" w:color="auto" w:fill="F2F2F2"/>
          </w:tcPr>
          <w:p>
            <w:pPr>
              <w:pStyle w:val="Compact"/>
            </w:pPr>
            <w:r>
              <w:t xml:space="preserve">Adresse privée.</w:t>
            </w:r>
          </w:p>
        </w:tc>
      </w:tr>
      <w:tr>
        <w:tc>
          <w:tcPr/>
          <w:p>
            <w:pPr>
              <w:pStyle w:val="Compact"/>
            </w:pPr>
            <w:r>
              <w:t xml:space="preserve">businessAddress</w:t>
            </w:r>
          </w:p>
        </w:tc>
        <w:tc>
          <w:tcPr/>
          <w:p>
            <w:pPr>
              <w:pStyle w:val="Compact"/>
            </w:pPr>
            <w:r>
              <w:t xml:space="preserve">Adresse professionnelle.</w:t>
            </w:r>
          </w:p>
        </w:tc>
      </w:tr>
      <w:tr>
        <w:tc>
          <w:tcPr>
            <w:shd w:val="clear" w:color="auto" w:fill="F2F2F2"/>
          </w:tcPr>
          <w:p>
            <w:pPr>
              <w:pStyle w:val="Compact"/>
            </w:pPr>
            <w:r>
              <w:t xml:space="preserve">localAddress</w:t>
            </w:r>
          </w:p>
        </w:tc>
        <w:tc>
          <w:tcPr>
            <w:shd w:val="clear" w:color="auto" w:fill="F2F2F2"/>
          </w:tcPr>
          <w:p>
            <w:pPr>
              <w:pStyle w:val="Compact"/>
            </w:pPr>
            <w:r>
              <w:t xml:space="preserve">Adresse locale.</w:t>
            </w:r>
          </w:p>
        </w:tc>
      </w:tr>
    </w:tbl>
    <w:bookmarkEnd w:id="270"/>
    <w:bookmarkEnd w:id="271"/>
    <w:bookmarkStart w:id="274" w:name="classe-contact"/>
    <w:p>
      <w:pPr>
        <w:pStyle w:val="berschrift2"/>
      </w:pPr>
      <w:r>
        <w:t xml:space="preserve">Classe: Contact</w:t>
      </w:r>
    </w:p>
    <w:p>
      <w:pPr>
        <w:pStyle w:val="FirstParagraph"/>
      </w:pPr>
      <w:r>
        <w:rPr>
          <w:i/>
          <w:iCs/>
        </w:rPr>
        <w:t xml:space="preserve">Informations de contact d’une personne indiquant un type (p. ex. e-mail, LinkedIn) et une valeur.</w:t>
      </w:r>
    </w:p>
    <w:bookmarkStart w:id="272" w:name="attributs-16"/>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Type d’informations de contact.</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La valeur proprement dite d’une information, en plus d’autres attributs tels que le type, la langue, etc.</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bl>
    <w:bookmarkEnd w:id="272"/>
    <w:bookmarkStart w:id="273" w:name="utilisations-16"/>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73"/>
    <w:bookmarkEnd w:id="274"/>
    <w:bookmarkEnd w:id="275"/>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Acteurs politiques : personnes, groupes et organes / 1.0.0 / Proposition / 2026-07-22</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sur</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fr"/>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fr"/>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fr"/>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16"/>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9" Target="act:enum/group_type/assembly" TargetMode="External" /><Relationship Type="http://schemas.openxmlformats.org/officeDocument/2006/relationships/hyperlink" Id="rId165" Target="act:enum/group_type/association" TargetMode="External" /><Relationship Type="http://schemas.openxmlformats.org/officeDocument/2006/relationships/hyperlink" Id="rId152" Target="act:enum/group_type/committee" TargetMode="External" /><Relationship Type="http://schemas.openxmlformats.org/officeDocument/2006/relationships/hyperlink" Id="rId153" Target="act:enum/group_type/committee_ad_hoc" TargetMode="External" /><Relationship Type="http://schemas.openxmlformats.org/officeDocument/2006/relationships/hyperlink" Id="rId160" Target="act:enum/group_type/committee_extraparliamentary" TargetMode="External" /><Relationship Type="http://schemas.openxmlformats.org/officeDocument/2006/relationships/hyperlink" Id="rId162" Target="act:enum/group_type/control_body" TargetMode="External" /><Relationship Type="http://schemas.openxmlformats.org/officeDocument/2006/relationships/hyperlink" Id="rId155" Target="act:enum/group_type/council_bureau" TargetMode="External" /><Relationship Type="http://schemas.openxmlformats.org/officeDocument/2006/relationships/hyperlink" Id="rId157" Target="act:enum/group_type/council_executive" TargetMode="External" /><Relationship Type="http://schemas.openxmlformats.org/officeDocument/2006/relationships/hyperlink" Id="rId150" Target="act:enum/group_type/council_legislative" TargetMode="External" /><Relationship Type="http://schemas.openxmlformats.org/officeDocument/2006/relationships/hyperlink" Id="rId156" Target="act:enum/group_type/council_presidency" TargetMode="External" /><Relationship Type="http://schemas.openxmlformats.org/officeDocument/2006/relationships/hyperlink" Id="rId163" Target="act:enum/group_type/council_secretariat" TargetMode="External" /><Relationship Type="http://schemas.openxmlformats.org/officeDocument/2006/relationships/hyperlink" Id="rId164" Target="act:enum/group_type/court" TargetMode="External" /><Relationship Type="http://schemas.openxmlformats.org/officeDocument/2006/relationships/hyperlink" Id="rId151" Target="act:enum/group_type/delegation" TargetMode="External" /><Relationship Type="http://schemas.openxmlformats.org/officeDocument/2006/relationships/hyperlink" Id="rId158" Target="act:enum/group_type/department" TargetMode="External" /><Relationship Type="http://schemas.openxmlformats.org/officeDocument/2006/relationships/hyperlink" Id="rId161" Target="act:enum/group_type/interest_group" TargetMode="External" /><Relationship Type="http://schemas.openxmlformats.org/officeDocument/2006/relationships/hyperlink" Id="rId147" Target="act:enum/group_type/list" TargetMode="External" /><Relationship Type="http://schemas.openxmlformats.org/officeDocument/2006/relationships/hyperlink" Id="rId159" Target="act:enum/group_type/office" TargetMode="External" /><Relationship Type="http://schemas.openxmlformats.org/officeDocument/2006/relationships/hyperlink" Id="rId168" Target="act:enum/group_type/other" TargetMode="External" /><Relationship Type="http://schemas.openxmlformats.org/officeDocument/2006/relationships/hyperlink" Id="rId154" Target="act:enum/group_type/parliamentary_group" TargetMode="External" /><Relationship Type="http://schemas.openxmlformats.org/officeDocument/2006/relationships/hyperlink" Id="rId146" Target="act:enum/group_type/party" TargetMode="External" /><Relationship Type="http://schemas.openxmlformats.org/officeDocument/2006/relationships/hyperlink" Id="rId166" Target="act:enum/group_type/petition_carrier" TargetMode="External" /><Relationship Type="http://schemas.openxmlformats.org/officeDocument/2006/relationships/hyperlink" Id="rId167" Target="act:enum/group_type/university" TargetMode="External" /><Relationship Type="http://schemas.openxmlformats.org/officeDocument/2006/relationships/hyperlink" Id="rId148" Target="act:enum/group_type/workgroup" TargetMode="External" /><Relationship Type="http://schemas.openxmlformats.org/officeDocument/2006/relationships/hyperlink" Id="rId207" Target="act:enum/interest_type/association" TargetMode="External" /><Relationship Type="http://schemas.openxmlformats.org/officeDocument/2006/relationships/hyperlink" Id="rId206" Target="act:enum/interest_type/political_office" TargetMode="External" /><Relationship Type="http://schemas.openxmlformats.org/officeDocument/2006/relationships/hyperlink" Id="rId205"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69"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5" Target="https://ld.ech.ch/schema/0294/actors/GroupTypeEnum" TargetMode="External" /><Relationship Type="http://schemas.openxmlformats.org/officeDocument/2006/relationships/hyperlink" Id="rId204" Target="https://ld.ech.ch/schema/0294/actors/InterestTypeEnum" TargetMode="External" /><Relationship Type="http://schemas.openxmlformats.org/officeDocument/2006/relationships/hyperlink" Id="rId21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0"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1" Target="https://register.ld.admin.ch/i14y/concept/legalForm/0101" TargetMode="External" /><Relationship Type="http://schemas.openxmlformats.org/officeDocument/2006/relationships/hyperlink" Id="rId212" Target="https://register.ld.admin.ch/i14y/concept/legalForm/0103" TargetMode="External" /><Relationship Type="http://schemas.openxmlformats.org/officeDocument/2006/relationships/hyperlink" Id="rId213" Target="https://register.ld.admin.ch/i14y/concept/legalForm/0104" TargetMode="External" /><Relationship Type="http://schemas.openxmlformats.org/officeDocument/2006/relationships/hyperlink" Id="rId214" Target="https://register.ld.admin.ch/i14y/concept/legalForm/0105" TargetMode="External" /><Relationship Type="http://schemas.openxmlformats.org/officeDocument/2006/relationships/hyperlink" Id="rId215" Target="https://register.ld.admin.ch/i14y/concept/legalForm/0106" TargetMode="External" /><Relationship Type="http://schemas.openxmlformats.org/officeDocument/2006/relationships/hyperlink" Id="rId216" Target="https://register.ld.admin.ch/i14y/concept/legalForm/0107" TargetMode="External" /><Relationship Type="http://schemas.openxmlformats.org/officeDocument/2006/relationships/hyperlink" Id="rId217" Target="https://register.ld.admin.ch/i14y/concept/legalForm/0108" TargetMode="External" /><Relationship Type="http://schemas.openxmlformats.org/officeDocument/2006/relationships/hyperlink" Id="rId218" Target="https://register.ld.admin.ch/i14y/concept/legalForm/0109" TargetMode="External" /><Relationship Type="http://schemas.openxmlformats.org/officeDocument/2006/relationships/hyperlink" Id="rId219" Target="https://register.ld.admin.ch/i14y/concept/legalForm/0110" TargetMode="External" /><Relationship Type="http://schemas.openxmlformats.org/officeDocument/2006/relationships/hyperlink" Id="rId220" Target="https://register.ld.admin.ch/i14y/concept/legalForm/0111" TargetMode="External" /><Relationship Type="http://schemas.openxmlformats.org/officeDocument/2006/relationships/hyperlink" Id="rId221" Target="https://register.ld.admin.ch/i14y/concept/legalForm/0113" TargetMode="External" /><Relationship Type="http://schemas.openxmlformats.org/officeDocument/2006/relationships/hyperlink" Id="rId222" Target="https://register.ld.admin.ch/i14y/concept/legalForm/0114" TargetMode="External" /><Relationship Type="http://schemas.openxmlformats.org/officeDocument/2006/relationships/hyperlink" Id="rId223" Target="https://register.ld.admin.ch/i14y/concept/legalForm/0115" TargetMode="External" /><Relationship Type="http://schemas.openxmlformats.org/officeDocument/2006/relationships/hyperlink" Id="rId224" Target="https://register.ld.admin.ch/i14y/concept/legalForm/0116" TargetMode="External" /><Relationship Type="http://schemas.openxmlformats.org/officeDocument/2006/relationships/hyperlink" Id="rId225" Target="https://register.ld.admin.ch/i14y/concept/legalForm/0117" TargetMode="External" /><Relationship Type="http://schemas.openxmlformats.org/officeDocument/2006/relationships/hyperlink" Id="rId226" Target="https://register.ld.admin.ch/i14y/concept/legalForm/0118" TargetMode="External" /><Relationship Type="http://schemas.openxmlformats.org/officeDocument/2006/relationships/hyperlink" Id="rId227" Target="https://register.ld.admin.ch/i14y/concept/legalForm/0119" TargetMode="External" /><Relationship Type="http://schemas.openxmlformats.org/officeDocument/2006/relationships/hyperlink" Id="rId228" Target="https://register.ld.admin.ch/i14y/concept/legalForm/0151" TargetMode="External" /><Relationship Type="http://schemas.openxmlformats.org/officeDocument/2006/relationships/hyperlink" Id="rId229" Target="https://register.ld.admin.ch/i14y/concept/legalForm/0220" TargetMode="External" /><Relationship Type="http://schemas.openxmlformats.org/officeDocument/2006/relationships/hyperlink" Id="rId230" Target="https://register.ld.admin.ch/i14y/concept/legalForm/0221" TargetMode="External" /><Relationship Type="http://schemas.openxmlformats.org/officeDocument/2006/relationships/hyperlink" Id="rId231" Target="https://register.ld.admin.ch/i14y/concept/legalForm/0222" TargetMode="External" /><Relationship Type="http://schemas.openxmlformats.org/officeDocument/2006/relationships/hyperlink" Id="rId232" Target="https://register.ld.admin.ch/i14y/concept/legalForm/0223" TargetMode="External" /><Relationship Type="http://schemas.openxmlformats.org/officeDocument/2006/relationships/hyperlink" Id="rId233" Target="https://register.ld.admin.ch/i14y/concept/legalForm/0224" TargetMode="External" /><Relationship Type="http://schemas.openxmlformats.org/officeDocument/2006/relationships/hyperlink" Id="rId234" Target="https://register.ld.admin.ch/i14y/concept/legalForm/0230" TargetMode="External" /><Relationship Type="http://schemas.openxmlformats.org/officeDocument/2006/relationships/hyperlink" Id="rId235" Target="https://register.ld.admin.ch/i14y/concept/legalForm/0231" TargetMode="External" /><Relationship Type="http://schemas.openxmlformats.org/officeDocument/2006/relationships/hyperlink" Id="rId236" Target="https://register.ld.admin.ch/i14y/concept/legalForm/0232" TargetMode="External" /><Relationship Type="http://schemas.openxmlformats.org/officeDocument/2006/relationships/hyperlink" Id="rId237" Target="https://register.ld.admin.ch/i14y/concept/legalForm/0233" TargetMode="External" /><Relationship Type="http://schemas.openxmlformats.org/officeDocument/2006/relationships/hyperlink" Id="rId238" Target="https://register.ld.admin.ch/i14y/concept/legalForm/0234" TargetMode="External" /><Relationship Type="http://schemas.openxmlformats.org/officeDocument/2006/relationships/hyperlink" Id="rId239" Target="https://register.ld.admin.ch/i14y/concept/legalForm/0302" TargetMode="External" /><Relationship Type="http://schemas.openxmlformats.org/officeDocument/2006/relationships/hyperlink" Id="rId240" Target="https://register.ld.admin.ch/i14y/concept/legalForm/0312" TargetMode="External" /><Relationship Type="http://schemas.openxmlformats.org/officeDocument/2006/relationships/hyperlink" Id="rId241" Target="https://register.ld.admin.ch/i14y/concept/legalForm/0327" TargetMode="External" /><Relationship Type="http://schemas.openxmlformats.org/officeDocument/2006/relationships/hyperlink" Id="rId242" Target="https://register.ld.admin.ch/i14y/concept/legalForm/0328" TargetMode="External" /><Relationship Type="http://schemas.openxmlformats.org/officeDocument/2006/relationships/hyperlink" Id="rId243" Target="https://register.ld.admin.ch/i14y/concept/legalForm/0329" TargetMode="External" /><Relationship Type="http://schemas.openxmlformats.org/officeDocument/2006/relationships/hyperlink" Id="rId244" Target="https://register.ld.admin.ch/i14y/concept/legalForm/0355" TargetMode="External" /><Relationship Type="http://schemas.openxmlformats.org/officeDocument/2006/relationships/hyperlink" Id="rId245" Target="https://register.ld.admin.ch/i14y/concept/legalForm/0361" TargetMode="External" /><Relationship Type="http://schemas.openxmlformats.org/officeDocument/2006/relationships/hyperlink" Id="rId246" Target="https://register.ld.admin.ch/i14y/concept/legalForm/0362" TargetMode="External" /><Relationship Type="http://schemas.openxmlformats.org/officeDocument/2006/relationships/hyperlink" Id="rId247" Target="https://register.ld.admin.ch/i14y/concept/legalForm/0441" TargetMode="External" /><Relationship Type="http://schemas.openxmlformats.org/officeDocument/2006/relationships/hyperlink" Id="rId24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7" Target="https://www.bfs.admin.ch/bfs/fr/home/registres/registre-personnes/harmonisation-registres/nomenclatures.assetdetail.24565577.html" TargetMode="External" /><Relationship Type="http://schemas.openxmlformats.org/officeDocument/2006/relationships/hyperlink" Id="rId28" Target="https://www.ech.ch/fr/ech/ech-0011/9.0.0" TargetMode="External" /><Relationship Type="http://schemas.openxmlformats.org/officeDocument/2006/relationships/hyperlink" Id="rId187" Target="https://www.parlament.ch/centers/documents/de/interessen-nr.pdf"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9" Target="act:enum/group_type/assembly" TargetMode="External" /><Relationship Type="http://schemas.openxmlformats.org/officeDocument/2006/relationships/hyperlink" Id="rId165" Target="act:enum/group_type/association" TargetMode="External" /><Relationship Type="http://schemas.openxmlformats.org/officeDocument/2006/relationships/hyperlink" Id="rId152" Target="act:enum/group_type/committee" TargetMode="External" /><Relationship Type="http://schemas.openxmlformats.org/officeDocument/2006/relationships/hyperlink" Id="rId153" Target="act:enum/group_type/committee_ad_hoc" TargetMode="External" /><Relationship Type="http://schemas.openxmlformats.org/officeDocument/2006/relationships/hyperlink" Id="rId160" Target="act:enum/group_type/committee_extraparliamentary" TargetMode="External" /><Relationship Type="http://schemas.openxmlformats.org/officeDocument/2006/relationships/hyperlink" Id="rId162" Target="act:enum/group_type/control_body" TargetMode="External" /><Relationship Type="http://schemas.openxmlformats.org/officeDocument/2006/relationships/hyperlink" Id="rId155" Target="act:enum/group_type/council_bureau" TargetMode="External" /><Relationship Type="http://schemas.openxmlformats.org/officeDocument/2006/relationships/hyperlink" Id="rId157" Target="act:enum/group_type/council_executive" TargetMode="External" /><Relationship Type="http://schemas.openxmlformats.org/officeDocument/2006/relationships/hyperlink" Id="rId150" Target="act:enum/group_type/council_legislative" TargetMode="External" /><Relationship Type="http://schemas.openxmlformats.org/officeDocument/2006/relationships/hyperlink" Id="rId156" Target="act:enum/group_type/council_presidency" TargetMode="External" /><Relationship Type="http://schemas.openxmlformats.org/officeDocument/2006/relationships/hyperlink" Id="rId163" Target="act:enum/group_type/council_secretariat" TargetMode="External" /><Relationship Type="http://schemas.openxmlformats.org/officeDocument/2006/relationships/hyperlink" Id="rId164" Target="act:enum/group_type/court" TargetMode="External" /><Relationship Type="http://schemas.openxmlformats.org/officeDocument/2006/relationships/hyperlink" Id="rId151" Target="act:enum/group_type/delegation" TargetMode="External" /><Relationship Type="http://schemas.openxmlformats.org/officeDocument/2006/relationships/hyperlink" Id="rId158" Target="act:enum/group_type/department" TargetMode="External" /><Relationship Type="http://schemas.openxmlformats.org/officeDocument/2006/relationships/hyperlink" Id="rId161" Target="act:enum/group_type/interest_group" TargetMode="External" /><Relationship Type="http://schemas.openxmlformats.org/officeDocument/2006/relationships/hyperlink" Id="rId147" Target="act:enum/group_type/list" TargetMode="External" /><Relationship Type="http://schemas.openxmlformats.org/officeDocument/2006/relationships/hyperlink" Id="rId159" Target="act:enum/group_type/office" TargetMode="External" /><Relationship Type="http://schemas.openxmlformats.org/officeDocument/2006/relationships/hyperlink" Id="rId168" Target="act:enum/group_type/other" TargetMode="External" /><Relationship Type="http://schemas.openxmlformats.org/officeDocument/2006/relationships/hyperlink" Id="rId154" Target="act:enum/group_type/parliamentary_group" TargetMode="External" /><Relationship Type="http://schemas.openxmlformats.org/officeDocument/2006/relationships/hyperlink" Id="rId146" Target="act:enum/group_type/party" TargetMode="External" /><Relationship Type="http://schemas.openxmlformats.org/officeDocument/2006/relationships/hyperlink" Id="rId166" Target="act:enum/group_type/petition_carrier" TargetMode="External" /><Relationship Type="http://schemas.openxmlformats.org/officeDocument/2006/relationships/hyperlink" Id="rId167" Target="act:enum/group_type/university" TargetMode="External" /><Relationship Type="http://schemas.openxmlformats.org/officeDocument/2006/relationships/hyperlink" Id="rId148" Target="act:enum/group_type/workgroup" TargetMode="External" /><Relationship Type="http://schemas.openxmlformats.org/officeDocument/2006/relationships/hyperlink" Id="rId207" Target="act:enum/interest_type/association" TargetMode="External" /><Relationship Type="http://schemas.openxmlformats.org/officeDocument/2006/relationships/hyperlink" Id="rId206" Target="act:enum/interest_type/political_office" TargetMode="External" /><Relationship Type="http://schemas.openxmlformats.org/officeDocument/2006/relationships/hyperlink" Id="rId205"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69"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5" Target="https://ld.ech.ch/schema/0294/actors/GroupTypeEnum" TargetMode="External" /><Relationship Type="http://schemas.openxmlformats.org/officeDocument/2006/relationships/hyperlink" Id="rId204" Target="https://ld.ech.ch/schema/0294/actors/InterestTypeEnum" TargetMode="External" /><Relationship Type="http://schemas.openxmlformats.org/officeDocument/2006/relationships/hyperlink" Id="rId21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0"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1" Target="https://register.ld.admin.ch/i14y/concept/legalForm/0101" TargetMode="External" /><Relationship Type="http://schemas.openxmlformats.org/officeDocument/2006/relationships/hyperlink" Id="rId212" Target="https://register.ld.admin.ch/i14y/concept/legalForm/0103" TargetMode="External" /><Relationship Type="http://schemas.openxmlformats.org/officeDocument/2006/relationships/hyperlink" Id="rId213" Target="https://register.ld.admin.ch/i14y/concept/legalForm/0104" TargetMode="External" /><Relationship Type="http://schemas.openxmlformats.org/officeDocument/2006/relationships/hyperlink" Id="rId214" Target="https://register.ld.admin.ch/i14y/concept/legalForm/0105" TargetMode="External" /><Relationship Type="http://schemas.openxmlformats.org/officeDocument/2006/relationships/hyperlink" Id="rId215" Target="https://register.ld.admin.ch/i14y/concept/legalForm/0106" TargetMode="External" /><Relationship Type="http://schemas.openxmlformats.org/officeDocument/2006/relationships/hyperlink" Id="rId216" Target="https://register.ld.admin.ch/i14y/concept/legalForm/0107" TargetMode="External" /><Relationship Type="http://schemas.openxmlformats.org/officeDocument/2006/relationships/hyperlink" Id="rId217" Target="https://register.ld.admin.ch/i14y/concept/legalForm/0108" TargetMode="External" /><Relationship Type="http://schemas.openxmlformats.org/officeDocument/2006/relationships/hyperlink" Id="rId218" Target="https://register.ld.admin.ch/i14y/concept/legalForm/0109" TargetMode="External" /><Relationship Type="http://schemas.openxmlformats.org/officeDocument/2006/relationships/hyperlink" Id="rId219" Target="https://register.ld.admin.ch/i14y/concept/legalForm/0110" TargetMode="External" /><Relationship Type="http://schemas.openxmlformats.org/officeDocument/2006/relationships/hyperlink" Id="rId220" Target="https://register.ld.admin.ch/i14y/concept/legalForm/0111" TargetMode="External" /><Relationship Type="http://schemas.openxmlformats.org/officeDocument/2006/relationships/hyperlink" Id="rId221" Target="https://register.ld.admin.ch/i14y/concept/legalForm/0113" TargetMode="External" /><Relationship Type="http://schemas.openxmlformats.org/officeDocument/2006/relationships/hyperlink" Id="rId222" Target="https://register.ld.admin.ch/i14y/concept/legalForm/0114" TargetMode="External" /><Relationship Type="http://schemas.openxmlformats.org/officeDocument/2006/relationships/hyperlink" Id="rId223" Target="https://register.ld.admin.ch/i14y/concept/legalForm/0115" TargetMode="External" /><Relationship Type="http://schemas.openxmlformats.org/officeDocument/2006/relationships/hyperlink" Id="rId224" Target="https://register.ld.admin.ch/i14y/concept/legalForm/0116" TargetMode="External" /><Relationship Type="http://schemas.openxmlformats.org/officeDocument/2006/relationships/hyperlink" Id="rId225" Target="https://register.ld.admin.ch/i14y/concept/legalForm/0117" TargetMode="External" /><Relationship Type="http://schemas.openxmlformats.org/officeDocument/2006/relationships/hyperlink" Id="rId226" Target="https://register.ld.admin.ch/i14y/concept/legalForm/0118" TargetMode="External" /><Relationship Type="http://schemas.openxmlformats.org/officeDocument/2006/relationships/hyperlink" Id="rId227" Target="https://register.ld.admin.ch/i14y/concept/legalForm/0119" TargetMode="External" /><Relationship Type="http://schemas.openxmlformats.org/officeDocument/2006/relationships/hyperlink" Id="rId228" Target="https://register.ld.admin.ch/i14y/concept/legalForm/0151" TargetMode="External" /><Relationship Type="http://schemas.openxmlformats.org/officeDocument/2006/relationships/hyperlink" Id="rId229" Target="https://register.ld.admin.ch/i14y/concept/legalForm/0220" TargetMode="External" /><Relationship Type="http://schemas.openxmlformats.org/officeDocument/2006/relationships/hyperlink" Id="rId230" Target="https://register.ld.admin.ch/i14y/concept/legalForm/0221" TargetMode="External" /><Relationship Type="http://schemas.openxmlformats.org/officeDocument/2006/relationships/hyperlink" Id="rId231" Target="https://register.ld.admin.ch/i14y/concept/legalForm/0222" TargetMode="External" /><Relationship Type="http://schemas.openxmlformats.org/officeDocument/2006/relationships/hyperlink" Id="rId232" Target="https://register.ld.admin.ch/i14y/concept/legalForm/0223" TargetMode="External" /><Relationship Type="http://schemas.openxmlformats.org/officeDocument/2006/relationships/hyperlink" Id="rId233" Target="https://register.ld.admin.ch/i14y/concept/legalForm/0224" TargetMode="External" /><Relationship Type="http://schemas.openxmlformats.org/officeDocument/2006/relationships/hyperlink" Id="rId234" Target="https://register.ld.admin.ch/i14y/concept/legalForm/0230" TargetMode="External" /><Relationship Type="http://schemas.openxmlformats.org/officeDocument/2006/relationships/hyperlink" Id="rId235" Target="https://register.ld.admin.ch/i14y/concept/legalForm/0231" TargetMode="External" /><Relationship Type="http://schemas.openxmlformats.org/officeDocument/2006/relationships/hyperlink" Id="rId236" Target="https://register.ld.admin.ch/i14y/concept/legalForm/0232" TargetMode="External" /><Relationship Type="http://schemas.openxmlformats.org/officeDocument/2006/relationships/hyperlink" Id="rId237" Target="https://register.ld.admin.ch/i14y/concept/legalForm/0233" TargetMode="External" /><Relationship Type="http://schemas.openxmlformats.org/officeDocument/2006/relationships/hyperlink" Id="rId238" Target="https://register.ld.admin.ch/i14y/concept/legalForm/0234" TargetMode="External" /><Relationship Type="http://schemas.openxmlformats.org/officeDocument/2006/relationships/hyperlink" Id="rId239" Target="https://register.ld.admin.ch/i14y/concept/legalForm/0302" TargetMode="External" /><Relationship Type="http://schemas.openxmlformats.org/officeDocument/2006/relationships/hyperlink" Id="rId240" Target="https://register.ld.admin.ch/i14y/concept/legalForm/0312" TargetMode="External" /><Relationship Type="http://schemas.openxmlformats.org/officeDocument/2006/relationships/hyperlink" Id="rId241" Target="https://register.ld.admin.ch/i14y/concept/legalForm/0327" TargetMode="External" /><Relationship Type="http://schemas.openxmlformats.org/officeDocument/2006/relationships/hyperlink" Id="rId242" Target="https://register.ld.admin.ch/i14y/concept/legalForm/0328" TargetMode="External" /><Relationship Type="http://schemas.openxmlformats.org/officeDocument/2006/relationships/hyperlink" Id="rId243" Target="https://register.ld.admin.ch/i14y/concept/legalForm/0329" TargetMode="External" /><Relationship Type="http://schemas.openxmlformats.org/officeDocument/2006/relationships/hyperlink" Id="rId244" Target="https://register.ld.admin.ch/i14y/concept/legalForm/0355" TargetMode="External" /><Relationship Type="http://schemas.openxmlformats.org/officeDocument/2006/relationships/hyperlink" Id="rId245" Target="https://register.ld.admin.ch/i14y/concept/legalForm/0361" TargetMode="External" /><Relationship Type="http://schemas.openxmlformats.org/officeDocument/2006/relationships/hyperlink" Id="rId246" Target="https://register.ld.admin.ch/i14y/concept/legalForm/0362" TargetMode="External" /><Relationship Type="http://schemas.openxmlformats.org/officeDocument/2006/relationships/hyperlink" Id="rId247" Target="https://register.ld.admin.ch/i14y/concept/legalForm/0441" TargetMode="External" /><Relationship Type="http://schemas.openxmlformats.org/officeDocument/2006/relationships/hyperlink" Id="rId24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7" Target="https://www.bfs.admin.ch/bfs/fr/home/registres/registre-personnes/harmonisation-registres/nomenclatures.assetdetail.24565577.html" TargetMode="External" /><Relationship Type="http://schemas.openxmlformats.org/officeDocument/2006/relationships/hyperlink" Id="rId28" Target="https://www.ech.ch/fr/ech/ech-0011/9.0.0" TargetMode="External" /><Relationship Type="http://schemas.openxmlformats.org/officeDocument/2006/relationships/hyperlink" Id="rId187" Target="https://www.parlament.ch/centers/documents/de/interessen-nr.pdf"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Acteurs politiques : personnes, groupes et organes</dc:title>
  <dc:creator/>
  <dc:language>fr</dc:language>
  <cp:keywords/>
  <dcterms:created xsi:type="dcterms:W3CDTF">2026-08-08T17:59:57Z</dcterms:created>
  <dcterms:modified xsi:type="dcterms:W3CDTF">2026-08-08T17:59:57Z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