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6B7C83"/>
          <w:sz w:val="24"/>
          <w:szCs w:val="24"/>
        </w:rPr>
        <w:t xml:space="preserve">Nordhorn Logistik AG</w:t>
      </w:r>
    </w:p>
    <w:p>
      <w:pPr>
        <w:spacing w:after="120"/>
      </w:pPr>
      <w:r>
        <w:rPr>
          <w:color w:val="1F4E5F"/>
          <w:sz w:val="28"/>
          <w:szCs w:val="28"/>
        </w:rPr>
        <w:t xml:space="preserve">Process Definition Document (PDD)</w:t>
      </w:r>
    </w:p>
    <w:p>
      <w:pPr>
        <w:pBdr>
          <w:bottom w:val="single" w:color="1F4E5F" w:sz="12" w:space="8"/>
        </w:pBdr>
        <w:spacing w:after="360"/>
      </w:pPr>
      <w:r>
        <w:rPr>
          <w:b/>
          <w:bCs/>
          <w:color w:val="1A1A1A"/>
          <w:sz w:val="52"/>
          <w:szCs w:val="52"/>
        </w:rPr>
        <w:t xml:space="preserve">Customer Address Change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Document ID</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PDD-CS-CRM-021</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Version</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0.3</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Status</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Draft – In Review</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Date</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02.10.2026</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Business unit</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Customer Service</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Prepared by</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Laura Brunner (Business Analyst, RPA CoE)</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Classification</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Internal – Confidential</w:t>
            </w:r>
          </w:p>
        </w:tc>
      </w:tr>
    </w:tbl>
    <w:p>
      <w:pPr>
        <w:spacing w:before="360"/>
      </w:pPr>
      <w:r>
        <w:rPr>
          <w:b/>
          <w:bCs/>
          <w:color w:val="C62828"/>
          <w:sz w:val="26"/>
          <w:szCs w:val="26"/>
        </w:rPr>
        <w:t xml:space="preserve">STATUS: DRAFT – IN REVIEW</w:t>
      </w:r>
    </w:p>
    <w:p>
      <w:pPr>
        <w:spacing w:before="120"/>
      </w:pPr>
      <w:r>
        <w:rPr>
          <w:i/>
          <w:iCs/>
          <w:color w:val="6B7C83"/>
        </w:rPr>
        <w:t xml:space="preserve">This draft is circulated for review. It must not be used for development until all sign-offs in section 1.2 are completed.</w:t>
      </w:r>
    </w:p>
    <w:p>
      <w:r>
        <w:br w:type="page"/>
      </w:r>
    </w:p>
    <w:p>
      <w:pPr>
        <w:pStyle w:val="Heading1"/>
      </w:pPr>
      <w:r>
        <w:t xml:space="preserve">1. Document Control</w:t>
      </w:r>
    </w:p>
    <w:p>
      <w:pPr>
        <w:pStyle w:val="Heading2"/>
      </w:pPr>
      <w:r>
        <w:t xml:space="preserve">1.1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1499"/>
        <w:gridCol w:w="2784"/>
        <w:gridCol w:w="4284"/>
      </w:tblGrid>
      <w:tr>
        <w:trPr>
          <w:tblHeader/>
        </w:trPr>
        <w:tc>
          <w:tcPr>
            <w:tcW w:type="dxa" w:w="1071"/>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Version</w:t>
            </w:r>
          </w:p>
        </w:tc>
        <w:tc>
          <w:tcPr>
            <w:tcW w:type="dxa" w:w="1499"/>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Date</w:t>
            </w:r>
          </w:p>
        </w:tc>
        <w:tc>
          <w:tcPr>
            <w:tcW w:type="dxa" w:w="2784"/>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Author</w:t>
            </w:r>
          </w:p>
        </w:tc>
        <w:tc>
          <w:tcPr>
            <w:tcW w:type="dxa" w:w="4284"/>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Change summary</w:t>
            </w:r>
          </w:p>
        </w:tc>
      </w:tr>
      <w:tr>
        <w:tc>
          <w:tcPr>
            <w:tcW w:type="dxa" w:w="107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0.1</w:t>
            </w:r>
          </w:p>
        </w:tc>
        <w:tc>
          <w:tcPr>
            <w:tcW w:type="dxa" w:w="149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15.09.2026</w:t>
            </w:r>
          </w:p>
        </w:tc>
        <w:tc>
          <w:tcPr>
            <w:tcW w:type="dxa" w:w="27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Laura Brunner</w:t>
            </w:r>
          </w:p>
        </w:tc>
        <w:tc>
          <w:tcPr>
            <w:tcW w:type="dxa" w:w="42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Initial draft after process walkthrough</w:t>
            </w:r>
          </w:p>
        </w:tc>
      </w:tr>
      <w:tr>
        <w:tc>
          <w:tcPr>
            <w:tcW w:type="dxa" w:w="107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0.2</w:t>
            </w:r>
          </w:p>
        </w:tc>
        <w:tc>
          <w:tcPr>
            <w:tcW w:type="dxa" w:w="149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24.09.2026</w:t>
            </w:r>
          </w:p>
        </w:tc>
        <w:tc>
          <w:tcPr>
            <w:tcW w:type="dxa" w:w="27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Laura Brunner</w:t>
            </w:r>
          </w:p>
        </w:tc>
        <w:tc>
          <w:tcPr>
            <w:tcW w:type="dxa" w:w="42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CRM screens and business rules added</w:t>
            </w:r>
          </w:p>
        </w:tc>
      </w:tr>
      <w:tr>
        <w:tc>
          <w:tcPr>
            <w:tcW w:type="dxa" w:w="107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0.3</w:t>
            </w:r>
          </w:p>
        </w:tc>
        <w:tc>
          <w:tcPr>
            <w:tcW w:type="dxa" w:w="149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02.10.2026</w:t>
            </w:r>
          </w:p>
        </w:tc>
        <w:tc>
          <w:tcPr>
            <w:tcW w:type="dxa" w:w="27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Laura Brunner</w:t>
            </w:r>
          </w:p>
        </w:tc>
        <w:tc>
          <w:tcPr>
            <w:tcW w:type="dxa" w:w="4284"/>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Human validation step added; sent for review</w:t>
            </w:r>
          </w:p>
        </w:tc>
      </w:tr>
    </w:tbl>
    <w:p>
      <w:pPr>
        <w:spacing w:after="120" w:before="0"/>
      </w:pPr>
    </w:p>
    <w:p>
      <w:pPr>
        <w:pStyle w:val="Heading2"/>
      </w:pPr>
      <w:r>
        <w:t xml:space="preserve">1.2 Approval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542"/>
        <w:gridCol w:w="1349"/>
        <w:gridCol w:w="2121"/>
      </w:tblGrid>
      <w:tr>
        <w:trPr>
          <w:tblHeader/>
        </w:trPr>
        <w:tc>
          <w:tcPr>
            <w:tcW w:type="dxa" w:w="2313"/>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Role</w:t>
            </w:r>
          </w:p>
        </w:tc>
        <w:tc>
          <w:tcPr>
            <w:tcW w:type="dxa" w:w="2313"/>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Name</w:t>
            </w:r>
          </w:p>
        </w:tc>
        <w:tc>
          <w:tcPr>
            <w:tcW w:type="dxa" w:w="1542"/>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Decision</w:t>
            </w:r>
          </w:p>
        </w:tc>
        <w:tc>
          <w:tcPr>
            <w:tcW w:type="dxa" w:w="1349"/>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Date</w:t>
            </w:r>
          </w:p>
        </w:tc>
        <w:tc>
          <w:tcPr>
            <w:tcW w:type="dxa" w:w="2121"/>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Signature</w:t>
            </w: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Process Owner</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Stefan Baumann (Head of Customer Service)</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Pending</w:t>
            </w:r>
          </w:p>
        </w:tc>
        <w:tc>
          <w:tcPr>
            <w:tcW w:type="dxa" w:w="134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c>
          <w:tcPr>
            <w:tcW w:type="dxa" w:w="212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Business Analyst</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Laura Brunner</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Pending</w:t>
            </w:r>
          </w:p>
        </w:tc>
        <w:tc>
          <w:tcPr>
            <w:tcW w:type="dxa" w:w="134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c>
          <w:tcPr>
            <w:tcW w:type="dxa" w:w="212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RPA Solution Architect</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Marco Rossi</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Changes requested</w:t>
            </w:r>
          </w:p>
        </w:tc>
        <w:tc>
          <w:tcPr>
            <w:tcW w:type="dxa" w:w="134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30.09.2026</w:t>
            </w:r>
          </w:p>
        </w:tc>
        <w:tc>
          <w:tcPr>
            <w:tcW w:type="dxa" w:w="212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Data Protection Officer</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Nina Schmid</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Pending</w:t>
            </w:r>
          </w:p>
        </w:tc>
        <w:tc>
          <w:tcPr>
            <w:tcW w:type="dxa" w:w="134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c>
          <w:tcPr>
            <w:tcW w:type="dxa" w:w="2121"/>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p>
        </w:tc>
      </w:tr>
    </w:tbl>
    <w:p>
      <w:pPr>
        <w:spacing w:after="120" w:before="0"/>
      </w:pPr>
    </w:p>
    <w:p>
      <w:pPr>
        <w:pStyle w:val="Heading2"/>
      </w:pPr>
      <w:r>
        <w:t xml:space="preserve">1.3 Review Comments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2017"/>
        <w:gridCol w:w="5379"/>
        <w:gridCol w:w="1570"/>
      </w:tblGrid>
      <w:tr>
        <w:trPr>
          <w:tblHeader/>
        </w:trPr>
        <w:tc>
          <w:tcPr>
            <w:tcW w:type="dxa" w:w="672"/>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w:t>
            </w:r>
          </w:p>
        </w:tc>
        <w:tc>
          <w:tcPr>
            <w:tcW w:type="dxa" w:w="2017"/>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Reviewer</w:t>
            </w:r>
          </w:p>
        </w:tc>
        <w:tc>
          <w:tcPr>
            <w:tcW w:type="dxa" w:w="5379"/>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Comment</w:t>
            </w:r>
          </w:p>
        </w:tc>
        <w:tc>
          <w:tcPr>
            <w:tcW w:type="dxa" w:w="1570"/>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Status</w:t>
            </w:r>
          </w:p>
        </w:tc>
      </w:tr>
      <w:tr>
        <w:tc>
          <w:tcPr>
            <w:tcW w:type="dxa" w:w="67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1</w:t>
            </w:r>
          </w:p>
        </w:tc>
        <w:tc>
          <w:tcPr>
            <w:tcW w:type="dxa" w:w="201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Marco Rossi</w:t>
            </w:r>
          </w:p>
        </w:tc>
        <w:tc>
          <w:tcPr>
            <w:tcW w:type="dxa" w:w="537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Confirm whether CRM has an API; UI automation only as fallback.</w:t>
            </w:r>
          </w:p>
        </w:tc>
        <w:tc>
          <w:tcPr>
            <w:tcW w:type="dxa" w:w="15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Open</w:t>
            </w:r>
          </w:p>
        </w:tc>
      </w:tr>
      <w:tr>
        <w:tc>
          <w:tcPr>
            <w:tcW w:type="dxa" w:w="67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2</w:t>
            </w:r>
          </w:p>
        </w:tc>
        <w:tc>
          <w:tcPr>
            <w:tcW w:type="dxa" w:w="201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Marco Rossi</w:t>
            </w:r>
          </w:p>
        </w:tc>
        <w:tc>
          <w:tcPr>
            <w:tcW w:type="dxa" w:w="537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Define confidence threshold for human validation (BR-04).</w:t>
            </w:r>
          </w:p>
        </w:tc>
        <w:tc>
          <w:tcPr>
            <w:tcW w:type="dxa" w:w="15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Open</w:t>
            </w:r>
          </w:p>
        </w:tc>
      </w:tr>
      <w:tr>
        <w:tc>
          <w:tcPr>
            <w:tcW w:type="dxa" w:w="67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3</w:t>
            </w:r>
          </w:p>
        </w:tc>
        <w:tc>
          <w:tcPr>
            <w:tcW w:type="dxa" w:w="201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Nina Schmid</w:t>
            </w:r>
          </w:p>
        </w:tc>
        <w:tc>
          <w:tcPr>
            <w:tcW w:type="dxa" w:w="5379"/>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Retention period for request emails with ID documents to be defined.</w:t>
            </w:r>
          </w:p>
        </w:tc>
        <w:tc>
          <w:tcPr>
            <w:tcW w:type="dxa" w:w="15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Open</w:t>
            </w:r>
          </w:p>
        </w:tc>
      </w:tr>
    </w:tbl>
    <w:p>
      <w:pPr>
        <w:spacing w:after="120" w:before="0"/>
      </w:pPr>
    </w:p>
    <w:p>
      <w:pPr>
        <w:pStyle w:val="Heading1"/>
      </w:pPr>
      <w:r>
        <w:t xml:space="preserve">2. Introduction</w:t>
      </w:r>
    </w:p>
    <w:p>
      <w:pPr>
        <w:pStyle w:val="Heading2"/>
      </w:pPr>
      <w:r>
        <w:t xml:space="preserve">2.1 Purpose</w:t>
      </w:r>
    </w:p>
    <w:p>
      <w:pPr>
        <w:spacing w:after="120"/>
      </w:pPr>
      <w:r>
        <w:t xml:space="preserve">Customers request changes to their billing or delivery address by email. This document describes the automation of reading these requests, validating them and updating the customer record in Helios CRM, followed by a written confirmation to the customer.</w:t>
      </w:r>
    </w:p>
    <w:p>
      <w:pPr>
        <w:pStyle w:val="Heading2"/>
      </w:pPr>
      <w:r>
        <w:t xml:space="preserve">2.2 Objectives</w:t>
      </w:r>
    </w:p>
    <w:p>
      <w:pPr>
        <w:pStyle w:val="ListParagraph"/>
        <w:numPr>
          <w:ilvl w:val="0"/>
          <w:numId w:val="2"/>
        </w:numPr>
        <w:spacing w:after="40"/>
      </w:pPr>
      <w:r>
        <w:t xml:space="preserve">Process 90% of address change requests on the same business day.</w:t>
      </w:r>
    </w:p>
    <w:p>
      <w:pPr>
        <w:pStyle w:val="ListParagraph"/>
        <w:numPr>
          <w:ilvl w:val="0"/>
          <w:numId w:val="2"/>
        </w:numPr>
        <w:spacing w:after="40"/>
      </w:pPr>
      <w:r>
        <w:t xml:space="preserve">Reduce manual effort of the Customer Service team by approx. 0.8 FTE.</w:t>
      </w:r>
    </w:p>
    <w:p>
      <w:pPr>
        <w:pStyle w:val="Heading1"/>
      </w:pPr>
      <w:r>
        <w:t xml:space="preserve">3. As-Is Process</w:t>
      </w:r>
    </w:p>
    <w:p>
      <w:pPr>
        <w:pStyle w:val="Heading2"/>
      </w:pPr>
      <w:r>
        <w:t xml:space="preserve">3.1 Process Overview</w:t>
      </w:r>
    </w:p>
    <w:p>
      <w:pPr>
        <w:spacing w:after="120"/>
      </w:pPr>
      <w:r>
        <w:t xml:space="preserve">A customer service agent reads emails in the shared mailbox service@nordhorn.example, identifies address change requests, searches the customer in Helios CRM by customer number or email address, updates the address, and sends a confirmation letter generated from a Word template as PDF attachment.</w:t>
      </w:r>
    </w:p>
    <w:p>
      <w:pPr>
        <w:pStyle w:val="Heading2"/>
      </w:pPr>
      <w:r>
        <w:t xml:space="preserve">3.2 Process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Frequency</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Continuous, business days</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Volume</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approx. 650 requests per month</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Average handling time</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7 minutes</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Current effort</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1 FTE</w:t>
            </w:r>
          </w:p>
        </w:tc>
      </w:tr>
    </w:tbl>
    <w:p>
      <w:pPr>
        <w:spacing w:after="120" w:before="0"/>
      </w:pPr>
    </w:p>
    <w:p>
      <w:pPr>
        <w:pStyle w:val="Heading2"/>
      </w:pPr>
      <w:r>
        <w:t xml:space="preserve">3.3 Applications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2313"/>
        <w:gridCol w:w="3470"/>
      </w:tblGrid>
      <w:tr>
        <w:trPr>
          <w:tblHeader/>
        </w:trPr>
        <w:tc>
          <w:tcPr>
            <w:tcW w:type="dxa" w:w="2313"/>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Application</w:t>
            </w:r>
          </w:p>
        </w:tc>
        <w:tc>
          <w:tcPr>
            <w:tcW w:type="dxa" w:w="1542"/>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Type</w:t>
            </w:r>
          </w:p>
        </w:tc>
        <w:tc>
          <w:tcPr>
            <w:tcW w:type="dxa" w:w="2313"/>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Version / Access</w:t>
            </w:r>
          </w:p>
        </w:tc>
        <w:tc>
          <w:tcPr>
            <w:tcW w:type="dxa" w:w="3470"/>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Used for</w:t>
            </w: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Microsoft 365 Outlook (shared mailbox)</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Cloud email</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service@nordhorn.example</w:t>
            </w:r>
          </w:p>
        </w:tc>
        <w:tc>
          <w:tcPr>
            <w:tcW w:type="dxa" w:w="34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Receiving requests, sending confirmations</w:t>
            </w: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Helios CRM</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Web</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https://crm.nordhorn.example (Microsoft Edge)</w:t>
            </w:r>
          </w:p>
        </w:tc>
        <w:tc>
          <w:tcPr>
            <w:tcW w:type="dxa" w:w="34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Customer search and address maintenance</w:t>
            </w: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Microsoft Word</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Desktop</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Template \\fs01\cs\Templates\AddressChangeConfirmation.dotx</w:t>
            </w:r>
          </w:p>
        </w:tc>
        <w:tc>
          <w:tcPr>
            <w:tcW w:type="dxa" w:w="34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Confirmation letter</w:t>
            </w:r>
          </w:p>
        </w:tc>
      </w:tr>
      <w:tr>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UiPath Action Center</w:t>
            </w:r>
          </w:p>
        </w:tc>
        <w:tc>
          <w:tcPr>
            <w:tcW w:type="dxa" w:w="15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Web</w:t>
            </w:r>
          </w:p>
        </w:tc>
        <w:tc>
          <w:tcPr>
            <w:tcW w:type="dxa" w:w="231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Automation Cloud</w:t>
            </w:r>
          </w:p>
        </w:tc>
        <w:tc>
          <w:tcPr>
            <w:tcW w:type="dxa" w:w="347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Human validation of uncertain requests (to-be only)</w:t>
            </w:r>
          </w:p>
        </w:tc>
      </w:tr>
    </w:tbl>
    <w:p>
      <w:pPr>
        <w:spacing w:after="120" w:before="0"/>
      </w:pPr>
    </w:p>
    <w:p>
      <w:pPr>
        <w:pStyle w:val="Heading1"/>
      </w:pPr>
      <w:r>
        <w:t xml:space="preserve">4. To-Be Process</w:t>
      </w:r>
    </w:p>
    <w:p>
      <w:pPr>
        <w:pStyle w:val="Heading2"/>
      </w:pPr>
      <w:r>
        <w:t xml:space="preserve">4.1 Overview</w:t>
      </w:r>
    </w:p>
    <w:p>
      <w:pPr>
        <w:spacing w:after="120"/>
      </w:pPr>
      <w:r>
        <w:t xml:space="preserve">Each email is one transaction. Requests the robot cannot interpret with sufficient confidence are sent to a Customer Service agent in Action Center for validation before the CRM is updated.</w:t>
      </w:r>
    </w:p>
    <w:p>
      <w:pPr>
        <w:pStyle w:val="Heading2"/>
      </w:pPr>
      <w:r>
        <w:t xml:space="preserve">4.2 Process Steps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7"/>
        <w:gridCol w:w="2142"/>
        <w:gridCol w:w="4712"/>
        <w:gridCol w:w="1927"/>
      </w:tblGrid>
      <w:tr>
        <w:trPr>
          <w:tblHeader/>
        </w:trPr>
        <w:tc>
          <w:tcPr>
            <w:tcW w:type="dxa" w:w="857"/>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Step ID</w:t>
            </w:r>
          </w:p>
        </w:tc>
        <w:tc>
          <w:tcPr>
            <w:tcW w:type="dxa" w:w="2142"/>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Application</w:t>
            </w:r>
          </w:p>
        </w:tc>
        <w:tc>
          <w:tcPr>
            <w:tcW w:type="dxa" w:w="4712"/>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Action</w:t>
            </w:r>
          </w:p>
        </w:tc>
        <w:tc>
          <w:tcPr>
            <w:tcW w:type="dxa" w:w="1927"/>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Rules / Exceptions</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S01</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Microsoft 365 mail</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Read new emails in folder Inbox/Address Changes</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BR-01</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S02</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Extract customer number, new address and effective date from the email body</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BR-02, BR-03</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S03</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Action Center</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Create a validation task if extraction confidence is low; wait for completion</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BR-04</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S04</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Helios CRM</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Log in and search the customer by customer number (fallback: email address)</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BE-01, BE-02</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S05</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Helios CRM</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Update the billing and/or delivery address and save</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BR-05, SE-01</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S06</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Word</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Generate the confirmation letter as PDF</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t>
            </w:r>
          </w:p>
        </w:tc>
      </w:tr>
      <w:tr>
        <w:tc>
          <w:tcPr>
            <w:tcW w:type="dxa" w:w="85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S07</w:t>
            </w:r>
          </w:p>
        </w:tc>
        <w:tc>
          <w:tcPr>
            <w:tcW w:type="dxa" w:w="214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Microsoft 365 mail</w:t>
            </w:r>
          </w:p>
        </w:tc>
        <w:tc>
          <w:tcPr>
            <w:tcW w:type="dxa" w:w="4712"/>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Reply to the customer with the PDF and move the email to Processed</w:t>
            </w:r>
          </w:p>
        </w:tc>
        <w:tc>
          <w:tcPr>
            <w:tcW w:type="dxa" w:w="192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w:t>
            </w:r>
          </w:p>
        </w:tc>
      </w:tr>
    </w:tbl>
    <w:p>
      <w:pPr>
        <w:spacing w:after="120" w:before="0"/>
      </w:pPr>
    </w:p>
    <w:p>
      <w:pPr>
        <w:pStyle w:val="Heading2"/>
      </w:pPr>
      <w:r>
        <w:t xml:space="preserve">4.3 Detailed Steps</w:t>
      </w:r>
    </w:p>
    <w:p>
      <w:pPr>
        <w:pStyle w:val="Heading3"/>
      </w:pPr>
      <w:r>
        <w:t xml:space="preserve">S04 – Search customer in Helios CRM</w:t>
      </w:r>
    </w:p>
    <w:p>
      <w:pPr>
        <w:pStyle w:val="ListParagraph"/>
        <w:numPr>
          <w:ilvl w:val="0"/>
          <w:numId w:val="3"/>
        </w:numPr>
        <w:spacing w:after="40"/>
      </w:pPr>
      <w:r>
        <w:t xml:space="preserve">Open https://crm.nordhorn.example in Microsoft Edge and log in with credential asset </w:t>
      </w:r>
      <w:r>
        <w:rPr>
          <w:b/>
          <w:bCs/>
        </w:rPr>
        <w:t xml:space="preserve">CS_HeliosCRM_Credential</w:t>
      </w:r>
      <w:r>
        <w:t xml:space="preserve">.</w:t>
      </w:r>
    </w:p>
    <w:p>
      <w:pPr>
        <w:pStyle w:val="ListParagraph"/>
        <w:numPr>
          <w:ilvl w:val="0"/>
          <w:numId w:val="3"/>
        </w:numPr>
        <w:spacing w:after="40"/>
      </w:pPr>
      <w:r>
        <w:t xml:space="preserve">Click </w:t>
      </w:r>
      <w:r>
        <w:rPr>
          <w:b/>
          <w:bCs/>
        </w:rPr>
        <w:t xml:space="preserve">Customers</w:t>
      </w:r>
      <w:r>
        <w:t xml:space="preserve"> in the left navigation, enter the customer number in </w:t>
      </w:r>
      <w:r>
        <w:rPr>
          <w:b/>
          <w:bCs/>
        </w:rPr>
        <w:t xml:space="preserve">Search</w:t>
      </w:r>
      <w:r>
        <w:t xml:space="preserve"> and press Enter.</w:t>
      </w:r>
    </w:p>
    <w:p>
      <w:pPr>
        <w:pStyle w:val="ListParagraph"/>
        <w:numPr>
          <w:ilvl w:val="0"/>
          <w:numId w:val="3"/>
        </w:numPr>
        <w:spacing w:after="40"/>
      </w:pPr>
      <w:r>
        <w:t xml:space="preserve">If no result, search by the sender's email address; if still no result → BE-01. More than one result → BE-02.</w:t>
      </w:r>
    </w:p>
    <w:p>
      <w:pPr>
        <w:pStyle w:val="ListParagraph"/>
        <w:numPr>
          <w:ilvl w:val="0"/>
          <w:numId w:val="3"/>
        </w:numPr>
        <w:spacing w:after="40"/>
      </w:pPr>
      <w:r>
        <w:t xml:space="preserve">Open the customer record.</w:t>
      </w:r>
    </w:p>
    <w:p>
      <w:pPr>
        <w:pStyle w:val="Heading3"/>
      </w:pPr>
      <w:r>
        <w:t xml:space="preserve">S05 – Update address</w:t>
      </w:r>
    </w:p>
    <w:p>
      <w:pPr>
        <w:pStyle w:val="ListParagraph"/>
        <w:numPr>
          <w:ilvl w:val="0"/>
          <w:numId w:val="4"/>
        </w:numPr>
        <w:spacing w:after="40"/>
      </w:pPr>
      <w:r>
        <w:t xml:space="preserve">Open tab </w:t>
      </w:r>
      <w:r>
        <w:rPr>
          <w:b/>
          <w:bCs/>
        </w:rPr>
        <w:t xml:space="preserve">Addresses</w:t>
      </w:r>
      <w:r>
        <w:t xml:space="preserve">, click </w:t>
      </w:r>
      <w:r>
        <w:rPr>
          <w:b/>
          <w:bCs/>
        </w:rPr>
        <w:t xml:space="preserve">Edit</w:t>
      </w:r>
      <w:r>
        <w:t xml:space="preserve"> on the billing or delivery address as requested.</w:t>
      </w:r>
    </w:p>
    <w:p>
      <w:pPr>
        <w:pStyle w:val="ListParagraph"/>
        <w:numPr>
          <w:ilvl w:val="0"/>
          <w:numId w:val="4"/>
        </w:numPr>
        <w:spacing w:after="40"/>
      </w:pPr>
      <w:r>
        <w:t xml:space="preserve">Enter Street, House number, Postal code, City, Country; set </w:t>
      </w:r>
      <w:r>
        <w:rPr>
          <w:b/>
          <w:bCs/>
        </w:rPr>
        <w:t xml:space="preserve">Valid from</w:t>
      </w:r>
      <w:r>
        <w:t xml:space="preserve"> to the effective date.</w:t>
      </w:r>
    </w:p>
    <w:p>
      <w:pPr>
        <w:pStyle w:val="ListParagraph"/>
        <w:numPr>
          <w:ilvl w:val="0"/>
          <w:numId w:val="4"/>
        </w:numPr>
        <w:spacing w:after="40"/>
      </w:pPr>
      <w:r>
        <w:t xml:space="preserve">Click </w:t>
      </w:r>
      <w:r>
        <w:rPr>
          <w:b/>
          <w:bCs/>
        </w:rPr>
        <w:t xml:space="preserve">Save</w:t>
      </w:r>
      <w:r>
        <w:t xml:space="preserve"> and verify the message 'Customer saved successfully'.</w:t>
      </w:r>
    </w:p>
    <w:p>
      <w:pPr>
        <w:pStyle w:val="Heading1"/>
      </w:pPr>
      <w:r>
        <w:t xml:space="preserve">5.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6803"/>
        <w:gridCol w:w="1815"/>
      </w:tblGrid>
      <w:tr>
        <w:trPr>
          <w:tblHeader/>
        </w:trPr>
        <w:tc>
          <w:tcPr>
            <w:tcW w:type="dxa" w:w="1020"/>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ID</w:t>
            </w:r>
          </w:p>
        </w:tc>
        <w:tc>
          <w:tcPr>
            <w:tcW w:type="dxa" w:w="6803"/>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Rule</w:t>
            </w:r>
          </w:p>
        </w:tc>
        <w:tc>
          <w:tcPr>
            <w:tcW w:type="dxa" w:w="1815"/>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Step</w:t>
            </w:r>
          </w:p>
        </w:tc>
      </w:tr>
      <w:tr>
        <w:tc>
          <w:tcPr>
            <w:tcW w:type="dxa" w:w="102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BR-01</w:t>
            </w:r>
          </w:p>
        </w:tc>
        <w:tc>
          <w:tcPr>
            <w:tcW w:type="dxa" w:w="680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Only emails from senders whose address matches the CRM contact email are processed automatically.</w:t>
            </w:r>
          </w:p>
        </w:tc>
        <w:tc>
          <w:tcPr>
            <w:tcW w:type="dxa" w:w="181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S01</w:t>
            </w:r>
          </w:p>
        </w:tc>
      </w:tr>
      <w:tr>
        <w:tc>
          <w:tcPr>
            <w:tcW w:type="dxa" w:w="102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BR-02</w:t>
            </w:r>
          </w:p>
        </w:tc>
        <w:tc>
          <w:tcPr>
            <w:tcW w:type="dxa" w:w="680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Swiss postal codes have 4 digits; the city must match the postal code.</w:t>
            </w:r>
          </w:p>
        </w:tc>
        <w:tc>
          <w:tcPr>
            <w:tcW w:type="dxa" w:w="181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S02</w:t>
            </w:r>
          </w:p>
        </w:tc>
      </w:tr>
      <w:tr>
        <w:tc>
          <w:tcPr>
            <w:tcW w:type="dxa" w:w="102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BR-03</w:t>
            </w:r>
          </w:p>
        </w:tc>
        <w:tc>
          <w:tcPr>
            <w:tcW w:type="dxa" w:w="680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Effective date may not be in the past; if missing, use today.</w:t>
            </w:r>
          </w:p>
        </w:tc>
        <w:tc>
          <w:tcPr>
            <w:tcW w:type="dxa" w:w="181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S02</w:t>
            </w:r>
          </w:p>
        </w:tc>
      </w:tr>
      <w:tr>
        <w:tc>
          <w:tcPr>
            <w:tcW w:type="dxa" w:w="102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BR-04</w:t>
            </w:r>
          </w:p>
        </w:tc>
        <w:tc>
          <w:tcPr>
            <w:tcW w:type="dxa" w:w="680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Confidence threshold for automatic processing: [to be defined].</w:t>
            </w:r>
          </w:p>
        </w:tc>
        <w:tc>
          <w:tcPr>
            <w:tcW w:type="dxa" w:w="181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S03</w:t>
            </w:r>
          </w:p>
        </w:tc>
      </w:tr>
      <w:tr>
        <w:tc>
          <w:tcPr>
            <w:tcW w:type="dxa" w:w="1020"/>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BR-05</w:t>
            </w:r>
          </w:p>
        </w:tc>
        <w:tc>
          <w:tcPr>
            <w:tcW w:type="dxa" w:w="6803"/>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Addresses outside CH and LI require manual handling.</w:t>
            </w:r>
          </w:p>
        </w:tc>
        <w:tc>
          <w:tcPr>
            <w:tcW w:type="dxa" w:w="181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S05</w:t>
            </w:r>
          </w:p>
        </w:tc>
      </w:tr>
    </w:tbl>
    <w:p>
      <w:pPr>
        <w:spacing w:after="120" w:before="0"/>
      </w:pPr>
    </w:p>
    <w:p>
      <w:pPr>
        <w:pStyle w:val="Heading1"/>
      </w:pPr>
      <w:r>
        <w:t xml:space="preserve">6. Exception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3465"/>
        <w:gridCol w:w="5198"/>
      </w:tblGrid>
      <w:tr>
        <w:trPr>
          <w:tblHeader/>
        </w:trPr>
        <w:tc>
          <w:tcPr>
            <w:tcW w:type="dxa" w:w="975"/>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ID</w:t>
            </w:r>
          </w:p>
        </w:tc>
        <w:tc>
          <w:tcPr>
            <w:tcW w:type="dxa" w:w="3465"/>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Exception</w:t>
            </w:r>
          </w:p>
        </w:tc>
        <w:tc>
          <w:tcPr>
            <w:tcW w:type="dxa" w:w="5198"/>
            <w:tcBorders>
              <w:top w:val="single" w:color="B8C4C9" w:sz="4"/>
              <w:left w:val="single" w:color="B8C4C9" w:sz="4"/>
              <w:bottom w:val="single" w:color="B8C4C9" w:sz="4"/>
              <w:right w:val="single" w:color="B8C4C9" w:sz="4"/>
            </w:tcBorders>
            <w:shd w:fill="1F4E5F" w:color="auto" w:val="clear"/>
            <w:tcMar>
              <w:top w:type="dxa" w:w="60"/>
              <w:left w:type="dxa" w:w="100"/>
              <w:bottom w:type="dxa" w:w="60"/>
              <w:right w:type="dxa" w:w="100"/>
            </w:tcMar>
            <w:vAlign w:val="top"/>
          </w:tcPr>
          <w:p>
            <w:pPr>
              <w:spacing w:after="0" w:before="0"/>
            </w:pPr>
            <w:r>
              <w:rPr>
                <w:b/>
                <w:bCs/>
                <w:color w:val="FFFFFF"/>
                <w:sz w:val="18"/>
                <w:szCs w:val="18"/>
              </w:rPr>
              <w:t xml:space="preserve">Handling</w:t>
            </w:r>
          </w:p>
        </w:tc>
      </w:tr>
      <w:tr>
        <w:tc>
          <w:tcPr>
            <w:tcW w:type="dxa" w:w="97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BE-01</w:t>
            </w:r>
          </w:p>
        </w:tc>
        <w:tc>
          <w:tcPr>
            <w:tcW w:type="dxa" w:w="346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Customer not found</w:t>
            </w:r>
          </w:p>
        </w:tc>
        <w:tc>
          <w:tcPr>
            <w:tcW w:type="dxa" w:w="5198"/>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Forward to Customer Service queue in Outlook.</w:t>
            </w:r>
          </w:p>
        </w:tc>
      </w:tr>
      <w:tr>
        <w:tc>
          <w:tcPr>
            <w:tcW w:type="dxa" w:w="97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BE-02</w:t>
            </w:r>
          </w:p>
        </w:tc>
        <w:tc>
          <w:tcPr>
            <w:tcW w:type="dxa" w:w="346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Multiple customers found</w:t>
            </w:r>
          </w:p>
        </w:tc>
        <w:tc>
          <w:tcPr>
            <w:tcW w:type="dxa" w:w="5198"/>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Create Action Center task for manual selection.</w:t>
            </w:r>
          </w:p>
        </w:tc>
      </w:tr>
      <w:tr>
        <w:tc>
          <w:tcPr>
            <w:tcW w:type="dxa" w:w="97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SE-01</w:t>
            </w:r>
          </w:p>
        </w:tc>
        <w:tc>
          <w:tcPr>
            <w:tcW w:type="dxa" w:w="3465"/>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Helios CRM not reachable or save fails</w:t>
            </w:r>
          </w:p>
        </w:tc>
        <w:tc>
          <w:tcPr>
            <w:tcW w:type="dxa" w:w="5198"/>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Retry up to 2 times; then mark transaction failed.</w:t>
            </w:r>
          </w:p>
        </w:tc>
      </w:tr>
    </w:tbl>
    <w:p>
      <w:pPr>
        <w:spacing w:after="120" w:before="0"/>
      </w:pPr>
    </w:p>
    <w:p>
      <w:pPr>
        <w:pStyle w:val="Heading1"/>
      </w:pPr>
      <w:r>
        <w:t xml:space="preserve">7. Operational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Schedule</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Every 30 minutes, 07:00–19:00, business days</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Robot environment</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[to be completed]</w:t>
            </w:r>
          </w:p>
        </w:tc>
      </w:tr>
      <w:tr>
        <w:tc>
          <w:tcPr>
            <w:tcW w:type="dxa" w:w="2891"/>
            <w:tcBorders>
              <w:top w:val="single" w:color="B8C4C9" w:sz="4"/>
              <w:left w:val="single" w:color="B8C4C9" w:sz="4"/>
              <w:bottom w:val="single" w:color="B8C4C9" w:sz="4"/>
              <w:right w:val="single" w:color="B8C4C9" w:sz="4"/>
            </w:tcBorders>
            <w:shd w:fill="E3ECEF" w:color="auto" w:val="clear"/>
            <w:tcMar>
              <w:top w:type="dxa" w:w="60"/>
              <w:left w:type="dxa" w:w="100"/>
              <w:bottom w:type="dxa" w:w="60"/>
              <w:right w:type="dxa" w:w="100"/>
            </w:tcMar>
            <w:vAlign w:val="top"/>
          </w:tcPr>
          <w:p>
            <w:pPr>
              <w:spacing w:after="0" w:before="0"/>
            </w:pPr>
            <w:r>
              <w:rPr>
                <w:b/>
                <w:bCs/>
                <w:sz w:val="18"/>
                <w:szCs w:val="18"/>
              </w:rPr>
              <w:t xml:space="preserve">Data protection</w:t>
            </w:r>
          </w:p>
        </w:tc>
        <w:tc>
          <w:tcPr>
            <w:tcW w:type="dxa" w:w="6747"/>
            <w:tcBorders>
              <w:top w:val="single" w:color="B8C4C9" w:sz="4"/>
              <w:left w:val="single" w:color="B8C4C9" w:sz="4"/>
              <w:bottom w:val="single" w:color="B8C4C9" w:sz="4"/>
              <w:right w:val="single" w:color="B8C4C9" w:sz="4"/>
            </w:tcBorders>
            <w:tcMar>
              <w:top w:type="dxa" w:w="60"/>
              <w:left w:type="dxa" w:w="100"/>
              <w:bottom w:type="dxa" w:w="60"/>
              <w:right w:type="dxa" w:w="100"/>
            </w:tcMar>
            <w:vAlign w:val="top"/>
          </w:tcPr>
          <w:p>
            <w:pPr>
              <w:spacing w:after="0" w:before="0"/>
            </w:pPr>
            <w:r>
              <w:rPr>
                <w:sz w:val="18"/>
                <w:szCs w:val="18"/>
              </w:rPr>
              <w:t xml:space="preserve">Emails may contain personal data; retention period [to be defined by DPO]</w:t>
            </w:r>
          </w:p>
        </w:tc>
      </w:tr>
    </w:tbl>
    <w:p>
      <w:pPr>
        <w:spacing w:after="12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C83"/>
        <w:sz w:val="16"/>
        <w:szCs w:val="16"/>
      </w:rPr>
      <w:t xml:space="preserve">Page </w:t>
    </w:r>
    <w:r>
      <w:rPr>
        <w:color w:val="6B7C83"/>
        <w:sz w:val="16"/>
        <w:szCs w:val="16"/>
      </w:rPr>
      <w:fldChar w:fldCharType="begin"/>
      <w:instrText xml:space="preserve">PAGE</w:instrText>
      <w:fldChar w:fldCharType="separate"/>
      <w:fldChar w:fldCharType="end"/>
    </w:r>
    <w:r>
      <w:rPr>
        <w:color w:val="6B7C83"/>
        <w:sz w:val="16"/>
        <w:szCs w:val="16"/>
      </w:rPr>
      <w:t xml:space="preserve"> of </w:t>
    </w:r>
    <w:r>
      <w:rPr>
        <w:color w:val="6B7C8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9" w:sz="4" w:space="4"/>
      </w:pBdr>
    </w:pPr>
    <w:r>
      <w:rPr>
        <w:color w:val="6B7C83"/>
        <w:sz w:val="16"/>
        <w:szCs w:val="16"/>
      </w:rPr>
      <w:t xml:space="preserve">Nordhorn Logistik AG  |  PDD-CS-CRM-021  |  v0.3</w:t>
    </w:r>
  </w:p>
  <w:p>
    <w:pPr>
      <w:jc w:val="center"/>
    </w:pPr>
    <w:r>
      <w:rPr>
        <w:b/>
        <w:bCs/>
        <w:color w:val="C62828"/>
        <w:sz w:val="20"/>
        <w:szCs w:val="20"/>
      </w:rPr>
      <w:t xml:space="preserve">DRAFT – NOT APPROVED – FOR REVIEW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PDD – Customer Address Change Requests</dc:title>
  <dc:creator>Laura Brunner (Business Analyst, RPA CoE)</dc:creator>
  <dc:description>PDD-CS-CRM-021 v0.3 (Draft – In Review)</dc:description>
  <cp:lastModifiedBy>Un-named</cp:lastModifiedBy>
  <cp:revision>1</cp:revision>
  <dcterms:created xsi:type="dcterms:W3CDTF">2026-10-09T12:19:15.334Z</dcterms:created>
  <dcterms:modified xsi:type="dcterms:W3CDTF">2026-10-09T12:19:15.334Z</dcterms:modified>
</cp:coreProperties>
</file>

<file path=docProps/custom.xml><?xml version="1.0" encoding="utf-8"?>
<Properties xmlns="http://schemas.openxmlformats.org/officeDocument/2006/custom-properties" xmlns:vt="http://schemas.openxmlformats.org/officeDocument/2006/docPropsVTypes"/>
</file>