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6FB" w:rsidRDefault="00983BF2" w:rsidP="005242F8">
      <w:pPr>
        <w:pStyle w:val="Title"/>
      </w:pPr>
      <w:r>
        <w:t>Basic Movement Module 2 (Core move set)</w:t>
      </w:r>
      <w:r w:rsidR="00FB4EAE">
        <w:t xml:space="preserve"> </w:t>
      </w:r>
      <w:r w:rsidR="004006FB">
        <w:t>6/6/2019</w:t>
      </w:r>
    </w:p>
    <w:p w:rsidR="004006FB" w:rsidRDefault="004006FB" w:rsidP="004006FB">
      <w:pPr>
        <w:pStyle w:val="Heading1"/>
      </w:pPr>
      <w:r>
        <w:t>Overview</w:t>
      </w:r>
    </w:p>
    <w:p w:rsidR="004006FB" w:rsidRDefault="004006FB">
      <w:r>
        <w:t xml:space="preserve">The player movement </w:t>
      </w:r>
      <w:r w:rsidR="00FB4EAE">
        <w:t>set</w:t>
      </w:r>
      <w:r>
        <w:t xml:space="preserve"> in its totality consists of many different states, this module just focuses on the "core" </w:t>
      </w:r>
      <w:r w:rsidR="00FB4EAE">
        <w:t>move set</w:t>
      </w:r>
      <w:r>
        <w:t xml:space="preserve"> (omitting </w:t>
      </w:r>
      <w:proofErr w:type="spellStart"/>
      <w:r>
        <w:t>monkeybars</w:t>
      </w:r>
      <w:proofErr w:type="spellEnd"/>
      <w:r>
        <w:t xml:space="preserve"> and climbing). Within the core move</w:t>
      </w:r>
      <w:r w:rsidR="00FB4EAE">
        <w:t xml:space="preserve"> </w:t>
      </w:r>
      <w:r>
        <w:t>set is...</w:t>
      </w:r>
    </w:p>
    <w:p w:rsidR="004006FB" w:rsidRDefault="004006FB">
      <w:r>
        <w:t>1-standing</w:t>
      </w:r>
    </w:p>
    <w:p w:rsidR="00971C81" w:rsidRDefault="00971C81">
      <w:r>
        <w:t>2-locked</w:t>
      </w:r>
    </w:p>
    <w:p w:rsidR="000271D7" w:rsidRDefault="000271D7">
      <w:r>
        <w:t>3-Walking</w:t>
      </w:r>
    </w:p>
    <w:p w:rsidR="004006FB" w:rsidRDefault="000271D7">
      <w:r>
        <w:t>4</w:t>
      </w:r>
      <w:r w:rsidR="004006FB">
        <w:t>-ducking</w:t>
      </w:r>
    </w:p>
    <w:p w:rsidR="004006FB" w:rsidRDefault="000271D7">
      <w:r>
        <w:t>5</w:t>
      </w:r>
      <w:r w:rsidR="004006FB">
        <w:t>-jumping</w:t>
      </w:r>
    </w:p>
    <w:p w:rsidR="004006FB" w:rsidRDefault="000271D7">
      <w:r>
        <w:t xml:space="preserve">One thing I failed to communicate is that you can directly use Contra 3 in the emulator as a </w:t>
      </w:r>
      <w:r w:rsidR="00854AEA">
        <w:t>refe</w:t>
      </w:r>
      <w:r w:rsidR="005242F8">
        <w:t>re</w:t>
      </w:r>
      <w:r w:rsidR="00854AEA">
        <w:t>nce</w:t>
      </w:r>
      <w:r>
        <w:t xml:space="preserve">. </w:t>
      </w:r>
      <w:r w:rsidR="00854AEA">
        <w:t>For instance I forgot to mention the lock</w:t>
      </w:r>
      <w:r w:rsidR="005242F8">
        <w:t>ed</w:t>
      </w:r>
      <w:r w:rsidR="00854AEA">
        <w:t xml:space="preserve"> state, to get a better idea of how it exactly works, try it out in-game. </w:t>
      </w:r>
      <w:r>
        <w:t>Let me know what emulator you use and I can start providing save</w:t>
      </w:r>
      <w:r w:rsidR="005242F8">
        <w:t xml:space="preserve"> states that might prove useful in the future.</w:t>
      </w:r>
    </w:p>
    <w:p w:rsidR="004006FB" w:rsidRDefault="004006FB" w:rsidP="004006FB">
      <w:pPr>
        <w:pStyle w:val="Heading1"/>
      </w:pPr>
      <w:r>
        <w:t>Standing</w:t>
      </w:r>
      <w:r w:rsidR="00854AEA">
        <w:t xml:space="preserve"> [Complete]</w:t>
      </w:r>
    </w:p>
    <w:p w:rsidR="004006FB" w:rsidRDefault="004006FB">
      <w:r>
        <w:t>While standing (not touching the direction pad) the player defaults to firing in whatever direction</w:t>
      </w:r>
      <w:r w:rsidR="005242F8">
        <w:t xml:space="preserve"> they're facing</w:t>
      </w:r>
      <w:r>
        <w:t>. As of now this state is complete</w:t>
      </w:r>
    </w:p>
    <w:p w:rsidR="00854AEA" w:rsidRDefault="00854AEA">
      <w:r>
        <w:t>Firing Directions</w:t>
      </w:r>
    </w:p>
    <w:tbl>
      <w:tblPr>
        <w:tblStyle w:val="TableGrid"/>
        <w:tblW w:w="0" w:type="auto"/>
        <w:tblLook w:val="04A0"/>
      </w:tblPr>
      <w:tblGrid>
        <w:gridCol w:w="4788"/>
        <w:gridCol w:w="4788"/>
      </w:tblGrid>
      <w:tr w:rsidR="00854AEA" w:rsidTr="00854AEA">
        <w:trPr>
          <w:trHeight w:val="143"/>
        </w:trPr>
        <w:tc>
          <w:tcPr>
            <w:tcW w:w="4788" w:type="dxa"/>
          </w:tcPr>
          <w:p w:rsidR="00854AEA" w:rsidRDefault="00854AEA" w:rsidP="00854AEA">
            <w:r>
              <w:t xml:space="preserve">180 </w:t>
            </w:r>
            <w:r w:rsidRPr="00854AEA">
              <w:rPr>
                <w:color w:val="00B050"/>
              </w:rPr>
              <w:t>[complete]</w:t>
            </w:r>
          </w:p>
        </w:tc>
        <w:tc>
          <w:tcPr>
            <w:tcW w:w="4788" w:type="dxa"/>
          </w:tcPr>
          <w:p w:rsidR="00854AEA" w:rsidRDefault="00854AEA" w:rsidP="00854AEA">
            <w:r>
              <w:t xml:space="preserve">0 </w:t>
            </w:r>
            <w:r w:rsidRPr="00854AEA">
              <w:rPr>
                <w:color w:val="00B050"/>
              </w:rPr>
              <w:t>[complete]</w:t>
            </w:r>
          </w:p>
        </w:tc>
      </w:tr>
    </w:tbl>
    <w:p w:rsidR="004006FB" w:rsidRDefault="004006FB"/>
    <w:p w:rsidR="004006FB" w:rsidRDefault="000271D7" w:rsidP="000271D7">
      <w:pPr>
        <w:pStyle w:val="Heading1"/>
      </w:pPr>
      <w:r>
        <w:t>Locked</w:t>
      </w:r>
      <w:r w:rsidR="00854AEA">
        <w:t xml:space="preserve"> [Incomplete]</w:t>
      </w:r>
    </w:p>
    <w:p w:rsidR="000271D7" w:rsidRDefault="000271D7">
      <w:r>
        <w:t>When the player is holding the Right shoulder button, the player stays "locked" in place and does not move</w:t>
      </w:r>
      <w:r w:rsidR="00FB4EAE">
        <w:t xml:space="preserve"> to assist in aiming while firing</w:t>
      </w:r>
      <w:r>
        <w:t>. This helps in certain situations when the player might want to aim, say, diagonally up but doesn't want to walk forward. When the right shoulder button is released the player is no longer in the locked state</w:t>
      </w:r>
      <w:r w:rsidR="00FB4EAE">
        <w:t xml:space="preserve"> and can move normally</w:t>
      </w:r>
      <w:r w:rsidR="00854AEA">
        <w:t>.</w:t>
      </w:r>
      <w:r w:rsidR="005242F8">
        <w:t xml:space="preserve"> Note that the locked state also exists outside the core move</w:t>
      </w:r>
      <w:r w:rsidR="00FB4EAE">
        <w:t xml:space="preserve"> </w:t>
      </w:r>
      <w:r w:rsidR="005242F8">
        <w:t xml:space="preserve">set (locked is something that can be performed while climbing or </w:t>
      </w:r>
      <w:proofErr w:type="spellStart"/>
      <w:r w:rsidR="005242F8">
        <w:t>monkeybars</w:t>
      </w:r>
      <w:proofErr w:type="spellEnd"/>
      <w:r w:rsidR="005242F8">
        <w:t>)</w:t>
      </w:r>
    </w:p>
    <w:p w:rsidR="00854AEA" w:rsidRDefault="005242F8">
      <w:r>
        <w:t>1- Shooting</w:t>
      </w:r>
      <w:r w:rsidR="00854AEA">
        <w:t xml:space="preserve"> Directions</w:t>
      </w:r>
    </w:p>
    <w:tbl>
      <w:tblPr>
        <w:tblStyle w:val="TableGrid"/>
        <w:tblW w:w="0" w:type="auto"/>
        <w:tblLook w:val="04A0"/>
      </w:tblPr>
      <w:tblGrid>
        <w:gridCol w:w="3192"/>
        <w:gridCol w:w="3192"/>
        <w:gridCol w:w="3192"/>
      </w:tblGrid>
      <w:tr w:rsidR="00854AEA" w:rsidTr="005242F8">
        <w:tc>
          <w:tcPr>
            <w:tcW w:w="3192" w:type="dxa"/>
          </w:tcPr>
          <w:p w:rsidR="00854AEA" w:rsidRDefault="00854AEA">
            <w:r>
              <w:t xml:space="preserve">135 </w:t>
            </w:r>
            <w:r w:rsidRPr="00854AEA">
              <w:rPr>
                <w:color w:val="C00000"/>
              </w:rPr>
              <w:t>[incomplete]</w:t>
            </w:r>
          </w:p>
        </w:tc>
        <w:tc>
          <w:tcPr>
            <w:tcW w:w="3192" w:type="dxa"/>
          </w:tcPr>
          <w:p w:rsidR="00854AEA" w:rsidRDefault="00854AEA">
            <w:r>
              <w:t xml:space="preserve">90 </w:t>
            </w:r>
            <w:r w:rsidRPr="00854AEA">
              <w:rPr>
                <w:color w:val="C00000"/>
              </w:rPr>
              <w:t>[incomplete]</w:t>
            </w:r>
          </w:p>
        </w:tc>
        <w:tc>
          <w:tcPr>
            <w:tcW w:w="3192" w:type="dxa"/>
          </w:tcPr>
          <w:p w:rsidR="00854AEA" w:rsidRDefault="00854AEA">
            <w:r>
              <w:t xml:space="preserve">45 </w:t>
            </w:r>
            <w:r w:rsidRPr="00854AEA">
              <w:rPr>
                <w:color w:val="C00000"/>
              </w:rPr>
              <w:t>[incomplete]</w:t>
            </w:r>
          </w:p>
        </w:tc>
      </w:tr>
      <w:tr w:rsidR="00854AEA" w:rsidTr="005242F8">
        <w:tc>
          <w:tcPr>
            <w:tcW w:w="3192" w:type="dxa"/>
          </w:tcPr>
          <w:p w:rsidR="00854AEA" w:rsidRDefault="00854AEA">
            <w:r>
              <w:t xml:space="preserve">180 </w:t>
            </w:r>
            <w:r w:rsidRPr="00854AEA">
              <w:rPr>
                <w:color w:val="C00000"/>
              </w:rPr>
              <w:t>[incomplete]</w:t>
            </w:r>
          </w:p>
        </w:tc>
        <w:tc>
          <w:tcPr>
            <w:tcW w:w="3192" w:type="dxa"/>
          </w:tcPr>
          <w:p w:rsidR="00854AEA" w:rsidRDefault="00854AEA"/>
        </w:tc>
        <w:tc>
          <w:tcPr>
            <w:tcW w:w="3192" w:type="dxa"/>
          </w:tcPr>
          <w:p w:rsidR="00854AEA" w:rsidRDefault="00854AEA">
            <w:r>
              <w:t xml:space="preserve">0 </w:t>
            </w:r>
            <w:r w:rsidRPr="00854AEA">
              <w:rPr>
                <w:color w:val="C00000"/>
              </w:rPr>
              <w:t>[incomplete]</w:t>
            </w:r>
          </w:p>
        </w:tc>
      </w:tr>
      <w:tr w:rsidR="00854AEA" w:rsidTr="005242F8">
        <w:tc>
          <w:tcPr>
            <w:tcW w:w="3192" w:type="dxa"/>
          </w:tcPr>
          <w:p w:rsidR="00854AEA" w:rsidRDefault="00854AEA">
            <w:r>
              <w:t xml:space="preserve">225 </w:t>
            </w:r>
            <w:r w:rsidRPr="00854AEA">
              <w:rPr>
                <w:color w:val="C00000"/>
              </w:rPr>
              <w:t>[incomplete]</w:t>
            </w:r>
          </w:p>
        </w:tc>
        <w:tc>
          <w:tcPr>
            <w:tcW w:w="3192" w:type="dxa"/>
          </w:tcPr>
          <w:p w:rsidR="00854AEA" w:rsidRDefault="00854AEA">
            <w:r>
              <w:t xml:space="preserve">270 </w:t>
            </w:r>
            <w:r w:rsidRPr="00854AEA">
              <w:rPr>
                <w:color w:val="C00000"/>
              </w:rPr>
              <w:t>[incomplete]</w:t>
            </w:r>
          </w:p>
        </w:tc>
        <w:tc>
          <w:tcPr>
            <w:tcW w:w="3192" w:type="dxa"/>
          </w:tcPr>
          <w:p w:rsidR="00854AEA" w:rsidRDefault="00854AEA">
            <w:r>
              <w:t xml:space="preserve">315 </w:t>
            </w:r>
            <w:r w:rsidRPr="00854AEA">
              <w:rPr>
                <w:color w:val="C00000"/>
              </w:rPr>
              <w:t>[incomplete]</w:t>
            </w:r>
          </w:p>
        </w:tc>
      </w:tr>
    </w:tbl>
    <w:p w:rsidR="000271D7" w:rsidRDefault="000271D7"/>
    <w:p w:rsidR="000271D7" w:rsidRDefault="000271D7" w:rsidP="00854AEA">
      <w:pPr>
        <w:pStyle w:val="Heading1"/>
      </w:pPr>
      <w:r>
        <w:t>Walking</w:t>
      </w:r>
      <w:r w:rsidR="00854AEA">
        <w:t xml:space="preserve"> [Incomplete]</w:t>
      </w:r>
    </w:p>
    <w:p w:rsidR="00854AEA" w:rsidRDefault="005242F8" w:rsidP="00854AEA">
      <w:r>
        <w:t xml:space="preserve">1- </w:t>
      </w:r>
      <w:r w:rsidR="00854AEA">
        <w:t>While walking the player can shoot in these directions</w:t>
      </w:r>
    </w:p>
    <w:tbl>
      <w:tblPr>
        <w:tblStyle w:val="TableGrid"/>
        <w:tblW w:w="0" w:type="auto"/>
        <w:tblLook w:val="04A0"/>
      </w:tblPr>
      <w:tblGrid>
        <w:gridCol w:w="3192"/>
        <w:gridCol w:w="3192"/>
        <w:gridCol w:w="3192"/>
      </w:tblGrid>
      <w:tr w:rsidR="00854AEA" w:rsidTr="00854AEA">
        <w:tc>
          <w:tcPr>
            <w:tcW w:w="3192" w:type="dxa"/>
          </w:tcPr>
          <w:p w:rsidR="00854AEA" w:rsidRDefault="00854AEA" w:rsidP="002D54AB">
            <w:r>
              <w:t xml:space="preserve">135 </w:t>
            </w:r>
            <w:r w:rsidRPr="00854AEA">
              <w:rPr>
                <w:color w:val="00B050"/>
              </w:rPr>
              <w:t>[complete]</w:t>
            </w:r>
          </w:p>
        </w:tc>
        <w:tc>
          <w:tcPr>
            <w:tcW w:w="3192" w:type="dxa"/>
          </w:tcPr>
          <w:p w:rsidR="00854AEA" w:rsidRDefault="00854AEA" w:rsidP="002D54AB">
            <w:r>
              <w:t xml:space="preserve">90 </w:t>
            </w:r>
            <w:r w:rsidRPr="00854AEA">
              <w:rPr>
                <w:color w:val="00B050"/>
              </w:rPr>
              <w:t>[complete]</w:t>
            </w:r>
          </w:p>
        </w:tc>
        <w:tc>
          <w:tcPr>
            <w:tcW w:w="3192" w:type="dxa"/>
          </w:tcPr>
          <w:p w:rsidR="00854AEA" w:rsidRDefault="00854AEA" w:rsidP="002D54AB">
            <w:r>
              <w:t xml:space="preserve">45 </w:t>
            </w:r>
            <w:r w:rsidRPr="00854AEA">
              <w:rPr>
                <w:color w:val="00B050"/>
              </w:rPr>
              <w:t>[complete]</w:t>
            </w:r>
          </w:p>
        </w:tc>
      </w:tr>
      <w:tr w:rsidR="00854AEA" w:rsidTr="00854AEA">
        <w:tc>
          <w:tcPr>
            <w:tcW w:w="3192" w:type="dxa"/>
          </w:tcPr>
          <w:p w:rsidR="00854AEA" w:rsidRDefault="00854AEA" w:rsidP="002D54AB">
            <w:r>
              <w:t xml:space="preserve">180 </w:t>
            </w:r>
            <w:r w:rsidRPr="00854AEA">
              <w:rPr>
                <w:color w:val="00B050"/>
              </w:rPr>
              <w:t>[complete]</w:t>
            </w:r>
          </w:p>
        </w:tc>
        <w:tc>
          <w:tcPr>
            <w:tcW w:w="3192" w:type="dxa"/>
          </w:tcPr>
          <w:p w:rsidR="00854AEA" w:rsidRDefault="00854AEA" w:rsidP="002D54AB"/>
        </w:tc>
        <w:tc>
          <w:tcPr>
            <w:tcW w:w="3192" w:type="dxa"/>
          </w:tcPr>
          <w:p w:rsidR="00854AEA" w:rsidRDefault="00854AEA" w:rsidP="002D54AB">
            <w:r>
              <w:t xml:space="preserve">0 </w:t>
            </w:r>
            <w:r w:rsidRPr="00854AEA">
              <w:rPr>
                <w:color w:val="00B050"/>
              </w:rPr>
              <w:t>[complete]</w:t>
            </w:r>
          </w:p>
        </w:tc>
      </w:tr>
      <w:tr w:rsidR="00854AEA" w:rsidTr="00854AEA">
        <w:tc>
          <w:tcPr>
            <w:tcW w:w="3192" w:type="dxa"/>
          </w:tcPr>
          <w:p w:rsidR="00854AEA" w:rsidRDefault="00854AEA" w:rsidP="002D54AB">
            <w:r>
              <w:t xml:space="preserve">225 </w:t>
            </w:r>
            <w:r w:rsidRPr="00854AEA">
              <w:rPr>
                <w:color w:val="C00000"/>
              </w:rPr>
              <w:t>[incomplete]</w:t>
            </w:r>
            <w:r>
              <w:rPr>
                <w:color w:val="C00000"/>
              </w:rPr>
              <w:t xml:space="preserve"> (change to walking and shooting)</w:t>
            </w:r>
          </w:p>
        </w:tc>
        <w:tc>
          <w:tcPr>
            <w:tcW w:w="3192" w:type="dxa"/>
          </w:tcPr>
          <w:p w:rsidR="00854AEA" w:rsidRDefault="00854AEA" w:rsidP="002D54AB">
            <w:r>
              <w:t>Ducking state</w:t>
            </w:r>
          </w:p>
        </w:tc>
        <w:tc>
          <w:tcPr>
            <w:tcW w:w="3192" w:type="dxa"/>
          </w:tcPr>
          <w:p w:rsidR="00854AEA" w:rsidRDefault="00854AEA" w:rsidP="00854AEA">
            <w:r>
              <w:t xml:space="preserve">315 </w:t>
            </w:r>
            <w:r w:rsidRPr="00854AEA">
              <w:rPr>
                <w:color w:val="C00000"/>
              </w:rPr>
              <w:t>[incomplete]</w:t>
            </w:r>
            <w:r>
              <w:rPr>
                <w:color w:val="C00000"/>
              </w:rPr>
              <w:t xml:space="preserve"> (change to walking and shooting)</w:t>
            </w:r>
          </w:p>
        </w:tc>
      </w:tr>
    </w:tbl>
    <w:p w:rsidR="00854AEA" w:rsidRDefault="00854AEA" w:rsidP="00854AEA"/>
    <w:p w:rsidR="00854AEA" w:rsidRDefault="00854AEA" w:rsidP="00854AEA">
      <w:pPr>
        <w:pStyle w:val="Heading1"/>
      </w:pPr>
      <w:r>
        <w:t>Ducking [Complete]</w:t>
      </w:r>
    </w:p>
    <w:p w:rsidR="00854AEA" w:rsidRDefault="005242F8" w:rsidP="00854AEA">
      <w:r>
        <w:t xml:space="preserve">1- </w:t>
      </w:r>
      <w:r w:rsidR="00854AEA">
        <w:t>Shooting Directions</w:t>
      </w:r>
    </w:p>
    <w:tbl>
      <w:tblPr>
        <w:tblStyle w:val="TableGrid"/>
        <w:tblW w:w="0" w:type="auto"/>
        <w:tblLook w:val="04A0"/>
      </w:tblPr>
      <w:tblGrid>
        <w:gridCol w:w="4788"/>
        <w:gridCol w:w="4788"/>
      </w:tblGrid>
      <w:tr w:rsidR="00854AEA" w:rsidTr="002D54AB">
        <w:trPr>
          <w:trHeight w:val="143"/>
        </w:trPr>
        <w:tc>
          <w:tcPr>
            <w:tcW w:w="4788" w:type="dxa"/>
          </w:tcPr>
          <w:p w:rsidR="00854AEA" w:rsidRDefault="00854AEA" w:rsidP="002D54AB">
            <w:r>
              <w:t xml:space="preserve">180 </w:t>
            </w:r>
            <w:r w:rsidRPr="00854AEA">
              <w:rPr>
                <w:color w:val="00B050"/>
              </w:rPr>
              <w:t>[complete]</w:t>
            </w:r>
          </w:p>
        </w:tc>
        <w:tc>
          <w:tcPr>
            <w:tcW w:w="4788" w:type="dxa"/>
          </w:tcPr>
          <w:p w:rsidR="00854AEA" w:rsidRDefault="00854AEA" w:rsidP="002D54AB">
            <w:r>
              <w:t xml:space="preserve">0 </w:t>
            </w:r>
            <w:r w:rsidRPr="00854AEA">
              <w:rPr>
                <w:color w:val="00B050"/>
              </w:rPr>
              <w:t>[complete]</w:t>
            </w:r>
          </w:p>
        </w:tc>
      </w:tr>
    </w:tbl>
    <w:p w:rsidR="00854AEA" w:rsidRDefault="00854AEA" w:rsidP="00854AEA"/>
    <w:p w:rsidR="005242F8" w:rsidRDefault="005242F8" w:rsidP="005242F8">
      <w:pPr>
        <w:pStyle w:val="Heading1"/>
      </w:pPr>
      <w:r>
        <w:t>Jumping [Incomplete]</w:t>
      </w:r>
    </w:p>
    <w:p w:rsidR="005242F8" w:rsidRDefault="005242F8" w:rsidP="00854AEA">
      <w:r>
        <w:t>Tasks</w:t>
      </w:r>
    </w:p>
    <w:p w:rsidR="005242F8" w:rsidRDefault="005242F8" w:rsidP="00854AEA">
      <w:r>
        <w:t xml:space="preserve">1- If the player is holding the fire button and starts a jump, shooting should continue in an unbroken series of bullets (currently the player is unable to fire for a second or so while airborne) </w:t>
      </w:r>
    </w:p>
    <w:p w:rsidR="005242F8" w:rsidRDefault="005242F8" w:rsidP="00854AEA">
      <w:pPr>
        <w:rPr>
          <w:color w:val="C00000"/>
        </w:rPr>
      </w:pPr>
      <w:r>
        <w:t>2- The player jump sprite should always be drawn while in the jump state (currently the sprite reverts back to the standing sprite in some cases)</w:t>
      </w:r>
    </w:p>
    <w:p w:rsidR="005242F8" w:rsidRDefault="005242F8" w:rsidP="00854AEA">
      <w:r>
        <w:t>Shooting Directions</w:t>
      </w:r>
    </w:p>
    <w:tbl>
      <w:tblPr>
        <w:tblStyle w:val="TableGrid"/>
        <w:tblW w:w="0" w:type="auto"/>
        <w:tblLook w:val="04A0"/>
      </w:tblPr>
      <w:tblGrid>
        <w:gridCol w:w="3192"/>
        <w:gridCol w:w="3192"/>
        <w:gridCol w:w="3192"/>
      </w:tblGrid>
      <w:tr w:rsidR="005242F8" w:rsidTr="005242F8">
        <w:tc>
          <w:tcPr>
            <w:tcW w:w="3192" w:type="dxa"/>
          </w:tcPr>
          <w:p w:rsidR="005242F8" w:rsidRDefault="005242F8" w:rsidP="002D54AB">
            <w:r>
              <w:t xml:space="preserve">135 </w:t>
            </w:r>
            <w:r w:rsidRPr="00854AEA">
              <w:rPr>
                <w:color w:val="00B050"/>
              </w:rPr>
              <w:t>[complete]</w:t>
            </w:r>
          </w:p>
        </w:tc>
        <w:tc>
          <w:tcPr>
            <w:tcW w:w="3192" w:type="dxa"/>
          </w:tcPr>
          <w:p w:rsidR="005242F8" w:rsidRDefault="005242F8" w:rsidP="002D54AB">
            <w:r>
              <w:t xml:space="preserve">90 </w:t>
            </w:r>
            <w:r w:rsidRPr="00854AEA">
              <w:rPr>
                <w:color w:val="00B050"/>
              </w:rPr>
              <w:t>[complete]</w:t>
            </w:r>
          </w:p>
        </w:tc>
        <w:tc>
          <w:tcPr>
            <w:tcW w:w="3192" w:type="dxa"/>
          </w:tcPr>
          <w:p w:rsidR="005242F8" w:rsidRDefault="005242F8" w:rsidP="002D54AB">
            <w:r>
              <w:t xml:space="preserve">45 </w:t>
            </w:r>
            <w:r w:rsidRPr="00854AEA">
              <w:rPr>
                <w:color w:val="00B050"/>
              </w:rPr>
              <w:t>[complete]</w:t>
            </w:r>
          </w:p>
        </w:tc>
      </w:tr>
      <w:tr w:rsidR="005242F8" w:rsidTr="005242F8">
        <w:tc>
          <w:tcPr>
            <w:tcW w:w="3192" w:type="dxa"/>
          </w:tcPr>
          <w:p w:rsidR="005242F8" w:rsidRDefault="005242F8" w:rsidP="002D54AB">
            <w:r>
              <w:t xml:space="preserve">180 </w:t>
            </w:r>
            <w:r w:rsidRPr="00854AEA">
              <w:rPr>
                <w:color w:val="00B050"/>
              </w:rPr>
              <w:t>[complete]</w:t>
            </w:r>
          </w:p>
        </w:tc>
        <w:tc>
          <w:tcPr>
            <w:tcW w:w="3192" w:type="dxa"/>
          </w:tcPr>
          <w:p w:rsidR="005242F8" w:rsidRDefault="005242F8" w:rsidP="002D54AB"/>
        </w:tc>
        <w:tc>
          <w:tcPr>
            <w:tcW w:w="3192" w:type="dxa"/>
          </w:tcPr>
          <w:p w:rsidR="005242F8" w:rsidRDefault="005242F8" w:rsidP="002D54AB">
            <w:r>
              <w:t xml:space="preserve">0 </w:t>
            </w:r>
            <w:r w:rsidRPr="00854AEA">
              <w:rPr>
                <w:color w:val="00B050"/>
              </w:rPr>
              <w:t>[complete]</w:t>
            </w:r>
          </w:p>
        </w:tc>
      </w:tr>
      <w:tr w:rsidR="005242F8" w:rsidTr="005242F8">
        <w:tc>
          <w:tcPr>
            <w:tcW w:w="3192" w:type="dxa"/>
          </w:tcPr>
          <w:p w:rsidR="005242F8" w:rsidRDefault="005242F8" w:rsidP="002D54AB">
            <w:r>
              <w:t xml:space="preserve">225 </w:t>
            </w:r>
            <w:r w:rsidRPr="00854AEA">
              <w:rPr>
                <w:color w:val="C00000"/>
              </w:rPr>
              <w:t>[incomplete]</w:t>
            </w:r>
          </w:p>
        </w:tc>
        <w:tc>
          <w:tcPr>
            <w:tcW w:w="3192" w:type="dxa"/>
          </w:tcPr>
          <w:p w:rsidR="005242F8" w:rsidRDefault="005242F8" w:rsidP="002D54AB">
            <w:r>
              <w:t xml:space="preserve">270 </w:t>
            </w:r>
            <w:r w:rsidRPr="00854AEA">
              <w:rPr>
                <w:color w:val="C00000"/>
              </w:rPr>
              <w:t>[incomplete]</w:t>
            </w:r>
          </w:p>
        </w:tc>
        <w:tc>
          <w:tcPr>
            <w:tcW w:w="3192" w:type="dxa"/>
          </w:tcPr>
          <w:p w:rsidR="005242F8" w:rsidRDefault="005242F8" w:rsidP="002D54AB">
            <w:r>
              <w:t xml:space="preserve">315 </w:t>
            </w:r>
            <w:r w:rsidRPr="00854AEA">
              <w:rPr>
                <w:color w:val="C00000"/>
              </w:rPr>
              <w:t>[incomplete]</w:t>
            </w:r>
          </w:p>
        </w:tc>
      </w:tr>
    </w:tbl>
    <w:p w:rsidR="005242F8" w:rsidRPr="005242F8" w:rsidRDefault="005242F8" w:rsidP="00854AEA"/>
    <w:sectPr w:rsidR="005242F8" w:rsidRPr="005242F8" w:rsidSect="008468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defaultTabStop w:val="720"/>
  <w:characterSpacingControl w:val="doNotCompress"/>
  <w:compat/>
  <w:rsids>
    <w:rsidRoot w:val="004006FB"/>
    <w:rsid w:val="000271D7"/>
    <w:rsid w:val="004006FB"/>
    <w:rsid w:val="005242F8"/>
    <w:rsid w:val="00781D94"/>
    <w:rsid w:val="0084685F"/>
    <w:rsid w:val="00854AEA"/>
    <w:rsid w:val="00971C81"/>
    <w:rsid w:val="00983BF2"/>
    <w:rsid w:val="00FB4E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85F"/>
  </w:style>
  <w:style w:type="paragraph" w:styleId="Heading1">
    <w:name w:val="heading 1"/>
    <w:basedOn w:val="Normal"/>
    <w:next w:val="Normal"/>
    <w:link w:val="Heading1Char"/>
    <w:uiPriority w:val="9"/>
    <w:qFormat/>
    <w:rsid w:val="004006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6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06F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006F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54A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 B</dc:creator>
  <cp:lastModifiedBy>Johnny B</cp:lastModifiedBy>
  <cp:revision>3</cp:revision>
  <dcterms:created xsi:type="dcterms:W3CDTF">2019-06-07T04:18:00Z</dcterms:created>
  <dcterms:modified xsi:type="dcterms:W3CDTF">2019-06-07T06:30:00Z</dcterms:modified>
</cp:coreProperties>
</file>