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FFE9E" w14:textId="6A2D96FC" w:rsidR="00ED28F3" w:rsidRDefault="009C31E1" w:rsidP="001554C5">
      <w:pPr>
        <w:pStyle w:val="BodyText"/>
      </w:pPr>
      <w:r>
        <w:rPr>
          <w:b/>
          <w:bCs/>
        </w:rPr>
        <w:t>Introduction.</w:t>
      </w:r>
      <w:r w:rsidRPr="00275E7A">
        <w:t xml:space="preserve"> </w:t>
      </w:r>
      <w:r w:rsidR="00275E7A" w:rsidRPr="00275E7A">
        <w:t xml:space="preserve">This document describes </w:t>
      </w:r>
      <w:r w:rsidR="00D93899">
        <w:t xml:space="preserve">the data sources and assumptions for the </w:t>
      </w:r>
      <w:r w:rsidR="00275E7A" w:rsidRPr="00275E7A">
        <w:t>Switch-Oahu model</w:t>
      </w:r>
      <w:r w:rsidR="00D93899">
        <w:t xml:space="preserve">, as used in </w:t>
      </w:r>
      <w:r w:rsidR="004C5A7C">
        <w:t>the study “</w:t>
      </w:r>
      <w:r w:rsidR="004C5A7C" w:rsidRPr="004C5A7C">
        <w:t>Real-Time Pricing and the Cost of Clean Power</w:t>
      </w:r>
      <w:r w:rsidR="004C5A7C">
        <w:t>,”</w:t>
      </w:r>
      <w:r w:rsidR="004C5A7C">
        <w:rPr>
          <w:rFonts w:ascii="Cambria Math" w:hAnsi="Cambria Math" w:cs="Cambria Math"/>
        </w:rPr>
        <w:t xml:space="preserve"> by </w:t>
      </w:r>
      <w:r w:rsidR="004C5A7C" w:rsidRPr="004C5A7C">
        <w:t>Imelda, Matthias Fripp</w:t>
      </w:r>
      <w:r w:rsidR="004C5A7C">
        <w:t xml:space="preserve"> and </w:t>
      </w:r>
      <w:r w:rsidR="004C5A7C" w:rsidRPr="004C5A7C">
        <w:t>Michael J. Roberts</w:t>
      </w:r>
      <w:r w:rsidR="00275E7A">
        <w:t xml:space="preserve">. </w:t>
      </w:r>
      <w:r w:rsidR="00175D27">
        <w:t xml:space="preserve">Switch is </w:t>
      </w:r>
      <w:r w:rsidR="00275E7A">
        <w:t xml:space="preserve">an electricity capacity </w:t>
      </w:r>
      <w:r w:rsidR="00175D27">
        <w:t xml:space="preserve">planning model </w:t>
      </w:r>
      <w:r w:rsidR="00E12870">
        <w:t xml:space="preserve">that chooses a </w:t>
      </w:r>
      <w:r w:rsidR="008520BB">
        <w:t>cost-minimizing</w:t>
      </w:r>
      <w:r w:rsidR="00E12870">
        <w:t xml:space="preserve"> portfolio of generation assets </w:t>
      </w:r>
      <w:r w:rsidR="00175D27">
        <w:t xml:space="preserve">for power systems with large shares of renewable energy. </w:t>
      </w:r>
      <w:r w:rsidR="00E12870">
        <w:t>D</w:t>
      </w:r>
      <w:r w:rsidR="00175D27">
        <w:t xml:space="preserve">etails are given in </w:t>
      </w:r>
      <w:r w:rsidR="0007727D">
        <w:t xml:space="preserve">Johnson et al. </w:t>
      </w:r>
      <w:r w:rsidR="00175D27">
        <w:fldChar w:fldCharType="begin"/>
      </w:r>
      <w:r w:rsidR="00AA7CCF">
        <w:instrText xml:space="preserve"> ADDIN ZOTERO_ITEM CSL_CITATION {"citationID":"hSPxXjRM","properties":{"formattedCitation":"(2018)","plainCitation":"(2018)","noteIndex":0},"citationItems":[{"id":1730,"uris":["http://zotero.org/users/1686015/items/MKBUQPG8",["http://zotero.org/users/1686015/items/MKBUQPG8"]],"itemData":{"id":1730,"type":"report","publisher":"Preprint","title":"Switch 2.0: a modern platform for planning high-renewable power systems","URL":"https://arxiv.org/abs/1804.05481","author":[{"family":"Johnston","given":"Josiah"},{"family":"Henríquez","given":"Rodrigo"},{"family":"Maluenda","given":"Benjamín"},{"family":"Fripp","given":"Matthias"},{"family":"Fripp","given":"Matthias"}],"issued":{"date-parts":[["2018"]]},"citation-key":"johnston_switch_2018"},"suppress-author":true}],"schema":"https://github.com/citation-style-language/schema/raw/master/csl-citation.json"} </w:instrText>
      </w:r>
      <w:r w:rsidR="00175D27">
        <w:fldChar w:fldCharType="separate"/>
      </w:r>
      <w:r w:rsidR="0007727D">
        <w:rPr>
          <w:rFonts w:cs="Times New Roman"/>
        </w:rPr>
        <w:t>(2018)</w:t>
      </w:r>
      <w:r w:rsidR="00175D27">
        <w:fldChar w:fldCharType="end"/>
      </w:r>
      <w:r w:rsidR="00175D27">
        <w:t>.</w:t>
      </w:r>
      <w:r w:rsidR="0007727D">
        <w:t xml:space="preserve"> Switch software and tutorials can be downloaded from </w:t>
      </w:r>
      <w:hyperlink r:id="rId8" w:history="1">
        <w:r w:rsidR="0007727D" w:rsidRPr="0007727D">
          <w:rPr>
            <w:rStyle w:val="Hyperlink"/>
          </w:rPr>
          <w:t>http://switch-model.org/</w:t>
        </w:r>
      </w:hyperlink>
      <w:r w:rsidR="0007727D">
        <w:t>.</w:t>
      </w:r>
      <w:r>
        <w:t xml:space="preserve"> </w:t>
      </w:r>
      <w:r w:rsidR="00ED28F3" w:rsidRPr="00ED28F3">
        <w:t>Instructions for replicating this study’s data and findings can be found at</w:t>
      </w:r>
      <w:r w:rsidR="00466F96">
        <w:t xml:space="preserve"> </w:t>
      </w:r>
      <w:hyperlink r:id="rId9" w:history="1">
        <w:r w:rsidR="00466F96" w:rsidRPr="00466F96">
          <w:rPr>
            <w:rStyle w:val="Hyperlink"/>
          </w:rPr>
          <w:t>https://doi.org/10.5281/zenodo.7228323</w:t>
        </w:r>
      </w:hyperlink>
      <w:r w:rsidR="00ED28F3">
        <w:t xml:space="preserve">. This document describes the </w:t>
      </w:r>
      <w:r w:rsidR="00D93899">
        <w:t xml:space="preserve">data sources </w:t>
      </w:r>
      <w:r w:rsidR="00ED28F3">
        <w:t>used when building the Switch-Oahu data warehouse</w:t>
      </w:r>
      <w:r w:rsidR="00D93899">
        <w:t>, one of the steps in the process described there</w:t>
      </w:r>
      <w:r w:rsidR="00ED28F3">
        <w:t>.</w:t>
      </w:r>
    </w:p>
    <w:p w14:paraId="623DDA42" w14:textId="5A54C9B3" w:rsidR="0007727D" w:rsidRDefault="00E12870" w:rsidP="005E5F75">
      <w:pPr>
        <w:pStyle w:val="BodyText"/>
      </w:pPr>
      <w:commentRangeStart w:id="0"/>
      <w:r>
        <w:rPr>
          <w:b/>
          <w:bCs/>
        </w:rPr>
        <w:t xml:space="preserve">Geography and calendar. </w:t>
      </w:r>
      <w:r>
        <w:t xml:space="preserve">For this </w:t>
      </w:r>
      <w:r w:rsidR="00D93899">
        <w:t>study</w:t>
      </w:r>
      <w:r>
        <w:t xml:space="preserve">, </w:t>
      </w:r>
      <w:r w:rsidR="00CA30EC">
        <w:t xml:space="preserve">Oahu </w:t>
      </w:r>
      <w:r w:rsidR="00CA1A05">
        <w:t>is</w:t>
      </w:r>
      <w:r>
        <w:t xml:space="preserve"> modeled </w:t>
      </w:r>
      <w:r w:rsidR="00CA30EC">
        <w:t xml:space="preserve">as a single zone with </w:t>
      </w:r>
      <w:r>
        <w:t xml:space="preserve">adequate internal transmission and </w:t>
      </w:r>
      <w:r w:rsidR="00CA30EC">
        <w:t>no connection to neighbor islands</w:t>
      </w:r>
      <w:r>
        <w:t xml:space="preserve">. The generation portfolio </w:t>
      </w:r>
      <w:r w:rsidR="00CA1A05">
        <w:t xml:space="preserve">is </w:t>
      </w:r>
      <w:r>
        <w:t xml:space="preserve">optimized </w:t>
      </w:r>
      <w:r w:rsidR="00FC7700">
        <w:t>for 2045, taking account of all plant retirements expected before then</w:t>
      </w:r>
      <w:r w:rsidR="00CA30EC">
        <w:t xml:space="preserve">. </w:t>
      </w:r>
      <w:r>
        <w:t>W</w:t>
      </w:r>
      <w:r w:rsidR="00CA30EC">
        <w:t xml:space="preserve">eather </w:t>
      </w:r>
      <w:r>
        <w:t xml:space="preserve">and loads </w:t>
      </w:r>
      <w:r w:rsidR="00CA30EC">
        <w:t xml:space="preserve">during </w:t>
      </w:r>
      <w:r w:rsidR="00FC7700">
        <w:t xml:space="preserve">2045 </w:t>
      </w:r>
      <w:r>
        <w:t xml:space="preserve">are represented by 13 </w:t>
      </w:r>
      <w:r w:rsidR="00CA30EC">
        <w:t xml:space="preserve">one-day timeseries, with </w:t>
      </w:r>
      <w:r w:rsidR="00DE62A1">
        <w:t>24</w:t>
      </w:r>
      <w:r w:rsidR="00CA30EC">
        <w:t xml:space="preserve"> </w:t>
      </w:r>
      <w:r w:rsidR="00DE62A1">
        <w:t>one</w:t>
      </w:r>
      <w:r w:rsidR="00CA30EC">
        <w:t>-hour timesteps on each sample day</w:t>
      </w:r>
      <w:r>
        <w:t xml:space="preserve">. </w:t>
      </w:r>
      <w:r w:rsidR="00CA30EC">
        <w:t xml:space="preserve">Decisions about generator commitment, output, storage and demand response are made during each of these timesteps. </w:t>
      </w:r>
      <w:r>
        <w:t xml:space="preserve">These weather days </w:t>
      </w:r>
      <w:r w:rsidR="0002552A">
        <w:t xml:space="preserve">were selected and weighted to match </w:t>
      </w:r>
      <w:r>
        <w:t>historical conditions in 2007–08</w:t>
      </w:r>
      <w:r w:rsidR="0002552A">
        <w:t xml:space="preserve"> as accurately as possible, including the single most difficult </w:t>
      </w:r>
      <w:r>
        <w:t>weather day</w:t>
      </w:r>
      <w:r w:rsidR="0002552A">
        <w:t xml:space="preserve"> </w:t>
      </w:r>
      <w:r>
        <w:t>(low wind and sun and high loads)</w:t>
      </w:r>
      <w:r w:rsidR="0002552A">
        <w:t>.</w:t>
      </w:r>
      <w:r w:rsidR="009C31E1">
        <w:t xml:space="preserve"> </w:t>
      </w:r>
    </w:p>
    <w:p w14:paraId="0C277ED9" w14:textId="09AADD1A" w:rsidR="00D9301A" w:rsidRPr="00D9301A" w:rsidRDefault="00D9301A" w:rsidP="0002552A">
      <w:pPr>
        <w:pStyle w:val="BodyText"/>
      </w:pPr>
      <w:r>
        <w:rPr>
          <w:b/>
          <w:bCs/>
        </w:rPr>
        <w:t xml:space="preserve">Financial assumptions. </w:t>
      </w:r>
      <w:r>
        <w:t xml:space="preserve">All costs </w:t>
      </w:r>
      <w:r w:rsidR="009B22B8">
        <w:t xml:space="preserve">input into Switch and reported from Switch are </w:t>
      </w:r>
      <w:r>
        <w:t xml:space="preserve">in 2020 real dollars. </w:t>
      </w:r>
      <w:r w:rsidR="009B22B8">
        <w:t xml:space="preserve">Switch </w:t>
      </w:r>
      <w:r w:rsidR="00CE7E3E">
        <w:t xml:space="preserve">normally </w:t>
      </w:r>
      <w:r>
        <w:t>minimizes costs on an NPV basis</w:t>
      </w:r>
      <w:r w:rsidR="00CE7E3E">
        <w:t>, but since this was a single-year study, the discount rate was set to 0% to give simple cost minimization</w:t>
      </w:r>
      <w:r>
        <w:t>. Capital costs are assumed to be financed with an annual payment over the life of the asset that is constant in real dollars, i.e., escalating with inflation. The cost of capital for this amortization is assumed to be 6% real (~8% nominal).</w:t>
      </w:r>
      <w:commentRangeEnd w:id="0"/>
      <w:r w:rsidR="00466F96">
        <w:rPr>
          <w:rStyle w:val="CommentReference"/>
        </w:rPr>
        <w:commentReference w:id="0"/>
      </w:r>
    </w:p>
    <w:p w14:paraId="0FEC9E2A" w14:textId="77777777" w:rsidR="00352421" w:rsidRDefault="00352421" w:rsidP="00352421">
      <w:pPr>
        <w:pStyle w:val="BodyText"/>
      </w:pPr>
      <w:r>
        <w:rPr>
          <w:b/>
          <w:bCs/>
        </w:rPr>
        <w:t>Electricity demand</w:t>
      </w:r>
      <w:r>
        <w:t xml:space="preserve">. We first calculate baseline electricity demand—hourly loads that would be expected if prices </w:t>
      </w:r>
      <w:r>
        <w:t>were</w:t>
      </w:r>
      <w:r>
        <w:t xml:space="preserve"> set equal to average generation cost observed in 2007-08</w:t>
      </w:r>
      <w:r>
        <w:t xml:space="preserve"> and </w:t>
      </w:r>
      <w:r>
        <w:t xml:space="preserve">there </w:t>
      </w:r>
      <w:r>
        <w:t xml:space="preserve">is </w:t>
      </w:r>
      <w:r>
        <w:t xml:space="preserve">no effort to reschedule loads to better times of day. </w:t>
      </w:r>
      <w:commentRangeStart w:id="1"/>
      <w:r>
        <w:t>For this study, these hourly load forecasts were used as baseline loads to calibrate the constant elasticity demand system described in the paper. Then Switch found the system design, marginal costs and corresponding demand that maximize surplus with this demand system, contingent upon the pricing assumptions.</w:t>
      </w:r>
      <w:commentRangeEnd w:id="1"/>
      <w:r>
        <w:rPr>
          <w:rStyle w:val="CommentReference"/>
        </w:rPr>
        <w:commentReference w:id="1"/>
      </w:r>
      <w:r>
        <w:t xml:space="preserve">  </w:t>
      </w:r>
      <w:r>
        <w:t xml:space="preserve">In flat-price scenarios, the overall level of demand increases or decreases inversely with the resolved equilibrium average cost, but the load shape does not change. In RTP scenarios, demand can vary across hours and days in accordance with the specified demand system. </w:t>
      </w:r>
    </w:p>
    <w:p w14:paraId="422422DD" w14:textId="62863990" w:rsidR="00352421" w:rsidRDefault="00352421" w:rsidP="00352421">
      <w:pPr>
        <w:pStyle w:val="BodyText"/>
      </w:pPr>
      <w:r>
        <w:t xml:space="preserve">These loads are gross loads at the customer premises, including any demand that is self-supplied by distributed generation (DG). </w:t>
      </w:r>
      <w:r>
        <w:t>The b</w:t>
      </w:r>
      <w:r>
        <w:t>aseline demand is based on hourly Oahu electricity loads in 2007–08 as reported to the Federal Energy Regulatory Commission (FERC). The historical loads are rescaled to have the same peak and average values as forecast for 2045. For this study, we used two forecasts of 2045 load: “flat_2007” (same peak and average load as 2007) and “</w:t>
      </w:r>
      <w:r w:rsidRPr="00E300E3">
        <w:t>PSIP_2016_12</w:t>
      </w:r>
      <w:r>
        <w:t xml:space="preserve">” (peak and average loads forecast in Hawaiian Electric’s (HECO’s) Power Supply Improvement Plan (PSIP) in December 2016). Peak and average loads from PSIP for 2016–45 are shown in </w:t>
      </w:r>
      <w:r>
        <w:fldChar w:fldCharType="begin"/>
      </w:r>
      <w:r>
        <w:instrText xml:space="preserve"> REF _Ref525420349 </w:instrText>
      </w:r>
      <w:r>
        <w:fldChar w:fldCharType="separate"/>
      </w:r>
      <w:r>
        <w:t xml:space="preserve">Figure </w:t>
      </w:r>
      <w:r>
        <w:rPr>
          <w:noProof/>
        </w:rPr>
        <w:t>3</w:t>
      </w:r>
      <w:r>
        <w:rPr>
          <w:noProof/>
        </w:rPr>
        <w:fldChar w:fldCharType="end"/>
      </w:r>
      <w:r>
        <w:t xml:space="preserve">. </w:t>
      </w:r>
    </w:p>
    <w:p w14:paraId="23751CD2" w14:textId="42A26B1C" w:rsidR="0002552A" w:rsidRDefault="0002552A" w:rsidP="0002552A">
      <w:pPr>
        <w:pStyle w:val="Figure"/>
      </w:pPr>
      <w:bookmarkStart w:id="2" w:name="_Ref525411584"/>
    </w:p>
    <w:p w14:paraId="1C86A4A1" w14:textId="5DA8B401" w:rsidR="009C29AE" w:rsidRDefault="009C29AE" w:rsidP="0002552A">
      <w:pPr>
        <w:pStyle w:val="Figure"/>
      </w:pPr>
      <w:r>
        <w:drawing>
          <wp:inline distT="0" distB="0" distL="0" distR="0" wp14:anchorId="2C0E6C85" wp14:editId="40660235">
            <wp:extent cx="53340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1701800"/>
                    </a:xfrm>
                    <a:prstGeom prst="rect">
                      <a:avLst/>
                    </a:prstGeom>
                  </pic:spPr>
                </pic:pic>
              </a:graphicData>
            </a:graphic>
          </wp:inline>
        </w:drawing>
      </w:r>
    </w:p>
    <w:p w14:paraId="5EDF7848" w14:textId="6870BD31" w:rsidR="0002552A" w:rsidRDefault="0002552A" w:rsidP="0002552A">
      <w:pPr>
        <w:pStyle w:val="Caption"/>
        <w:jc w:val="center"/>
      </w:pPr>
      <w:bookmarkStart w:id="3" w:name="_Ref525420349"/>
      <w:bookmarkStart w:id="4" w:name="_Ref525420311"/>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
      <w:r>
        <w:t xml:space="preserve">. Peak and average </w:t>
      </w:r>
      <w:r w:rsidR="00425E09">
        <w:t>baseline</w:t>
      </w:r>
      <w:r>
        <w:t xml:space="preserve"> load </w:t>
      </w:r>
      <w:r w:rsidR="009C29AE">
        <w:t xml:space="preserve">forecasted </w:t>
      </w:r>
      <w:r>
        <w:t>for Oahu in 20</w:t>
      </w:r>
      <w:r w:rsidR="009C29AE">
        <w:t>16</w:t>
      </w:r>
      <w:r>
        <w:t>–45</w:t>
      </w:r>
      <w:bookmarkEnd w:id="4"/>
    </w:p>
    <w:bookmarkEnd w:id="2"/>
    <w:p w14:paraId="579586C7" w14:textId="1095581B" w:rsidR="00F55164" w:rsidRDefault="00E137E7" w:rsidP="000E1ECB">
      <w:pPr>
        <w:pStyle w:val="BodyText"/>
      </w:pPr>
      <w:r>
        <w:rPr>
          <w:b/>
          <w:bCs/>
        </w:rPr>
        <w:t>Electric vehicles (EVs).</w:t>
      </w:r>
      <w:r>
        <w:t xml:space="preserve"> </w:t>
      </w:r>
      <w:r w:rsidR="00155009">
        <w:t xml:space="preserve">We consider three possible scenarios for conversion of the light-duty vehicle fleet to electric vehicles. In the “Full Adoption” scenario, 100% of </w:t>
      </w:r>
      <w:r w:rsidR="00F55164">
        <w:t>light-duty</w:t>
      </w:r>
      <w:r w:rsidR="00155009">
        <w:t xml:space="preserve"> vehicles are converted to electric by 2045, following a simple linear transition that begins in 20</w:t>
      </w:r>
      <w:r w:rsidR="003650B5">
        <w:t>20</w:t>
      </w:r>
      <w:r w:rsidR="00155009">
        <w:t>. In the “Half Adoption” scenario, there are half as many EVs in each year. In the “Flat 2016” scenario, electrification is frozen at the 2016 share (</w:t>
      </w:r>
      <w:r w:rsidR="003650B5">
        <w:t>0.54</w:t>
      </w:r>
      <w:r w:rsidR="00155009">
        <w:t xml:space="preserve">%), derived from the </w:t>
      </w:r>
      <w:r w:rsidR="00155009" w:rsidRPr="002C1531">
        <w:t>DBEDT monthly energy trends report</w:t>
      </w:r>
      <w:r w:rsidR="002C1531">
        <w:t xml:space="preserve"> </w:t>
      </w:r>
      <w:r w:rsidR="002C1531">
        <w:fldChar w:fldCharType="begin"/>
      </w:r>
      <w:r w:rsidR="002C1531">
        <w:instrText xml:space="preserve"> ADDIN ZOTERO_ITEM CSL_CITATION {"citationID":"C8ngqisr","properties":{"formattedCitation":"(DBEDT 2018)","plainCitation":"(DBEDT 2018)","noteIndex":0},"citationItems":[{"id":1967,"uris":["http://zotero.org/users/1686015/items/78NMUH8H"],"itemData":{"id":1967,"type":"report","event-place":"Honolulu, Hawaii","publisher":"Research &amp; Economic Analysis, Hawaii Department of Business, Economic Development &amp; Tourism","publisher-place":"Honolulu, Hawaii","title":"Monthly Energy Trends","URL":"http://dbedt.hawaii.gov/economic/energy-trends-2/","author":[{"literal":"DBEDT"}],"accessed":{"date-parts":[["2018",7,3]]},"issued":{"date-parts":[["2018",5]]},"citation-key":"dbedt_monthly_2018"}}],"schema":"https://github.com/citation-style-language/schema/raw/master/csl-citation.json"} </w:instrText>
      </w:r>
      <w:r w:rsidR="002C1531">
        <w:fldChar w:fldCharType="separate"/>
      </w:r>
      <w:r w:rsidR="002C1531">
        <w:rPr>
          <w:noProof/>
        </w:rPr>
        <w:t>(DBEDT 2018)</w:t>
      </w:r>
      <w:r w:rsidR="002C1531">
        <w:fldChar w:fldCharType="end"/>
      </w:r>
      <w:r w:rsidR="00155009">
        <w:t xml:space="preserve">. </w:t>
      </w:r>
      <w:r w:rsidR="000E1ECB">
        <w:t>In all three scenarios, w</w:t>
      </w:r>
      <w:r>
        <w:t xml:space="preserve">e </w:t>
      </w:r>
      <w:r w:rsidR="003955C5">
        <w:t xml:space="preserve">neglect electrification of </w:t>
      </w:r>
      <w:r>
        <w:t xml:space="preserve">the heavy-duty vehicle fleet (buses and trucks). </w:t>
      </w:r>
    </w:p>
    <w:p w14:paraId="2A6BF6D3" w14:textId="302E2362" w:rsidR="003955C5" w:rsidRDefault="000E1ECB" w:rsidP="000E1ECB">
      <w:pPr>
        <w:pStyle w:val="BodyText"/>
      </w:pPr>
      <w:r>
        <w:t xml:space="preserve">The size of the overall </w:t>
      </w:r>
      <w:r w:rsidR="003955C5">
        <w:t xml:space="preserve">vehicle fleet </w:t>
      </w:r>
      <w:r w:rsidR="00CE197D">
        <w:t>(</w:t>
      </w:r>
      <w:r w:rsidR="00CE197D" w:rsidRPr="00CE197D">
        <w:t>816</w:t>
      </w:r>
      <w:r w:rsidR="00CE197D">
        <w:t>,</w:t>
      </w:r>
      <w:r w:rsidR="00CE197D" w:rsidRPr="00CE197D">
        <w:t>908</w:t>
      </w:r>
      <w:r w:rsidR="00CE197D">
        <w:t>) and the miles traveled per vehicle year (8,706) are held constant at the levels shown for Oahu in 2014</w:t>
      </w:r>
      <w:r w:rsidR="00AA7CCF">
        <w:t>, based</w:t>
      </w:r>
      <w:r w:rsidR="00CE197D">
        <w:t xml:space="preserve"> </w:t>
      </w:r>
      <w:r w:rsidR="00AA7CCF">
        <w:t xml:space="preserve">on county inspections, as shown </w:t>
      </w:r>
      <w:r w:rsidR="00CE197D">
        <w:t xml:space="preserve">in the </w:t>
      </w:r>
      <w:r w:rsidR="00CE197D" w:rsidRPr="002C1531">
        <w:t>DBEDT economic databook</w:t>
      </w:r>
      <w:r w:rsidR="00AA7CCF">
        <w:t xml:space="preserve"> </w:t>
      </w:r>
      <w:r w:rsidR="00AA7CCF">
        <w:fldChar w:fldCharType="begin"/>
      </w:r>
      <w:r w:rsidR="002C1531">
        <w:instrText xml:space="preserve"> ADDIN ZOTERO_ITEM CSL_CITATION {"citationID":"zXRv5HYk","properties":{"formattedCitation":"(DBEDT 2017)","plainCitation":"(DBEDT 2017)","noteIndex":0},"citationItems":[{"id":2926,"uris":["http://zotero.org/groups/2869181/items/6ZNGHMNI"],"itemData":{"id":2926,"type":"report","event-place":"Honolulu, Hawaii","publisher":"Hawaii Department of Economic Development and Tourism","publisher-place":"Honolulu, Hawaii","title":"2016 State of Hawaii Databook","URL":"http://dbedt.hawaii.gov/economic/databook/","author":[{"literal":"DBEDT"}],"accessed":{"date-parts":[["2018",7,4]]},"issued":{"date-parts":[["2017",11]]},"citation-key":"dbedt_2016_2017"}}],"schema":"https://github.com/citation-style-language/schema/raw/master/csl-citation.json"} </w:instrText>
      </w:r>
      <w:r w:rsidR="00AA7CCF">
        <w:fldChar w:fldCharType="separate"/>
      </w:r>
      <w:r w:rsidR="002C1531">
        <w:rPr>
          <w:noProof/>
        </w:rPr>
        <w:t>(DBEDT 2017)</w:t>
      </w:r>
      <w:r w:rsidR="00AA7CCF">
        <w:fldChar w:fldCharType="end"/>
      </w:r>
      <w:r w:rsidR="00CE197D">
        <w:t>.</w:t>
      </w:r>
      <w:r w:rsidR="001825FC">
        <w:t xml:space="preserve"> EVs are assumed to travel 4 miles per kWh of charging, based on the 2013 Nissan Leaf, and the fleet is assumed to </w:t>
      </w:r>
      <w:r w:rsidR="00C47BB1">
        <w:t>obtain enough charge to match the total miles traveled each day.</w:t>
      </w:r>
    </w:p>
    <w:p w14:paraId="124BAF5A" w14:textId="5AC6EE42" w:rsidR="001825FC" w:rsidRDefault="00CE197D" w:rsidP="00CE197D">
      <w:pPr>
        <w:pStyle w:val="BodyText"/>
      </w:pPr>
      <w:r>
        <w:t xml:space="preserve">For </w:t>
      </w:r>
      <w:r w:rsidR="003650B5">
        <w:t xml:space="preserve">non-price-responsive scenarios, </w:t>
      </w:r>
      <w:r>
        <w:t>E</w:t>
      </w:r>
      <w:r w:rsidR="003650B5">
        <w:t>V</w:t>
      </w:r>
      <w:r>
        <w:t>s</w:t>
      </w:r>
      <w:r w:rsidR="003650B5">
        <w:t xml:space="preserve"> </w:t>
      </w:r>
      <w:r>
        <w:t>use the time-of-day charging pattern from Das</w:t>
      </w:r>
      <w:r w:rsidR="00AA7CCF">
        <w:t xml:space="preserve"> and Fripp </w:t>
      </w:r>
      <w:r w:rsidR="00AA7CCF">
        <w:fldChar w:fldCharType="begin"/>
      </w:r>
      <w:r w:rsidR="00AA7CCF">
        <w:instrText xml:space="preserve"> ADDIN ZOTERO_ITEM CSL_CITATION {"citationID":"TGp1JBeG","properties":{"formattedCitation":"(2015)","plainCitation":"(2015)","noteIndex":0},"citationItems":[{"id":1726,"uris":["http://zotero.org/users/1686015/items/KN2V7BT5"],"itemData":{"id":1726,"type":"report","number":"HI-14-17","page":"http://fsec.ucf.edu/en/publications/pdf/HI-14-17.pdf","publisher":"Electric Vehicle Transportation Center","title":"Savings and peak reduction due to optimally-timed charging of electric vehicles on the Oahu power system","URL":"http://fsec.ucf.edu/en/publications/pdf/HI-14-17.pdf","author":[{"family":"Das","given":"Paritosh"},{"family":"Fripp","given":"Matthias"}],"issued":{"date-parts":[["2015",12,23]]},"citation-key":"das_savings_2015"},"label":"page","suppress-author":true}],"schema":"https://github.com/citation-style-language/schema/raw/master/csl-citation.json"} </w:instrText>
      </w:r>
      <w:r w:rsidR="00AA7CCF">
        <w:fldChar w:fldCharType="separate"/>
      </w:r>
      <w:r w:rsidR="00AA7CCF">
        <w:rPr>
          <w:noProof/>
        </w:rPr>
        <w:t>(2015)</w:t>
      </w:r>
      <w:r w:rsidR="00AA7CCF">
        <w:fldChar w:fldCharType="end"/>
      </w:r>
      <w:r w:rsidR="001825FC">
        <w:t>. In price-responsive scenarios, the charging is rescheduled to the hours with the lowest marginal cost.</w:t>
      </w:r>
    </w:p>
    <w:p w14:paraId="0792FFE7" w14:textId="77777777" w:rsidR="005723EA" w:rsidRDefault="005723EA" w:rsidP="00E137E7">
      <w:pPr>
        <w:pStyle w:val="BodyText"/>
      </w:pPr>
    </w:p>
    <w:p w14:paraId="07755913" w14:textId="77777777" w:rsidR="005723EA" w:rsidRDefault="005723EA" w:rsidP="005723EA">
      <w:pPr>
        <w:pStyle w:val="Figure"/>
      </w:pPr>
      <w:r>
        <w:lastRenderedPageBreak/>
        <w:drawing>
          <wp:inline distT="0" distB="0" distL="0" distR="0" wp14:anchorId="217E2DA4" wp14:editId="0ACD875A">
            <wp:extent cx="5272323" cy="3730056"/>
            <wp:effectExtent l="0" t="0" r="0" b="381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resource map hybrid.png"/>
                    <pic:cNvPicPr/>
                  </pic:nvPicPr>
                  <pic:blipFill>
                    <a:blip r:embed="rId15"/>
                    <a:stretch>
                      <a:fillRect/>
                    </a:stretch>
                  </pic:blipFill>
                  <pic:spPr>
                    <a:xfrm>
                      <a:off x="0" y="0"/>
                      <a:ext cx="5353416" cy="3787427"/>
                    </a:xfrm>
                    <a:prstGeom prst="rect">
                      <a:avLst/>
                    </a:prstGeom>
                  </pic:spPr>
                </pic:pic>
              </a:graphicData>
            </a:graphic>
          </wp:inline>
        </w:drawing>
      </w:r>
    </w:p>
    <w:p w14:paraId="1F620AC8" w14:textId="2D6FFB06" w:rsidR="005723EA" w:rsidRDefault="005723EA" w:rsidP="005723EA">
      <w:pPr>
        <w:pStyle w:val="Caption"/>
      </w:pPr>
      <w:bookmarkStart w:id="5" w:name="_Ref525314413"/>
      <w:bookmarkStart w:id="6" w:name="_Ref525314407"/>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5"/>
      <w:r>
        <w:t>. Location of potential renewable resources on Oahu: large solar (gold), rooftop solar (red), onshore wind turbines (black dots) and offshore wind farms (stars in inset)</w:t>
      </w:r>
      <w:bookmarkEnd w:id="6"/>
    </w:p>
    <w:p w14:paraId="6F1CE79D" w14:textId="44132102" w:rsidR="005723EA" w:rsidRDefault="005723EA" w:rsidP="005723EA">
      <w:pPr>
        <w:pStyle w:val="BodyText"/>
      </w:pPr>
      <w:r>
        <w:rPr>
          <w:b/>
          <w:bCs/>
        </w:rPr>
        <w:t>Onshore wind farm potential and performance.</w:t>
      </w:r>
      <w:r w:rsidRPr="005723EA">
        <w:t xml:space="preserve"> We a</w:t>
      </w:r>
      <w:r>
        <w:t>llow wind development on land that meets all of the</w:t>
      </w:r>
      <w:r w:rsidR="005C576B">
        <w:t xml:space="preserve"> </w:t>
      </w:r>
      <w:r>
        <w:t>following criteria: zoned for “country” or “agricultural” use, slopes of 20% or less, not within 300 m</w:t>
      </w:r>
      <w:r w:rsidR="00A27CC5">
        <w:t>eters</w:t>
      </w:r>
      <w:r>
        <w:t xml:space="preserve"> of edge of allowed zone, not on narrow ridge, turbines at least 600 meters apart. Turbine locations are shown as black dots in </w:t>
      </w:r>
      <w:fldSimple w:instr=" REF _Ref525314413 ">
        <w:r>
          <w:t xml:space="preserve">Figure </w:t>
        </w:r>
        <w:r>
          <w:rPr>
            <w:noProof/>
          </w:rPr>
          <w:t>2</w:t>
        </w:r>
      </w:fldSimple>
      <w:r>
        <w:t xml:space="preserve">. Hourly production for each turbine is calculated from gridded data prepared for the OWITS study </w:t>
      </w:r>
      <w:r>
        <w:fldChar w:fldCharType="begin"/>
      </w:r>
      <w:r w:rsidR="00AA7CCF">
        <w:instrText xml:space="preserve"> ADDIN ZOTERO_ITEM CSL_CITATION {"citationID":"FmAbkMoG","properties":{"formattedCitation":"(Corbus et al. 2010; Manobianco et al. 2010)","plainCitation":"(Corbus et al. 2010; Manobianco et al. 2010)","noteIndex":0},"citationItems":[{"id":136,"uris":["http://zotero.org/users/1686015/items/6U8ZTZ4E",["http://zotero.org/users/1686015/items/6U8ZTZ4E"]],"itemData":{"id":136,"type":"report","event-place":"Golden, Colorado","note":"NREL/TP-5500-48632","page":"http://www.nrel.gov/docs/fy11osti/48632.pdf","publisher":"National Renewable Energy Laboratory","publisher-place":"Golden, Colorado","title":"Oahu Wind Integration and Transmission Study: Summary Report","title-short":"Oahu Wind Integration and Transmission Study: Summary Report","URL":"http://www.nrel.gov/docs/fy11osti/48632.pdf","author":[{"family":"Corbus","given":"Dave"},{"family":"Schuerger","given":"Matt"},{"family":"Roose","given":"Leon"},{"family":"Strickler","given":"Josh"},{"family":"Surles","given":"Terry"},{"family":"Manz","given":"Devon"},{"family":"Burlingame","given":"Dave"},{"family":"Woodford","given":"Dennis"}],"issued":{"date-parts":[["2010",11]]},"citation-key":"corbus_oahu_2010"}},{"id":130,"uris":["http://zotero.org/users/1686015/items/6QQFC28Z",["http://zotero.org/users/1686015/items/6QQFC28Z"]],"itemData":{"id":130,"type":"report","note":"NREL/SR-550-48680","number":"NREL/SR-550-48680","publisher":"AWS Truepower LLC for the National Renewable Energy Laboratory","title":"Development of Regional Wind Resource and Wind Plant Output Datasets for the Hawaiian Islands","title-short":"Development of Regional Wind Resource and Wind Plant Output Datasets for the Hawaiian Islands","URL":"http://www.nrel.gov/docs/fy10osti/48680.pdf","author":[{"family":"Manobianco","given":"John"},{"family":"Alonge","given":"Charles"},{"family":"Frank","given":"Jaclyn"},{"family":"Brower","given":"Michael"}],"issued":{"date-parts":[["2010",7]]},"citation-key":"manobianco_development_2010"}}],"schema":"https://github.com/citation-style-language/schema/raw/master/csl-citation.json"} </w:instrText>
      </w:r>
      <w:r>
        <w:fldChar w:fldCharType="separate"/>
      </w:r>
      <w:r w:rsidR="00244790">
        <w:rPr>
          <w:rFonts w:cs="Times New Roman"/>
        </w:rPr>
        <w:t>(Corbus et al. 2010; Manobianco et al. 2010)</w:t>
      </w:r>
      <w:r>
        <w:fldChar w:fldCharType="end"/>
      </w:r>
      <w:r>
        <w:t xml:space="preserve"> and earlier 200-meter wind maps</w:t>
      </w:r>
      <w:r>
        <w:fldChar w:fldCharType="begin"/>
      </w:r>
      <w:r w:rsidR="00AA7CCF">
        <w:instrText xml:space="preserve"> ADDIN ZOTERO_ITEM CSL_CITATION {"citationID":"pJ52NxW6","properties":{"formattedCitation":"(AWS Truewind 2004a; 2004b)","plainCitation":"(AWS Truewind 2004a; 2004b)","noteIndex":0},"citationItems":[{"id":2276,"uris":["http://zotero.org/users/1686015/items/FS4UFRVM",["http://zotero.org/users/1686015/items/FS4UFRVM"]],"itemData":{"id":2276,"type":"report","event-place":"Honolulu, Hawaii","publisher":"AWS Truewind for Hawaii Department of Business, Economic Development","publisher-place":"Honolulu, Hawaii","title":"Wind Energy Resource Maps of Hawaii","URL":"http://energy.hawaii.gov/wp-content/uploads/2011/10/WindEnergyResourceMapsHawaii_AWSTruewind_2004.pdf","author":[{"literal":"AWS Truewind"}],"accessed":{"date-parts":[["2018",9,20]]},"issued":{"date-parts":[["2004",6,30]]},"citation-key":"aws_truewind_wind_2004-1"}},{"id":2275,"uris":["http://zotero.org/users/1686015/items/E545X42C",["http://zotero.org/users/1686015/items/E545X42C"]],"itemData":{"id":2275,"type":"report","event-place":"Honolulu, Hawaii","publisher":"AWS Truewind for Hawaii Department of Business, Economic Development","publisher-place":"Honolulu, Hawaii","title":"Wind Speed Map of Hawaii at 70 Meters","URL":"http://energy.hawaii.gov/wp-content/uploads/2011/10/Hawaii_FINAL_SPD70m_26July04.pdf","author":[{"literal":"AWS Truewind"}],"accessed":{"date-parts":[["2018",9,20]]},"issued":{"date-parts":[["2004",7,26]]},"citation-key":"aws_truewind_wind_2004"}}],"schema":"https://github.com/citation-style-language/schema/raw/master/csl-citation.json"} </w:instrText>
      </w:r>
      <w:r>
        <w:fldChar w:fldCharType="separate"/>
      </w:r>
      <w:r w:rsidR="00244790">
        <w:rPr>
          <w:rFonts w:cs="Times New Roman"/>
        </w:rPr>
        <w:t>(AWS Truewind 2004a; 2004b)</w:t>
      </w:r>
      <w:r>
        <w:fldChar w:fldCharType="end"/>
      </w:r>
      <w:r>
        <w:t xml:space="preserve">, using </w:t>
      </w:r>
      <w:r w:rsidRPr="005626CA">
        <w:t>Clipper Liberty 2.5 MW wind turbine</w:t>
      </w:r>
      <w:r>
        <w:t xml:space="preserve"> model </w:t>
      </w:r>
      <w:r w:rsidR="005C576B">
        <w:t xml:space="preserve">C89, C93 or C99, selected for each </w:t>
      </w:r>
      <w:r>
        <w:t>site based on its annual average wind speed.</w:t>
      </w:r>
      <w:r w:rsidR="005C576B">
        <w:t xml:space="preserve"> Losses are assumed to be 12.53% based on 2013 HECO IRP</w:t>
      </w:r>
      <w:r>
        <w:t xml:space="preserve"> </w:t>
      </w:r>
      <w:r>
        <w:fldChar w:fldCharType="begin"/>
      </w:r>
      <w:r w:rsidR="00AA7CCF">
        <w:instrText xml:space="preserve"> ADDIN ZOTERO_ITEM CSL_CITATION {"citationID":"5mr5aNTr","properties":{"formattedCitation":"(HECO 2013)","plainCitation":"(HECO 2013)","noteIndex":0},"citationItems":[{"id":42,"uris":["http://zotero.org/users/1686015/items/36AVUC9K",["http://zotero.org/users/1686015/items/36AVUC9K"]],"itemData":{"id":42,"type":"report","event-place":"Honolulu, Hawaii","publisher":"Hawaiian Electric Company","publisher-place":"Honolulu, Hawaii","title":"2013 Integrated Resource Planning Report","URL":"http://www.heco.com/heco/Clean-Energy/Integrated-Resource-Planning","author":[{"literal":"HECO"}],"accessed":{"date-parts":[["2014",1,9]]},"issued":{"date-parts":[["2013",6,28]]},"citation-key":"heco_2013_2013"}}],"schema":"https://github.com/citation-style-language/schema/raw/master/csl-citation.json"} </w:instrText>
      </w:r>
      <w:r>
        <w:fldChar w:fldCharType="separate"/>
      </w:r>
      <w:r w:rsidR="00244790">
        <w:rPr>
          <w:rFonts w:cs="Times New Roman"/>
        </w:rPr>
        <w:t>(HECO 2013)</w:t>
      </w:r>
      <w:r>
        <w:fldChar w:fldCharType="end"/>
      </w:r>
      <w:r w:rsidRPr="007161E2">
        <w:t>.</w:t>
      </w:r>
    </w:p>
    <w:p w14:paraId="5A6C5FB0" w14:textId="1F2F3F23" w:rsidR="005723EA" w:rsidRDefault="005C576B" w:rsidP="005723EA">
      <w:pPr>
        <w:pStyle w:val="BodyText"/>
      </w:pPr>
      <w:r>
        <w:rPr>
          <w:b/>
          <w:bCs/>
        </w:rPr>
        <w:t>Offshore wind farm potential and performance.</w:t>
      </w:r>
      <w:r>
        <w:t xml:space="preserve"> </w:t>
      </w:r>
      <w:r w:rsidR="005723EA">
        <w:t xml:space="preserve">We define a single, generic offshore wind farm, representing the average of potential production at three proposed offshore wind farms near Oahu </w:t>
      </w:r>
      <w:r w:rsidR="005723EA">
        <w:fldChar w:fldCharType="begin"/>
      </w:r>
      <w:r w:rsidR="00AA7CCF">
        <w:instrText xml:space="preserve"> ADDIN ZOTERO_ITEM CSL_CITATION {"citationID":"zT9e1LoD","properties":{"formattedCitation":"(BOEM 2016)","plainCitation":"(BOEM 2016)","noteIndex":0},"citationItems":[{"id":2279,"uris":["http://zotero.org/users/1686015/items/ZL4GMNY2",["http://zotero.org/users/1686015/items/ZL4GMNY2"]],"itemData":{"id":2279,"type":"report","event-place":"Washington, D.C.","publisher":"U.S. Bureau of Ocean Energy Management","publisher-place":"Washington, D.C.","title":"Atlantic and Pacific OCS Wind Planning Areas and Wind Energy Areas","URL":"http://www.boem.gov/Renewable-Energy-GIS-Data/","author":[{"literal":"BOEM"}],"accessed":{"date-parts":[["2016",4,7]]},"issued":{"date-parts":[["2016"]]},"citation-key":"boem_atlantic_2016"}}],"schema":"https://github.com/citation-style-language/schema/raw/master/csl-citation.json"} </w:instrText>
      </w:r>
      <w:r w:rsidR="005723EA">
        <w:fldChar w:fldCharType="separate"/>
      </w:r>
      <w:r w:rsidR="00244790">
        <w:rPr>
          <w:rFonts w:cs="Times New Roman"/>
        </w:rPr>
        <w:t>(BOEM 2016)</w:t>
      </w:r>
      <w:r w:rsidR="005723EA">
        <w:fldChar w:fldCharType="end"/>
      </w:r>
      <w:r w:rsidR="005723EA">
        <w:t xml:space="preserve">. We use hourly wind speeds for 2007–08 from AWS Truepower </w:t>
      </w:r>
      <w:r w:rsidR="005723EA">
        <w:fldChar w:fldCharType="begin"/>
      </w:r>
      <w:r w:rsidR="00AA7CCF">
        <w:instrText xml:space="preserve"> ADDIN ZOTERO_ITEM CSL_CITATION {"citationID":"5dMmk5jF","properties":{"formattedCitation":"(Corbus et al. 2010; Manobianco et al. 2010)","plainCitation":"(Corbus et al. 2010; Manobianco et al. 2010)","noteIndex":0},"citationItems":[{"id":136,"uris":["http://zotero.org/users/1686015/items/6U8ZTZ4E",["http://zotero.org/users/1686015/items/6U8ZTZ4E"]],"itemData":{"id":136,"type":"report","event-place":"Golden, Colorado","note":"NREL/TP-5500-48632","page":"http://www.nrel.gov/docs/fy11osti/48632.pdf","publisher":"National Renewable Energy Laboratory","publisher-place":"Golden, Colorado","title":"Oahu Wind Integration and Transmission Study: Summary Report","title-short":"Oahu Wind Integration and Transmission Study: Summary Report","URL":"http://www.nrel.gov/docs/fy11osti/48632.pdf","author":[{"family":"Corbus","given":"Dave"},{"family":"Schuerger","given":"Matt"},{"family":"Roose","given":"Leon"},{"family":"Strickler","given":"Josh"},{"family":"Surles","given":"Terry"},{"family":"Manz","given":"Devon"},{"family":"Burlingame","given":"Dave"},{"family":"Woodford","given":"Dennis"}],"issued":{"date-parts":[["2010",11]]},"citation-key":"corbus_oahu_2010"}},{"id":130,"uris":["http://zotero.org/users/1686015/items/6QQFC28Z",["http://zotero.org/users/1686015/items/6QQFC28Z"]],"itemData":{"id":130,"type":"report","note":"NREL/SR-550-48680","number":"NREL/SR-550-48680","publisher":"AWS Truepower LLC for the National Renewable Energy Laboratory","title":"Development of Regional Wind Resource and Wind Plant Output Datasets for the Hawaiian Islands","title-short":"Development of Regional Wind Resource and Wind Plant Output Datasets for the Hawaiian Islands","URL":"http://www.nrel.gov/docs/fy10osti/48680.pdf","author":[{"family":"Manobianco","given":"John"},{"family":"Alonge","given":"Charles"},{"family":"Frank","given":"Jaclyn"},{"family":"Brower","given":"Michael"}],"issued":{"date-parts":[["2010",7]]},"citation-key":"manobianco_development_2010"}}],"schema":"https://github.com/citation-style-language/schema/raw/master/csl-citation.json"} </w:instrText>
      </w:r>
      <w:r w:rsidR="005723EA">
        <w:fldChar w:fldCharType="separate"/>
      </w:r>
      <w:r w:rsidR="00244790">
        <w:rPr>
          <w:rFonts w:cs="Times New Roman"/>
        </w:rPr>
        <w:t>(Corbus et al. 2010; Manobianco et al. 2010)</w:t>
      </w:r>
      <w:r w:rsidR="005723EA">
        <w:fldChar w:fldCharType="end"/>
      </w:r>
      <w:r w:rsidR="005723EA">
        <w:t xml:space="preserve">, for the center of each farm at 100 meter elevation. We calculate hourly power production from these using a generic offshore wind turbine power curve, with the operating range extended to 30 m/s to match the Repower 6M </w:t>
      </w:r>
      <w:r w:rsidR="005723EA">
        <w:fldChar w:fldCharType="begin"/>
      </w:r>
      <w:r w:rsidR="00AA7CCF">
        <w:instrText xml:space="preserve"> ADDIN ZOTERO_ITEM CSL_CITATION {"citationID":"tgNAVDe0","properties":{"formattedCitation":"(King, Clifton, and Hodge 2014)","plainCitation":"(King, Clifton, and Hodge 2014)","noteIndex":0},"citationItems":[{"id":2278,"uris":["http://zotero.org/users/1686015/items/ACXQG3IE",["http://zotero.org/users/1686015/items/ACXQG3IE"]],"itemData":{"id":2278,"type":"report","language":"en","number":"NREL/TP-5D00-61714","title":"Validation of Power Output for the WIND Toolkit","URL":"http://dx.doi.org/10.2172/1159354","author":[{"family":"King","given":"J."},{"family":"Clifton","given":"A."},{"family":"Hodge","given":"B.-M."}],"accessed":{"date-parts":[["2018",9,21]]},"issued":{"date-parts":[["2014",9]]},"citation-key":"king_validation_2014"}}],"schema":"https://github.com/citation-style-language/schema/raw/master/csl-citation.json"} </w:instrText>
      </w:r>
      <w:r w:rsidR="005723EA">
        <w:fldChar w:fldCharType="separate"/>
      </w:r>
      <w:r w:rsidR="00244790">
        <w:rPr>
          <w:rFonts w:cs="Times New Roman"/>
        </w:rPr>
        <w:t>(King, Clifton, and Hodge 2014)</w:t>
      </w:r>
      <w:r w:rsidR="005723EA">
        <w:fldChar w:fldCharType="end"/>
      </w:r>
      <w:r w:rsidR="005723EA">
        <w:t xml:space="preserve">. We assume 12.53% losses, matching the onshore wind projects. The generic project was assigned a maximum size of 2,400 MW (three times larger than current proposals) to reflect the large resources available. The centers of the three proposed wind farms are shown as stars in the inset map in </w:t>
      </w:r>
      <w:fldSimple w:instr=" REF _Ref525314413 ">
        <w:r w:rsidR="005723EA">
          <w:t xml:space="preserve">Figure </w:t>
        </w:r>
        <w:r w:rsidR="005723EA">
          <w:rPr>
            <w:noProof/>
          </w:rPr>
          <w:t>2</w:t>
        </w:r>
      </w:fldSimple>
      <w:r w:rsidR="005723EA">
        <w:t>.</w:t>
      </w:r>
    </w:p>
    <w:p w14:paraId="2F988190" w14:textId="2CC1857D" w:rsidR="005723EA" w:rsidRDefault="005C576B" w:rsidP="005C576B">
      <w:pPr>
        <w:pStyle w:val="BodyText"/>
      </w:pPr>
      <w:r>
        <w:rPr>
          <w:b/>
          <w:bCs/>
        </w:rPr>
        <w:t xml:space="preserve">Utility scale solar potential and performance. </w:t>
      </w:r>
      <w:r w:rsidRPr="005723EA">
        <w:t>We a</w:t>
      </w:r>
      <w:r>
        <w:t xml:space="preserve">llow solar development on Oahu land that meets all of the following criteria: </w:t>
      </w:r>
      <w:r w:rsidR="005723EA">
        <w:t>zoned for “country” or “agricultural” use</w:t>
      </w:r>
      <w:r>
        <w:t xml:space="preserve">; </w:t>
      </w:r>
      <w:r w:rsidR="005723EA">
        <w:t>slope below 10%</w:t>
      </w:r>
      <w:r>
        <w:t xml:space="preserve">; not </w:t>
      </w:r>
      <w:r w:rsidR="005723EA">
        <w:t>designated as Class A agricultural land</w:t>
      </w:r>
      <w:r>
        <w:t xml:space="preserve"> </w:t>
      </w:r>
      <w:r w:rsidR="005723EA">
        <w:t>or “Important Agricultural Lands”</w:t>
      </w:r>
      <w:r>
        <w:t xml:space="preserve">; not </w:t>
      </w:r>
      <w:r w:rsidR="005723EA">
        <w:t xml:space="preserve">within </w:t>
      </w:r>
      <w:r w:rsidR="005723EA">
        <w:lastRenderedPageBreak/>
        <w:t>30 meters of the centerline of roads (</w:t>
      </w:r>
      <w:r>
        <w:t xml:space="preserve">i.e., </w:t>
      </w:r>
      <w:r w:rsidR="005723EA">
        <w:t xml:space="preserve">roads and </w:t>
      </w:r>
      <w:r>
        <w:t xml:space="preserve">urban </w:t>
      </w:r>
      <w:r w:rsidR="005723EA">
        <w:t>areas)</w:t>
      </w:r>
      <w:r>
        <w:t xml:space="preserve">; parcel larger than a </w:t>
      </w:r>
      <w:r w:rsidR="005723EA">
        <w:t>60-meter dis</w:t>
      </w:r>
      <w:r>
        <w:t>k</w:t>
      </w:r>
      <w:r w:rsidR="005723EA">
        <w:t xml:space="preserve">. Land available for large-scale solar is shown as gold in </w:t>
      </w:r>
      <w:fldSimple w:instr=" REF _Ref525314413 ">
        <w:r w:rsidR="005723EA">
          <w:t xml:space="preserve">Figure </w:t>
        </w:r>
        <w:r w:rsidR="005723EA">
          <w:rPr>
            <w:noProof/>
          </w:rPr>
          <w:t>2</w:t>
        </w:r>
      </w:fldSimple>
      <w:r w:rsidR="005723EA">
        <w:rPr>
          <w:noProof/>
        </w:rPr>
        <w:t>.</w:t>
      </w:r>
      <w:r>
        <w:rPr>
          <w:noProof/>
        </w:rPr>
        <w:t xml:space="preserve"> </w:t>
      </w:r>
      <w:r w:rsidR="00BF289F">
        <w:t xml:space="preserve">We assume land use of 7.5 acres per </w:t>
      </w:r>
      <w:r w:rsidR="00BF289F" w:rsidRPr="00687BC7">
        <w:t>MW</w:t>
      </w:r>
      <w:r w:rsidR="00BF289F">
        <w:t xml:space="preserve"> of PV capacity, which is 15% higher than the 6.5 acres/MW reported by Oahu developers for recent projects. PV systems are modeled as single-axis solar trackers using parameters from the 2019 ATB </w:t>
      </w:r>
      <w:r w:rsidR="00BF289F">
        <w:fldChar w:fldCharType="begin"/>
      </w:r>
      <w:r w:rsidR="00AA7CCF">
        <w:instrText xml:space="preserve"> ADDIN ZOTERO_ITEM CSL_CITATION {"citationID":"a1jrobu31g0","properties":{"formattedCitation":"(NREL 2019)","plainCitation":"(NREL 2019)","noteIndex":0},"citationItems":[{"id":2441,"uris":["http://zotero.org/users/1686015/items/PVYKBJ2D",["http://zotero.org/users/1686015/items/PVYKBJ2D"]],"itemData":{"id":2441,"type":"report","event-place":"Golden, Colorado","publisher":"National Renewable Energy Laboratory","publisher-place":"Golden, Colorado","title":"2019 Annual Technology Baseline","URL":"https://atb.nrel.gov/electricity/2019/","author":[{"literal":"NREL"}],"issued":{"date-parts":[["2019"]]},"citation-key":"nrel_2019_2019"}}],"schema":"https://github.com/citation-style-language/schema/raw/master/csl-citation.json"} </w:instrText>
      </w:r>
      <w:r w:rsidR="00BF289F">
        <w:fldChar w:fldCharType="separate"/>
      </w:r>
      <w:r w:rsidR="00244790" w:rsidRPr="00244790">
        <w:rPr>
          <w:rFonts w:cs="Times New Roman"/>
        </w:rPr>
        <w:t>(NREL 2019)</w:t>
      </w:r>
      <w:r w:rsidR="00BF289F">
        <w:fldChar w:fldCharType="end"/>
      </w:r>
      <w:r w:rsidR="00BF289F">
        <w:t>, using solar data from NREL’s National Solar Radiation Database for 2007–08</w:t>
      </w:r>
      <w:r w:rsidR="005723EA">
        <w:t xml:space="preserve"> </w:t>
      </w:r>
      <w:r w:rsidR="005723EA">
        <w:fldChar w:fldCharType="begin"/>
      </w:r>
      <w:r w:rsidR="00E50E3F">
        <w:instrText xml:space="preserve"> ADDIN ZOTERO_ITEM CSL_CITATION {"citationID":"VbAJz3W3","properties":{"formattedCitation":"(NREL 2016; 2018b)","plainCitation":"(NREL 2016; 2018b)","noteIndex":0},"citationItems":[{"id":1690,"uris":["http://zotero.org/users/1686015/items/E8QJCV56",["http://zotero.org/users/1686015/items/E8QJCV56"]],"itemData":{"id":1690,"type":"report","event-place":"Golden, Colorado","publisher":"National Renewable Energy Laboratory","publisher-place":"Golden, Colorado","title":"National Solar Radiation Database version 2.0.1","URL":"https://nsrdb.nrel.gov","author":[{"literal":"NREL"}],"issued":{"date-parts":[["2016"]]},"citation-key":"nrel_national_2016"}},{"id":2287,"uris":["http://zotero.org/users/1686015/items/MMWMFDVZ",["http://zotero.org/users/1686015/items/MMWMFDVZ"]],"itemData":{"id":2287,"type":"report","event-place":"Golden, Colorado","publisher":"National Renewable Energy Laboratory","publisher-place":"Golden, Colorado","title":"SAM Simulation Core SDK","URL":"https://sam.nrel.gov/sdk","author":[{"literal":"NREL"}],"issued":{"date-parts":[["2018",11,11]]},"citation-key":"nrel_sam_2018"}}],"schema":"https://github.com/citation-style-language/schema/raw/master/csl-citation.json"} </w:instrText>
      </w:r>
      <w:r w:rsidR="005723EA">
        <w:fldChar w:fldCharType="separate"/>
      </w:r>
      <w:r w:rsidR="00E50E3F">
        <w:rPr>
          <w:rFonts w:cs="Times New Roman"/>
        </w:rPr>
        <w:t>(NREL 2016; 2018b)</w:t>
      </w:r>
      <w:r w:rsidR="005723EA">
        <w:fldChar w:fldCharType="end"/>
      </w:r>
      <w:r w:rsidR="005723EA" w:rsidRPr="00687BC7">
        <w:t>.</w:t>
      </w:r>
    </w:p>
    <w:p w14:paraId="7F0E30F1" w14:textId="7C5B45DA" w:rsidR="005723EA" w:rsidRDefault="005C576B" w:rsidP="00BF289F">
      <w:pPr>
        <w:pStyle w:val="BodyText"/>
      </w:pPr>
      <w:r>
        <w:rPr>
          <w:b/>
          <w:bCs/>
        </w:rPr>
        <w:t xml:space="preserve">Rooftop </w:t>
      </w:r>
      <w:r w:rsidR="00BF289F">
        <w:rPr>
          <w:b/>
          <w:bCs/>
        </w:rPr>
        <w:t>solar potential and performance.</w:t>
      </w:r>
      <w:r w:rsidR="00BF289F" w:rsidRPr="00BF289F">
        <w:t xml:space="preserve"> </w:t>
      </w:r>
      <w:r w:rsidR="00BF289F">
        <w:t xml:space="preserve">Rooftop locations are derived from </w:t>
      </w:r>
      <w:r w:rsidR="005723EA">
        <w:t xml:space="preserve">the Google Static Maps API </w:t>
      </w:r>
      <w:r w:rsidR="005723EA">
        <w:fldChar w:fldCharType="begin"/>
      </w:r>
      <w:r w:rsidR="00AA7CCF">
        <w:instrText xml:space="preserve"> ADDIN ZOTERO_ITEM CSL_CITATION {"citationID":"L8dgajGs","properties":{"formattedCitation":"(Google Inc. 2016)","plainCitation":"(Google Inc. 2016)","noteIndex":0},"citationItems":[{"id":2290,"uris":["http://zotero.org/users/1686015/items/22LG3JQD",["http://zotero.org/users/1686015/items/22LG3JQD"]],"itemData":{"id":2290,"type":"webpage","title":"Google Static Maps API","URL":"https://developers.google.com/maps/documentation/maps-static/","author":[{"literal":"Google Inc."}],"issued":{"date-parts":[["2016"]]},"citation-key":"google_inc._google_2016"}}],"schema":"https://github.com/citation-style-language/schema/raw/master/csl-citation.json"} </w:instrText>
      </w:r>
      <w:r w:rsidR="005723EA">
        <w:fldChar w:fldCharType="separate"/>
      </w:r>
      <w:r w:rsidR="00244790">
        <w:rPr>
          <w:rFonts w:cs="Times New Roman"/>
        </w:rPr>
        <w:t>(Google Inc. 2016)</w:t>
      </w:r>
      <w:r w:rsidR="005723EA">
        <w:fldChar w:fldCharType="end"/>
      </w:r>
      <w:r w:rsidR="00BF289F">
        <w:t xml:space="preserve"> and roof orientations and covered area are derived from the </w:t>
      </w:r>
      <w:r w:rsidR="005723EA">
        <w:t>Google Sunroof project</w:t>
      </w:r>
      <w:r w:rsidR="00C929C0">
        <w:t xml:space="preserve"> </w:t>
      </w:r>
      <w:r w:rsidR="00C929C0">
        <w:fldChar w:fldCharType="begin"/>
      </w:r>
      <w:r w:rsidR="00C929C0">
        <w:instrText xml:space="preserve"> ADDIN ZOTERO_ITEM CSL_CITATION {"citationID":"rZNA3K0Q","properties":{"formattedCitation":"(Google Inc. 2019)","plainCitation":"(Google Inc. 2019)","noteIndex":0},"citationItems":[{"id":4809,"uris":["http://zotero.org/users/1686015/items/RDTUS397"],"itemData":{"id":4809,"type":"report","title":"Project Sunroof Data Explorer","URL":"https://sunroof.withgoogle.com/data-explorer/","author":[{"literal":"Google Inc."}],"issued":{"date-parts":[["2019",6]]},"citation-key":"google_inc_project_2019"}}],"schema":"https://github.com/citation-style-language/schema/raw/master/csl-citation.json"} </w:instrText>
      </w:r>
      <w:r w:rsidR="00C929C0">
        <w:fldChar w:fldCharType="separate"/>
      </w:r>
      <w:r w:rsidR="00C929C0">
        <w:rPr>
          <w:noProof/>
        </w:rPr>
        <w:t>(Google Inc. 2019)</w:t>
      </w:r>
      <w:r w:rsidR="00C929C0">
        <w:fldChar w:fldCharType="end"/>
      </w:r>
      <w:r w:rsidR="00BF289F">
        <w:t>. W</w:t>
      </w:r>
      <w:r w:rsidR="005723EA">
        <w:t xml:space="preserve">e assume that panels on sloped roofs </w:t>
      </w:r>
      <w:r w:rsidR="00BF289F">
        <w:t xml:space="preserve">are </w:t>
      </w:r>
      <w:r w:rsidR="005723EA">
        <w:t>tilt</w:t>
      </w:r>
      <w:r w:rsidR="00BF289F">
        <w:t>ed</w:t>
      </w:r>
      <w:r w:rsidR="005723EA">
        <w:t xml:space="preserve"> </w:t>
      </w:r>
      <w:r w:rsidR="00BF289F">
        <w:t xml:space="preserve">at </w:t>
      </w:r>
      <w:r w:rsidR="005723EA">
        <w:t>25 degrees</w:t>
      </w:r>
      <w:r w:rsidR="00BF289F">
        <w:t xml:space="preserve"> and panels on flat roofs are tilted at 5 degrees</w:t>
      </w:r>
      <w:r w:rsidR="005723EA">
        <w:t xml:space="preserve">, matching </w:t>
      </w:r>
      <w:r w:rsidR="008A63AB">
        <w:t xml:space="preserve">assumptions </w:t>
      </w:r>
      <w:r w:rsidR="005723EA">
        <w:t xml:space="preserve">in NREL’s 2019 ATB </w:t>
      </w:r>
      <w:r w:rsidR="005723EA">
        <w:fldChar w:fldCharType="begin"/>
      </w:r>
      <w:r w:rsidR="00AA7CCF">
        <w:instrText xml:space="preserve"> ADDIN ZOTERO_ITEM CSL_CITATION {"citationID":"a1k3k8r3834","properties":{"formattedCitation":"(NREL 2019)","plainCitation":"(NREL 2019)","noteIndex":0},"citationItems":[{"id":2441,"uris":["http://zotero.org/users/1686015/items/PVYKBJ2D",["http://zotero.org/users/1686015/items/PVYKBJ2D"]],"itemData":{"id":2441,"type":"report","event-place":"Golden, Colorado","publisher":"National Renewable Energy Laboratory","publisher-place":"Golden, Colorado","title":"2019 Annual Technology Baseline","URL":"https://atb.nrel.gov/electricity/2019/","author":[{"literal":"NREL"}],"issued":{"date-parts":[["2019"]]},"citation-key":"nrel_2019_2019"}}],"schema":"https://github.com/citation-style-language/schema/raw/master/csl-citation.json"} </w:instrText>
      </w:r>
      <w:r w:rsidR="005723EA">
        <w:fldChar w:fldCharType="separate"/>
      </w:r>
      <w:r w:rsidR="00244790">
        <w:rPr>
          <w:rFonts w:cs="Times New Roman"/>
        </w:rPr>
        <w:t>(NREL 2019)</w:t>
      </w:r>
      <w:r w:rsidR="005723EA">
        <w:fldChar w:fldCharType="end"/>
      </w:r>
      <w:r w:rsidR="00BF289F">
        <w:t xml:space="preserve">. </w:t>
      </w:r>
      <w:r w:rsidR="008A63AB">
        <w:t>PV systems are modeled using parameters from the 2019 ATB and solar data from the National Solar Radiation Database for 2007–08.</w:t>
      </w:r>
    </w:p>
    <w:p w14:paraId="6ACD2307" w14:textId="2F0D505F" w:rsidR="008811E9" w:rsidRPr="008811E9" w:rsidRDefault="008A63AB" w:rsidP="008811E9">
      <w:pPr>
        <w:pStyle w:val="BodyText"/>
      </w:pPr>
      <w:r w:rsidRPr="008A63AB">
        <w:rPr>
          <w:b/>
          <w:bCs/>
        </w:rPr>
        <w:t xml:space="preserve">Rooftop solar power adoption. </w:t>
      </w:r>
      <w:r w:rsidRPr="008A63AB">
        <w:t xml:space="preserve">We </w:t>
      </w:r>
      <w:r w:rsidR="008811E9">
        <w:t xml:space="preserve">include </w:t>
      </w:r>
      <w:r w:rsidR="008811E9" w:rsidRPr="008811E9">
        <w:t xml:space="preserve">444 MW </w:t>
      </w:r>
      <w:r w:rsidR="008811E9">
        <w:t xml:space="preserve">of distributed photovoltaics that were </w:t>
      </w:r>
      <w:r w:rsidR="008811E9" w:rsidRPr="008811E9">
        <w:t xml:space="preserve">installed </w:t>
      </w:r>
      <w:r w:rsidR="00C929C0">
        <w:t>as of</w:t>
      </w:r>
      <w:r w:rsidR="008811E9" w:rsidRPr="008811E9">
        <w:t xml:space="preserve"> 2016</w:t>
      </w:r>
      <w:r w:rsidR="00C929C0">
        <w:t xml:space="preserve"> </w:t>
      </w:r>
      <w:r w:rsidR="00C929C0">
        <w:fldChar w:fldCharType="begin"/>
      </w:r>
      <w:r w:rsidR="00E50E3F">
        <w:instrText xml:space="preserve"> ADDIN ZOTERO_ITEM CSL_CITATION {"citationID":"Jr9QDTvo","properties":{"formattedCitation":"(HECO 2016a Fig. J-19)","plainCitation":"(HECO 2016a Fig. J-19)","noteIndex":0},"citationItems":[{"id":4808,"uris":["http://zotero.org/users/1686015/items/A6CQJXTA"],"itemData":{"id":4808,"type":"report","event-place":"Honolulu, Hawaii","publisher":"Hawaiian Electric Company","publisher-place":"Honolulu, Hawaii","title":"Hawaiian Electric Companies' PSIPs Update Report; Book 1 of 2; Docket No. 2014-0183","URL":"https://dms.puc.hawaii.gov/dms/DocumentViewer?pid=A1001001A16D06B44234H62116","author":[{"literal":"HECO"}],"issued":{"date-parts":[["2016",4,1]]},"citation-key":"heco_hawaiian_2016-6"},"label":"page","suffix":"Fig. J-19"}],"schema":"https://github.com/citation-style-language/schema/raw/master/csl-citation.json"} </w:instrText>
      </w:r>
      <w:r w:rsidR="00C929C0">
        <w:fldChar w:fldCharType="separate"/>
      </w:r>
      <w:r w:rsidR="00E50E3F">
        <w:rPr>
          <w:noProof/>
        </w:rPr>
        <w:t>(HECO 2016a Fig. J-19)</w:t>
      </w:r>
      <w:r w:rsidR="00C929C0">
        <w:fldChar w:fldCharType="end"/>
      </w:r>
      <w:r w:rsidR="00C929C0">
        <w:t>. W</w:t>
      </w:r>
      <w:r w:rsidR="008811E9" w:rsidRPr="008811E9">
        <w:t xml:space="preserve">e apportion </w:t>
      </w:r>
      <w:r w:rsidR="00C929C0">
        <w:t xml:space="preserve">40.6% of this to </w:t>
      </w:r>
      <w:r w:rsidR="008811E9" w:rsidRPr="008811E9">
        <w:t xml:space="preserve">flat </w:t>
      </w:r>
      <w:r w:rsidR="00C929C0">
        <w:t xml:space="preserve">roofs and the rest to </w:t>
      </w:r>
      <w:r w:rsidR="008811E9" w:rsidRPr="008811E9">
        <w:t>sloped roofs</w:t>
      </w:r>
      <w:r w:rsidR="00C929C0">
        <w:t xml:space="preserve">, using </w:t>
      </w:r>
      <w:r w:rsidR="008811E9" w:rsidRPr="008811E9">
        <w:t xml:space="preserve">the shares </w:t>
      </w:r>
      <w:r w:rsidR="00C929C0">
        <w:t xml:space="preserve">in those categories reported by Project </w:t>
      </w:r>
      <w:r w:rsidR="008811E9" w:rsidRPr="008811E9">
        <w:t>Sunroof</w:t>
      </w:r>
      <w:r w:rsidR="00C929C0">
        <w:t xml:space="preserve"> </w:t>
      </w:r>
      <w:r w:rsidR="00C929C0">
        <w:fldChar w:fldCharType="begin"/>
      </w:r>
      <w:r w:rsidR="0097620D">
        <w:instrText xml:space="preserve"> ADDIN ZOTERO_ITEM CSL_CITATION {"citationID":"om3cAIcc","properties":{"formattedCitation":"(Google Inc. 2019)","plainCitation":"(Google Inc. 2019)","noteIndex":0},"citationItems":[{"id":4809,"uris":["http://zotero.org/users/1686015/items/RDTUS397"],"itemData":{"id":4809,"type":"report","title":"Project Sunroof Data Explorer","URL":"https://sunroof.withgoogle.com/data-explorer/","author":[{"literal":"Google Inc."}],"issued":{"date-parts":[["2019",6]]},"citation-key":"google_inc_project_2019"}}],"schema":"https://github.com/citation-style-language/schema/raw/master/csl-citation.json"} </w:instrText>
      </w:r>
      <w:r w:rsidR="00C929C0">
        <w:fldChar w:fldCharType="separate"/>
      </w:r>
      <w:r w:rsidR="00C929C0">
        <w:rPr>
          <w:noProof/>
        </w:rPr>
        <w:t>(Google Inc. 2019)</w:t>
      </w:r>
      <w:r w:rsidR="00C929C0">
        <w:fldChar w:fldCharType="end"/>
      </w:r>
      <w:r w:rsidR="008811E9" w:rsidRPr="008811E9">
        <w:t>.</w:t>
      </w:r>
    </w:p>
    <w:p w14:paraId="1D9FA507" w14:textId="0814D483" w:rsidR="00300E2D" w:rsidRDefault="000E2F8C" w:rsidP="0097620D">
      <w:pPr>
        <w:pStyle w:val="BodyText"/>
      </w:pPr>
      <w:r>
        <w:rPr>
          <w:b/>
          <w:bCs/>
        </w:rPr>
        <w:t>Renewable portfolio standard (RPS).</w:t>
      </w:r>
      <w:r w:rsidRPr="000E2F8C">
        <w:t xml:space="preserve"> The </w:t>
      </w:r>
      <w:r w:rsidR="00796B71">
        <w:t>selected portfolio</w:t>
      </w:r>
      <w:r>
        <w:t xml:space="preserve"> </w:t>
      </w:r>
      <w:r w:rsidR="00796B71">
        <w:t xml:space="preserve">must </w:t>
      </w:r>
      <w:r>
        <w:t xml:space="preserve">meet </w:t>
      </w:r>
      <w:r w:rsidR="0097620D">
        <w:t>a renewable energy targets ranging from 0% to 100% in 2045, depending on the scenario. This</w:t>
      </w:r>
      <w:r>
        <w:t xml:space="preserve"> target</w:t>
      </w:r>
      <w:r w:rsidR="0097620D">
        <w:t xml:space="preserve"> is </w:t>
      </w:r>
      <w:r>
        <w:t xml:space="preserve">calculated as </w:t>
      </w:r>
      <w:r w:rsidR="00300E2D">
        <w:t xml:space="preserve">(all renewable production, including utility-scale renewables, biofuels and distributed generation) ÷ (all production, including distributed generation). This is different from </w:t>
      </w:r>
      <w:r w:rsidR="0097620D">
        <w:t xml:space="preserve">Hawaii’s current </w:t>
      </w:r>
      <w:r w:rsidR="00300E2D">
        <w:t xml:space="preserve">RPS law, which </w:t>
      </w:r>
      <w:r w:rsidR="00164149">
        <w:t>omits distributed renewable generation from the denominator of this equation</w:t>
      </w:r>
      <w:r w:rsidR="00300E2D">
        <w:t>.</w:t>
      </w:r>
      <w:r w:rsidR="00796B71">
        <w:t xml:space="preserve"> This calculation includes </w:t>
      </w:r>
      <w:r w:rsidR="0097620D">
        <w:t xml:space="preserve">all </w:t>
      </w:r>
      <w:r w:rsidR="00796B71">
        <w:t>generation</w:t>
      </w:r>
      <w:r w:rsidR="0097620D">
        <w:t xml:space="preserve"> whether it is owned by HECO, independent power producers or customers</w:t>
      </w:r>
      <w:r w:rsidR="00796B71">
        <w:t>.</w:t>
      </w:r>
    </w:p>
    <w:p w14:paraId="5FAE9396" w14:textId="77777777" w:rsidR="0097620D" w:rsidRDefault="00300E2D" w:rsidP="00300E2D">
      <w:pPr>
        <w:pStyle w:val="BodyText"/>
      </w:pPr>
      <w:r>
        <w:rPr>
          <w:b/>
          <w:bCs/>
        </w:rPr>
        <w:t>Operating reserves.</w:t>
      </w:r>
      <w:r w:rsidRPr="00300E2D">
        <w:t xml:space="preserve"> </w:t>
      </w:r>
      <w:r>
        <w:t xml:space="preserve">The scenario must maintain regulating reserves equal to the lesser of 100% of production from each wind or solar site or 21.3% of the solar equipment rating or 21.6% of the wind equipment rating. These coefficients are based on regression analysis of safe envelopes recommended by GE Energy Consulting </w:t>
      </w:r>
      <w:r>
        <w:fldChar w:fldCharType="begin"/>
      </w:r>
      <w:r w:rsidR="00AA7CCF">
        <w:instrText xml:space="preserve"> ADDIN ZOTERO_ITEM CSL_CITATION {"citationID":"aqt1607iee","properties":{"formattedCitation":"(GE Energy 2012, 37\\uc0\\u8211{}40; GE Energy Consulting 2015, 62; Piwko et al. 2012, 4\\uc0\\u8211{}6)","plainCitation":"(GE Energy 2012, 37–40; GE Energy Consulting 2015, 62; Piwko et al. 2012, 4–6)","noteIndex":0},"citationItems":[{"id":267,"uris":["http://zotero.org/users/1686015/items/BQTBBZJJ",["http://zotero.org/users/1686015/items/BQTBBZJJ"]],"itemData":{"id":267,"type":"report","event-place":"Honolulu, Hawaii","publisher":"Prepared for the National Renewable Energy Laboratory, Hawaii Natural Energy Institute, Hawaii Electric Company and Maui Electric Company","publisher-place":"Honolulu, Hawaii","title":"Hawaii Solar Integration Study: Final Technical Report for Oahu","URL":"https://www.hnei.hawaii.edu/wp-content/uploads/Hawaii-Solar-Integration-Study-Oahu.pdf","author":[{"literal":"GE Energy"}],"issued":{"date-parts":[["2012",4]]},"citation-key":"ge_energy_hawaii_2012"},"locator":"37-40"},{"id":1724,"uris":["http://zotero.org/users/1686015/items/94NVWX6N",["http://zotero.org/users/1686015/items/94NVWX6N"]],"itemData":{"id":1724,"type":"report","page":"http://www.hnei.hawaii.edu/projects/hawaii-rps-study","publisher":"Hawaii Natural Energy Institute and School of Ocean and Earth Science and Technology, University of Hawaii","source":"Google Scholar","title":"Hawaii Renewable Portfolio Standards Study","URL":"http://www.hnei.hawaii.edu/projects/hawaii-rps-study","author":[{"literal":"GE Energy Consulting"}],"accessed":{"date-parts":[["2017",2,22]]},"issued":{"date-parts":[["2015",6]]},"citation-key":"ge_energy_consulting_hawaii_2015"},"locator":"62"},{"id":223,"uris":["http://zotero.org/users/1686015/items/A7TDUZGM",["http://zotero.org/users/1686015/items/A7TDUZGM"]],"itemData":{"id":223,"type":"report","event-place":"Golden, Colorado","note":"NREL/CP-5500-56311","publisher":"National Renewable Energy Laboratory","publisher-place":"Golden, Colorado","title":"Hawaii Solar Integration Study: Solar Modeling Developments and Study Results","title-short":"Hawaii Solar Integration Study: Solar Modeling Developments and Study Results","URL":"http://www.nrel.gov/docs/fy13osti/56311.pdf","author":[{"family":"Piwko","given":"Richard"},{"family":"Roose","given":"Leon"},{"family":"Orwig","given":"Kirsten"},{"family":"Matsuura","given":"Marc"},{"family":"Corbus","given":"David"},{"family":"Schuerger","given":"Matt"}],"issued":{"date-parts":[["2012",12]]},"citation-key":"piwko_hawaii_2012"},"locator":"4-6"}],"schema":"https://github.com/citation-style-language/schema/raw/master/csl-citation.json"} </w:instrText>
      </w:r>
      <w:r>
        <w:fldChar w:fldCharType="separate"/>
      </w:r>
      <w:r w:rsidR="00244790" w:rsidRPr="00244790">
        <w:rPr>
          <w:rFonts w:cs="Times New Roman"/>
        </w:rPr>
        <w:t>(GE Energy 2012, 37–40; GE Energy Consulting 2015, 62; Piwko et al. 2012, 4–6)</w:t>
      </w:r>
      <w:r>
        <w:fldChar w:fldCharType="end"/>
      </w:r>
      <w:r>
        <w:t xml:space="preserve">. Switch also maintains upward contingency reserves equal to the largest individual generating unit online each hour and downward contingency reserves equal to 10% of load each hour. Operating reserves can be provided by dedicated contingency or regulating reserve batteries or by maintaining spare capacity in standard batteries or renewable, hydro or thermal generators. </w:t>
      </w:r>
    </w:p>
    <w:p w14:paraId="6E4DCA26" w14:textId="451CCF01" w:rsidR="00300E2D" w:rsidRDefault="0097620D" w:rsidP="00300E2D">
      <w:pPr>
        <w:pStyle w:val="BodyText"/>
      </w:pPr>
      <w:commentRangeStart w:id="7"/>
      <w:r>
        <w:t xml:space="preserve">For this study, in cases with dynamic pricing, </w:t>
      </w:r>
      <w:r w:rsidR="00352421">
        <w:t xml:space="preserve">some (high flexibility) </w:t>
      </w:r>
      <w:r>
        <w:t>customers are assumed to offer “spinning” reserves to the utility on a price-taker basis. In each hour, the quantity of down reserves offered—equivalent to decreasing generation or increasing consumption—is equal to the difference between the amount of power that would occur if the price were reduced to $1/MWh and the amount of power purchased at the current price. $1/MWh is the lowest price we allow in the demand system. The quantity of up reserves—tempo</w:t>
      </w:r>
      <w:r w:rsidR="00352421">
        <w:t>ra</w:t>
      </w:r>
      <w:r>
        <w:t xml:space="preserve">ry decrease in load—is equal to the total amount of power purchased for flexible purposes at the current price. </w:t>
      </w:r>
      <w:commentRangeEnd w:id="7"/>
      <w:r>
        <w:rPr>
          <w:rStyle w:val="CommentReference"/>
        </w:rPr>
        <w:commentReference w:id="7"/>
      </w:r>
    </w:p>
    <w:p w14:paraId="7A6D7642" w14:textId="51B1C477" w:rsidR="00C840CE" w:rsidRDefault="00300E2D" w:rsidP="0097620D">
      <w:pPr>
        <w:pStyle w:val="BodyText"/>
        <w:rPr>
          <w:b/>
          <w:bCs/>
        </w:rPr>
      </w:pPr>
      <w:r>
        <w:rPr>
          <w:b/>
          <w:bCs/>
        </w:rPr>
        <w:t>Tax credits and subsidies.</w:t>
      </w:r>
      <w:r>
        <w:t xml:space="preserve"> </w:t>
      </w:r>
      <w:r w:rsidR="0097620D">
        <w:t>The optimization included the 10% federal</w:t>
      </w:r>
      <w:r>
        <w:t xml:space="preserve"> tax credit</w:t>
      </w:r>
      <w:r w:rsidR="0097620D">
        <w:t xml:space="preserve"> in effect for utility-scale solar in 2045—as of 2019 </w:t>
      </w:r>
      <w:r w:rsidR="0097620D">
        <w:fldChar w:fldCharType="begin"/>
      </w:r>
      <w:r w:rsidR="00E50E3F">
        <w:instrText xml:space="preserve"> ADDIN ZOTERO_ITEM CSL_CITATION {"citationID":"kj12cgfZ","properties":{"formattedCitation":"(DSIRE 2019)","plainCitation":"(DSIRE 2019)","noteIndex":0},"citationItems":[{"id":2444,"uris":["http://zotero.org/users/1686015/items/S33L7J9J",["http://zotero.org/users/1686015/items/S33L7J9J"]],"itemData":{"id":2444,"type":"report","publisher":"NC Clean Energy Technology Center","title":"Business Energy Investment Tax Credit (ITC)","URL":"https://programs.dsireusa.org/system/program/detail/658","author":[{"literal":"DSIRE"}],"accessed":{"date-parts":[["2019",10,2]]},"issued":{"date-parts":[["2019"]]},"citation-key":"dsire_business_2019"},"label":"page"}],"schema":"https://github.com/citation-style-language/schema/raw/master/csl-citation.json"} </w:instrText>
      </w:r>
      <w:r w:rsidR="0097620D">
        <w:fldChar w:fldCharType="separate"/>
      </w:r>
      <w:r w:rsidR="00E50E3F">
        <w:rPr>
          <w:rFonts w:cs="Times New Roman"/>
        </w:rPr>
        <w:t>(DSIRE 2019)</w:t>
      </w:r>
      <w:r w:rsidR="0097620D">
        <w:fldChar w:fldCharType="end"/>
      </w:r>
      <w:r w:rsidR="0097620D">
        <w:t>—</w:t>
      </w:r>
      <w:r>
        <w:t xml:space="preserve">but state tax credits </w:t>
      </w:r>
      <w:r w:rsidR="0097620D">
        <w:t>were</w:t>
      </w:r>
      <w:r>
        <w:t xml:space="preserve"> ignored because </w:t>
      </w:r>
      <w:r w:rsidR="00893BFD">
        <w:t xml:space="preserve">they are not a net reduction in total expenditure by </w:t>
      </w:r>
      <w:r>
        <w:t xml:space="preserve">Hawaii residents. </w:t>
      </w:r>
    </w:p>
    <w:p w14:paraId="57D96153" w14:textId="16F85E34" w:rsidR="00D9301A" w:rsidRDefault="00C840CE" w:rsidP="00CA30EC">
      <w:pPr>
        <w:pStyle w:val="BodyText"/>
      </w:pPr>
      <w:r>
        <w:rPr>
          <w:b/>
          <w:bCs/>
        </w:rPr>
        <w:t xml:space="preserve">Fuel price forecasts. </w:t>
      </w:r>
      <w:r w:rsidR="00D9301A">
        <w:t xml:space="preserve">Liquid fuel </w:t>
      </w:r>
      <w:r w:rsidR="00AD02DE">
        <w:t xml:space="preserve">price forecasts </w:t>
      </w:r>
      <w:r w:rsidR="00D9301A">
        <w:t xml:space="preserve">are </w:t>
      </w:r>
      <w:r w:rsidR="00AD02DE">
        <w:t xml:space="preserve">based on the Brent </w:t>
      </w:r>
      <w:r w:rsidR="008556FF">
        <w:t>c</w:t>
      </w:r>
      <w:r w:rsidR="00AD02DE">
        <w:t xml:space="preserve">rude forecast </w:t>
      </w:r>
      <w:r w:rsidR="008556FF">
        <w:t xml:space="preserve">reported by </w:t>
      </w:r>
      <w:r w:rsidR="00AD02DE">
        <w:t xml:space="preserve">the Energy Information Administration </w:t>
      </w:r>
      <w:r w:rsidR="008556FF">
        <w:t xml:space="preserve">in </w:t>
      </w:r>
      <w:r w:rsidR="00AD02DE">
        <w:t xml:space="preserve">the Annual Energy Outlook </w:t>
      </w:r>
      <w:r w:rsidR="0084552A">
        <w:t xml:space="preserve">(AEO) </w:t>
      </w:r>
      <w:r w:rsidR="00AD02DE">
        <w:t xml:space="preserve">2019. We </w:t>
      </w:r>
      <w:r w:rsidR="00D9301A">
        <w:t>add</w:t>
      </w:r>
      <w:r w:rsidR="00AD02DE">
        <w:t xml:space="preserve"> a fixed </w:t>
      </w:r>
      <w:r w:rsidR="000D5A8A">
        <w:t xml:space="preserve">offset </w:t>
      </w:r>
      <w:r w:rsidR="00AD02DE">
        <w:t xml:space="preserve">to </w:t>
      </w:r>
      <w:r w:rsidR="0084552A">
        <w:t xml:space="preserve">the </w:t>
      </w:r>
      <w:r w:rsidR="00D9301A">
        <w:t xml:space="preserve">EIA </w:t>
      </w:r>
      <w:r w:rsidR="0084552A">
        <w:t>forecast</w:t>
      </w:r>
      <w:r w:rsidR="00AD02DE">
        <w:t xml:space="preserve"> to obtain a cost for </w:t>
      </w:r>
      <w:r w:rsidR="00CA4D47">
        <w:t>low-sulfur fuel oil (LSFO)</w:t>
      </w:r>
      <w:r w:rsidR="00676A42">
        <w:t xml:space="preserve">, diesel or </w:t>
      </w:r>
      <w:r w:rsidR="00676A42">
        <w:lastRenderedPageBreak/>
        <w:t>biodiesel</w:t>
      </w:r>
      <w:r w:rsidR="00CA4D47">
        <w:t xml:space="preserve"> delivered to power plants on Oahu. The adjustment factor </w:t>
      </w:r>
      <w:r>
        <w:t>is</w:t>
      </w:r>
      <w:r w:rsidR="00D9301A">
        <w:t xml:space="preserve"> –</w:t>
      </w:r>
      <w:r w:rsidR="00CA4D47">
        <w:t>$0.6</w:t>
      </w:r>
      <w:r w:rsidR="008167D6">
        <w:t>3</w:t>
      </w:r>
      <w:r w:rsidR="00CA4D47">
        <w:t>/MMBtu for LSFO (lower price than crude oil)</w:t>
      </w:r>
      <w:r w:rsidR="00676A42">
        <w:t xml:space="preserve">, </w:t>
      </w:r>
      <w:r w:rsidR="00CA4D47">
        <w:t>+$4.</w:t>
      </w:r>
      <w:r w:rsidR="00720BE8">
        <w:t>78</w:t>
      </w:r>
      <w:r w:rsidR="00CA4D47">
        <w:t>/MMBtu for diesel</w:t>
      </w:r>
      <w:r w:rsidR="00676A42">
        <w:t xml:space="preserve"> and +</w:t>
      </w:r>
      <w:r w:rsidR="00B82EED">
        <w:t>$1</w:t>
      </w:r>
      <w:r w:rsidR="00720BE8">
        <w:t>4.38</w:t>
      </w:r>
      <w:r w:rsidR="00D9301A">
        <w:t>/MMBtu</w:t>
      </w:r>
      <w:r w:rsidR="00B82EED">
        <w:t xml:space="preserve"> for biodiesel</w:t>
      </w:r>
      <w:r w:rsidR="00CA4D47">
        <w:t xml:space="preserve">. These factors were found by </w:t>
      </w:r>
      <w:r w:rsidR="00D9301A">
        <w:t xml:space="preserve">comparing </w:t>
      </w:r>
      <w:r w:rsidR="00CA4D47">
        <w:t xml:space="preserve">Oahu </w:t>
      </w:r>
      <w:r w:rsidR="00D9301A">
        <w:t xml:space="preserve">utility </w:t>
      </w:r>
      <w:r w:rsidR="00CA4D47">
        <w:t xml:space="preserve">prices for these fuels </w:t>
      </w:r>
      <w:r w:rsidR="00D9301A">
        <w:t>to</w:t>
      </w:r>
      <w:r w:rsidR="00CA4D47">
        <w:t xml:space="preserve"> Brent crude over 2006–1</w:t>
      </w:r>
      <w:r w:rsidR="00720BE8">
        <w:t>8</w:t>
      </w:r>
      <w:r w:rsidR="00B82EED">
        <w:t xml:space="preserve"> (2013–1</w:t>
      </w:r>
      <w:r w:rsidR="00720BE8">
        <w:t>8</w:t>
      </w:r>
      <w:r w:rsidR="00B82EED">
        <w:t xml:space="preserve"> for biodiesel)</w:t>
      </w:r>
      <w:r w:rsidR="00CA4D47">
        <w:t>.</w:t>
      </w:r>
      <w:r w:rsidR="00E50E3F">
        <w:t xml:space="preserve"> These values are in 2020 dollars</w:t>
      </w:r>
      <w:r w:rsidR="00D9301A">
        <w:t>.</w:t>
      </w:r>
    </w:p>
    <w:p w14:paraId="6EE4F4E6" w14:textId="12E14252" w:rsidR="003C3F60" w:rsidRDefault="00D9301A" w:rsidP="00CA30EC">
      <w:pPr>
        <w:pStyle w:val="BodyText"/>
      </w:pPr>
      <w:bookmarkStart w:id="8" w:name="_Ref522975214"/>
      <w:r w:rsidRPr="00D9301A">
        <w:rPr>
          <w:b/>
          <w:bCs/>
        </w:rPr>
        <w:t>Cost of wind and solar projects</w:t>
      </w:r>
      <w:r w:rsidR="000C452E">
        <w:rPr>
          <w:b/>
          <w:bCs/>
        </w:rPr>
        <w:t xml:space="preserve"> and batteries</w:t>
      </w:r>
      <w:r w:rsidRPr="00D9301A">
        <w:rPr>
          <w:b/>
          <w:bCs/>
        </w:rPr>
        <w:t xml:space="preserve">. </w:t>
      </w:r>
      <w:r w:rsidRPr="00D9301A">
        <w:t>For new</w:t>
      </w:r>
      <w:r>
        <w:rPr>
          <w:b/>
          <w:bCs/>
        </w:rPr>
        <w:t xml:space="preserve"> </w:t>
      </w:r>
      <w:r>
        <w:t>wind and solar resources</w:t>
      </w:r>
      <w:r w:rsidR="000C452E">
        <w:t xml:space="preserve"> and batteries,</w:t>
      </w:r>
      <w:r>
        <w:t xml:space="preserve"> w</w:t>
      </w:r>
      <w:r w:rsidR="00CA30EC">
        <w:t>e use capital costs</w:t>
      </w:r>
      <w:r w:rsidR="003C3F60">
        <w:t xml:space="preserve"> (including construction finance and interconnect cost) and </w:t>
      </w:r>
      <w:r w:rsidR="00CA30EC">
        <w:t>O&amp;M costs and</w:t>
      </w:r>
      <w:r w:rsidR="00091328">
        <w:t xml:space="preserve"> project</w:t>
      </w:r>
      <w:r w:rsidR="00CA30EC">
        <w:t xml:space="preserve"> lifetimes from the NREL 2019 ATB </w:t>
      </w:r>
      <w:r w:rsidR="00CA30EC">
        <w:fldChar w:fldCharType="begin"/>
      </w:r>
      <w:r w:rsidR="00AA7CCF">
        <w:instrText xml:space="preserve"> ADDIN ZOTERO_ITEM CSL_CITATION {"citationID":"LmW3ExbJ","properties":{"formattedCitation":"(NREL 2019)","plainCitation":"(NREL 2019)","noteIndex":0},"citationItems":[{"id":2441,"uris":["http://zotero.org/users/1686015/items/PVYKBJ2D",["http://zotero.org/users/1686015/items/PVYKBJ2D"]],"itemData":{"id":2441,"type":"report","event-place":"Golden, Colorado","publisher":"National Renewable Energy Laboratory","publisher-place":"Golden, Colorado","title":"2019 Annual Technology Baseline","URL":"https://atb.nrel.gov/electricity/2019/","author":[{"literal":"NREL"}],"issued":{"date-parts":[["2019"]]},"citation-key":"nrel_2019_2019"}}],"schema":"https://github.com/citation-style-language/schema/raw/master/csl-citation.json"} </w:instrText>
      </w:r>
      <w:r w:rsidR="00CA30EC">
        <w:fldChar w:fldCharType="separate"/>
      </w:r>
      <w:r w:rsidR="00244790">
        <w:rPr>
          <w:rFonts w:cs="Times New Roman"/>
        </w:rPr>
        <w:t>(NREL 2019)</w:t>
      </w:r>
      <w:r w:rsidR="00CA30EC">
        <w:fldChar w:fldCharType="end"/>
      </w:r>
      <w:r w:rsidR="00CA30EC">
        <w:t>.</w:t>
      </w:r>
      <w:r w:rsidR="000C452E">
        <w:t xml:space="preserve"> </w:t>
      </w:r>
      <w:r w:rsidR="00CA30EC">
        <w:t xml:space="preserve">We adjust capital costs to Hawaii-specific values by applying adders from EIA reports on this subject </w:t>
      </w:r>
      <w:r w:rsidR="00CA30EC">
        <w:fldChar w:fldCharType="begin"/>
      </w:r>
      <w:r w:rsidR="00AA7CCF">
        <w:instrText xml:space="preserve"> ADDIN ZOTERO_ITEM CSL_CITATION {"citationID":"oF3CWIOj","properties":{"formattedCitation":"(EIA 2017; 2016)","plainCitation":"(EIA 2017; 2016)","noteIndex":0},"citationItems":[{"id":2297,"uris":["http://zotero.org/users/1686015/items/ZTV89CSQ",["http://zotero.org/users/1686015/items/ZTV89CSQ"]],"itemData":{"id":2297,"type":"report","event-place":"Washington, D.C.","language":"en","publisher":"U.S. Energy Information Administration","publisher-place":"Washington, D.C.","source":"Zotero","title":"Addendum: Capital Cost Estimates for Additional Utility Scale Electric Generating Plants","URL":"https://www.eia.gov/analysis/studies/powerplants/capitalcost/pdf/beret_addendum_leidos.pdf","author":[{"literal":"EIA"}],"issued":{"date-parts":[["2017",4]]},"citation-key":"eia_addendum_2017"}},{"id":2295,"uris":["http://zotero.org/users/1686015/items/58DHSIDU",["http://zotero.org/users/1686015/items/58DHSIDU"]],"itemData":{"id":2295,"type":"report","event-place":"Washington, D.C.","publisher":"U.S. Energy Information Administration","publisher-place":"Washington, D.C.","source":"Zotero","title":"Capital Cost Estimates for Utility Scale Electricity Generating Plants","URL":"https://www.eia.gov/analysis/studies/powerplants/capitalcost/pdf/capcost_assumption.pdf","author":[{"literal":"EIA"}],"issued":{"date-parts":[["2016",11]]},"citation-key":"eia_capital_2016"}}],"schema":"https://github.com/citation-style-language/schema/raw/master/csl-citation.json"} </w:instrText>
      </w:r>
      <w:r w:rsidR="00CA30EC">
        <w:fldChar w:fldCharType="separate"/>
      </w:r>
      <w:r w:rsidR="00244790">
        <w:rPr>
          <w:rFonts w:cs="Times New Roman"/>
        </w:rPr>
        <w:t>(EIA 2017; 2016)</w:t>
      </w:r>
      <w:r w:rsidR="00CA30EC">
        <w:fldChar w:fldCharType="end"/>
      </w:r>
      <w:r w:rsidR="00CA30EC">
        <w:t xml:space="preserve"> as recommended by the ATB. These are 35% for wind projects, 64% for large PV</w:t>
      </w:r>
      <w:r w:rsidR="000C452E">
        <w:t xml:space="preserve">, </w:t>
      </w:r>
      <w:r w:rsidR="00CA30EC">
        <w:t>62% for distributed PV</w:t>
      </w:r>
      <w:r w:rsidR="000C452E">
        <w:t xml:space="preserve"> and 28% for batteries</w:t>
      </w:r>
      <w:r w:rsidR="00CA30EC">
        <w:t xml:space="preserve">. </w:t>
      </w:r>
      <w:r w:rsidR="003C3F60">
        <w:t>We assume all of these systems (including DG PV) are dispatchable, i.e., they may be limited by available wind or sun, but can produce any amount of power below this limit.</w:t>
      </w:r>
      <w:r w:rsidR="000C452E" w:rsidRPr="000C452E">
        <w:t xml:space="preserve"> </w:t>
      </w:r>
      <w:r w:rsidR="000C452E">
        <w:t xml:space="preserve">We model reserve-only batteries </w:t>
      </w:r>
      <w:r w:rsidR="000C452E" w:rsidRPr="00541772">
        <w:t xml:space="preserve">as </w:t>
      </w:r>
      <w:r w:rsidR="00E50E3F">
        <w:t xml:space="preserve">having </w:t>
      </w:r>
      <w:r w:rsidR="000C452E" w:rsidRPr="00541772">
        <w:t xml:space="preserve">zero </w:t>
      </w:r>
      <w:r w:rsidR="00E50E3F">
        <w:t xml:space="preserve">hours of bulk </w:t>
      </w:r>
      <w:r w:rsidR="000C452E" w:rsidRPr="00541772">
        <w:t>storage, but with cost equivalent to</w:t>
      </w:r>
      <w:r w:rsidR="000C452E">
        <w:t xml:space="preserve"> 0.5–</w:t>
      </w:r>
      <w:r w:rsidR="000C452E" w:rsidRPr="00541772">
        <w:t xml:space="preserve">1 hour of energy storage, </w:t>
      </w:r>
      <w:r w:rsidR="000C452E">
        <w:t xml:space="preserve">as modeled in </w:t>
      </w:r>
      <w:r w:rsidR="00E50E3F">
        <w:t xml:space="preserve">the PSIP </w:t>
      </w:r>
      <w:r w:rsidR="00E50E3F">
        <w:fldChar w:fldCharType="begin"/>
      </w:r>
      <w:r w:rsidR="00E50E3F">
        <w:instrText xml:space="preserve"> ADDIN ZOTERO_ITEM CSL_CITATION {"citationID":"8oSrDm0A","properties":{"formattedCitation":"(HECO 2016c)","plainCitation":"(HECO 2016c)","noteIndex":0},"citationItems":[{"id":1871,"uris":["http://zotero.org/users/1686015/items/BXVBF4RT"],"itemData":{"id":1871,"type":"report","event-place":"Honolulu, Hawaii","note":"also at https://www.hawaiianelectric.com/about-us/our-vision","publisher":"Hawaiian Electric Company","publisher-place":"Honolulu, Hawaii","title":"Hawaiian Electric Companies' PSIPs Update Report, Books 1-4","URL":"https://www.hawaiianelectric.com/clean-energy-hawaii/integrated-grid-planning/power-supply-improvement-plan","author":[{"literal":"HECO"}],"issued":{"date-parts":[["2016",12,23]]},"citation-key":"heco_hawaiian_2016"}}],"schema":"https://github.com/citation-style-language/schema/raw/master/csl-citation.json"} </w:instrText>
      </w:r>
      <w:r w:rsidR="00E50E3F">
        <w:fldChar w:fldCharType="separate"/>
      </w:r>
      <w:r w:rsidR="00E50E3F">
        <w:rPr>
          <w:noProof/>
        </w:rPr>
        <w:t>(HECO 2016c)</w:t>
      </w:r>
      <w:r w:rsidR="00E50E3F">
        <w:fldChar w:fldCharType="end"/>
      </w:r>
      <w:r w:rsidR="000C452E" w:rsidRPr="00541772">
        <w:t>.</w:t>
      </w:r>
    </w:p>
    <w:p w14:paraId="020A7FCD" w14:textId="4BB920CB" w:rsidR="007B0019" w:rsidRDefault="007B0019" w:rsidP="007B0019">
      <w:pPr>
        <w:pStyle w:val="BodyText"/>
      </w:pPr>
      <w:r>
        <w:t>We assume an additional cost of $1</w:t>
      </w:r>
      <w:r w:rsidR="009D7A4E">
        <w:t>000</w:t>
      </w:r>
      <w:r>
        <w:t xml:space="preserve"> per </w:t>
      </w:r>
      <w:r w:rsidR="009D7A4E">
        <w:t>M</w:t>
      </w:r>
      <w:r>
        <w:t>W-km for transmission upgrades required to carry power from utility-scale onshore wind and solar projects to the load center. The distances are calculated from the center of each cluster</w:t>
      </w:r>
      <w:r w:rsidRPr="006B2770">
        <w:t xml:space="preserve"> </w:t>
      </w:r>
      <w:r>
        <w:t>to the population-weighted center of Oahu. This produces upgrade costs in the range of $1</w:t>
      </w:r>
      <w:r w:rsidR="009D7A4E">
        <w:t>,000</w:t>
      </w:r>
      <w:r>
        <w:t>–36</w:t>
      </w:r>
      <w:r w:rsidR="009D7A4E">
        <w:t>,000</w:t>
      </w:r>
      <w:r>
        <w:t xml:space="preserve"> per </w:t>
      </w:r>
      <w:r w:rsidR="009D7A4E">
        <w:t>M</w:t>
      </w:r>
      <w:r>
        <w:t>W of capacity from these technologies. Tie-line costs for offshore wind are included in the NREL ATB costs, and we assume these tie lines connect to a strong point on the transmission network, requiring no additional upgrades. We assume that distributed solar, batteries and thermal power plants use existing transmission capacity, so they also don’t require transmission upgrades to carry power to market.</w:t>
      </w:r>
    </w:p>
    <w:p w14:paraId="6C1F263A" w14:textId="77777777" w:rsidR="007B0019" w:rsidRDefault="007B0019" w:rsidP="00CA30EC">
      <w:pPr>
        <w:pStyle w:val="BodyText"/>
      </w:pPr>
    </w:p>
    <w:p w14:paraId="7ECF2294" w14:textId="3542D6AF" w:rsidR="00FC1444" w:rsidRDefault="00FC1444" w:rsidP="00FC1444">
      <w:pPr>
        <w:pStyle w:val="Caption"/>
        <w:keepNext/>
      </w:pPr>
      <w:bookmarkStart w:id="9" w:name="_Ref21358454"/>
      <w:r>
        <w:t xml:space="preserve">Table </w:t>
      </w:r>
      <w:fldSimple w:instr=" SEQ Table \* ARABIC ">
        <w:r w:rsidR="0054057F">
          <w:rPr>
            <w:noProof/>
          </w:rPr>
          <w:t>3</w:t>
        </w:r>
      </w:fldSimple>
      <w:bookmarkEnd w:id="9"/>
      <w:r>
        <w:t xml:space="preserve">. </w:t>
      </w:r>
      <w:r w:rsidR="0054057F">
        <w:t xml:space="preserve">Capital cost, </w:t>
      </w:r>
      <w:r w:rsidR="00E50E3F">
        <w:t xml:space="preserve">fixed </w:t>
      </w:r>
      <w:r w:rsidR="0054057F">
        <w:t>O&amp;M and project lifetime for wind</w:t>
      </w:r>
      <w:r w:rsidR="00936904">
        <w:t xml:space="preserve"> farms, </w:t>
      </w:r>
      <w:r w:rsidR="0054057F">
        <w:t xml:space="preserve">solar </w:t>
      </w:r>
      <w:r w:rsidR="00936904">
        <w:t xml:space="preserve">arrays </w:t>
      </w:r>
      <w:r w:rsidR="000C452E">
        <w:t>and batteries</w:t>
      </w:r>
      <w:r w:rsidR="00E50E3F">
        <w:t>; current costs and 2045 projections (2020 dollars)</w:t>
      </w:r>
    </w:p>
    <w:tbl>
      <w:tblPr>
        <w:tblStyle w:val="TableGrid"/>
        <w:tblW w:w="0" w:type="auto"/>
        <w:jc w:val="center"/>
        <w:tblBorders>
          <w:insideH w:val="none" w:sz="0" w:space="0" w:color="auto"/>
        </w:tblBorders>
        <w:tblLook w:val="04A0" w:firstRow="1" w:lastRow="0" w:firstColumn="1" w:lastColumn="0" w:noHBand="0" w:noVBand="1"/>
      </w:tblPr>
      <w:tblGrid>
        <w:gridCol w:w="1190"/>
        <w:gridCol w:w="1745"/>
        <w:gridCol w:w="1393"/>
        <w:gridCol w:w="1211"/>
        <w:gridCol w:w="1211"/>
        <w:gridCol w:w="1289"/>
      </w:tblGrid>
      <w:tr w:rsidR="000C452E" w:rsidRPr="00D273C3" w14:paraId="1FCE1660" w14:textId="77777777" w:rsidTr="000C452E">
        <w:trPr>
          <w:jc w:val="center"/>
        </w:trPr>
        <w:tc>
          <w:tcPr>
            <w:tcW w:w="1190" w:type="dxa"/>
            <w:tcBorders>
              <w:top w:val="single" w:sz="4" w:space="0" w:color="auto"/>
              <w:bottom w:val="single" w:sz="4" w:space="0" w:color="auto"/>
            </w:tcBorders>
          </w:tcPr>
          <w:p w14:paraId="65831F34" w14:textId="51904BA9" w:rsidR="000C452E" w:rsidRDefault="00E50E3F" w:rsidP="000C452E">
            <w:pPr>
              <w:pStyle w:val="BodyText"/>
              <w:keepNext/>
              <w:spacing w:after="80"/>
              <w:ind w:firstLine="0"/>
              <w:jc w:val="right"/>
              <w:rPr>
                <w:rFonts w:ascii="Arial" w:hAnsi="Arial" w:cs="Arial"/>
                <w:b/>
                <w:bCs/>
                <w:sz w:val="22"/>
                <w:szCs w:val="22"/>
              </w:rPr>
            </w:pPr>
            <w:r>
              <w:rPr>
                <w:rFonts w:ascii="Arial" w:hAnsi="Arial" w:cs="Arial"/>
                <w:b/>
                <w:bCs/>
                <w:sz w:val="22"/>
                <w:szCs w:val="22"/>
              </w:rPr>
              <w:t>Cost Scenario</w:t>
            </w:r>
          </w:p>
        </w:tc>
        <w:tc>
          <w:tcPr>
            <w:tcW w:w="1745" w:type="dxa"/>
            <w:tcBorders>
              <w:top w:val="single" w:sz="4" w:space="0" w:color="auto"/>
              <w:bottom w:val="single" w:sz="4" w:space="0" w:color="auto"/>
            </w:tcBorders>
          </w:tcPr>
          <w:p w14:paraId="1D77130C" w14:textId="4E2C29C7" w:rsidR="000C452E"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Technology</w:t>
            </w:r>
          </w:p>
        </w:tc>
        <w:tc>
          <w:tcPr>
            <w:tcW w:w="1190" w:type="dxa"/>
            <w:tcBorders>
              <w:top w:val="single" w:sz="4" w:space="0" w:color="auto"/>
              <w:bottom w:val="single" w:sz="4" w:space="0" w:color="auto"/>
            </w:tcBorders>
          </w:tcPr>
          <w:p w14:paraId="57713574" w14:textId="56AECB59" w:rsidR="000C452E"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Capital cost (2020$ /kW)</w:t>
            </w:r>
          </w:p>
        </w:tc>
        <w:tc>
          <w:tcPr>
            <w:tcW w:w="1211" w:type="dxa"/>
            <w:tcBorders>
              <w:top w:val="single" w:sz="4" w:space="0" w:color="auto"/>
              <w:bottom w:val="single" w:sz="4" w:space="0" w:color="auto"/>
            </w:tcBorders>
          </w:tcPr>
          <w:p w14:paraId="612B8D60" w14:textId="5DAD9F5F" w:rsidR="000C452E"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Storage capital cost (2020$ /kWh)</w:t>
            </w:r>
          </w:p>
        </w:tc>
        <w:tc>
          <w:tcPr>
            <w:tcW w:w="1211" w:type="dxa"/>
            <w:tcBorders>
              <w:top w:val="single" w:sz="4" w:space="0" w:color="auto"/>
              <w:bottom w:val="single" w:sz="4" w:space="0" w:color="auto"/>
            </w:tcBorders>
          </w:tcPr>
          <w:p w14:paraId="4E66EC1C" w14:textId="569304CA" w:rsidR="000C452E"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Fixed O&amp;M</w:t>
            </w:r>
            <w:r>
              <w:rPr>
                <w:rFonts w:ascii="Arial" w:hAnsi="Arial" w:cs="Arial"/>
                <w:b/>
                <w:bCs/>
                <w:sz w:val="22"/>
                <w:szCs w:val="22"/>
              </w:rPr>
              <w:br/>
              <w:t>(2020$ /kW-yr)</w:t>
            </w:r>
          </w:p>
        </w:tc>
        <w:tc>
          <w:tcPr>
            <w:tcW w:w="1289" w:type="dxa"/>
            <w:tcBorders>
              <w:top w:val="single" w:sz="4" w:space="0" w:color="auto"/>
              <w:bottom w:val="single" w:sz="4" w:space="0" w:color="auto"/>
            </w:tcBorders>
          </w:tcPr>
          <w:p w14:paraId="0A9F640E" w14:textId="2C42D25A" w:rsidR="000C452E" w:rsidRPr="00D273C3"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Asset life (years)</w:t>
            </w:r>
          </w:p>
        </w:tc>
      </w:tr>
      <w:tr w:rsidR="00351ADD" w:rsidRPr="00351ADD" w14:paraId="6D4BD126" w14:textId="77777777" w:rsidTr="000C452E">
        <w:trPr>
          <w:jc w:val="center"/>
        </w:trPr>
        <w:tc>
          <w:tcPr>
            <w:tcW w:w="1190" w:type="dxa"/>
            <w:tcBorders>
              <w:top w:val="single" w:sz="4" w:space="0" w:color="auto"/>
            </w:tcBorders>
          </w:tcPr>
          <w:p w14:paraId="259F6A79" w14:textId="5EA3783A" w:rsidR="000C452E" w:rsidRPr="005F4CF5" w:rsidRDefault="00E50E3F" w:rsidP="000C452E">
            <w:pPr>
              <w:pStyle w:val="BodyText"/>
              <w:keepNext/>
              <w:spacing w:after="80"/>
              <w:ind w:firstLine="0"/>
              <w:jc w:val="right"/>
              <w:rPr>
                <w:rFonts w:ascii="Arial" w:hAnsi="Arial" w:cs="Arial"/>
                <w:sz w:val="22"/>
                <w:szCs w:val="22"/>
              </w:rPr>
            </w:pPr>
            <w:r>
              <w:rPr>
                <w:rFonts w:ascii="Arial" w:hAnsi="Arial" w:cs="Arial"/>
                <w:sz w:val="22"/>
                <w:szCs w:val="22"/>
              </w:rPr>
              <w:t>Current</w:t>
            </w:r>
          </w:p>
        </w:tc>
        <w:tc>
          <w:tcPr>
            <w:tcW w:w="1745" w:type="dxa"/>
            <w:tcBorders>
              <w:top w:val="single" w:sz="4" w:space="0" w:color="auto"/>
            </w:tcBorders>
          </w:tcPr>
          <w:p w14:paraId="6FC478EC"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Onshore wind</w:t>
            </w:r>
          </w:p>
        </w:tc>
        <w:tc>
          <w:tcPr>
            <w:tcW w:w="1190" w:type="dxa"/>
            <w:tcBorders>
              <w:top w:val="single" w:sz="4" w:space="0" w:color="auto"/>
            </w:tcBorders>
          </w:tcPr>
          <w:p w14:paraId="5F5FF530" w14:textId="405EE37F" w:rsidR="000C452E" w:rsidRPr="005F4CF5" w:rsidRDefault="00825C15" w:rsidP="00825C15">
            <w:pPr>
              <w:pStyle w:val="BodyText"/>
              <w:keepNext/>
              <w:spacing w:after="80"/>
              <w:rPr>
                <w:rFonts w:ascii="Arial" w:hAnsi="Arial" w:cs="Arial"/>
                <w:sz w:val="22"/>
                <w:szCs w:val="22"/>
              </w:rPr>
            </w:pPr>
            <w:r w:rsidRPr="005F4CF5">
              <w:rPr>
                <w:rFonts w:ascii="Arial" w:hAnsi="Arial" w:cs="Arial"/>
                <w:sz w:val="22"/>
                <w:szCs w:val="22"/>
              </w:rPr>
              <w:t>$2,</w:t>
            </w:r>
            <w:r w:rsidR="00351ADD" w:rsidRPr="005F4CF5">
              <w:rPr>
                <w:rFonts w:ascii="Arial" w:hAnsi="Arial" w:cs="Arial"/>
                <w:sz w:val="22"/>
                <w:szCs w:val="22"/>
              </w:rPr>
              <w:t>188</w:t>
            </w:r>
          </w:p>
        </w:tc>
        <w:tc>
          <w:tcPr>
            <w:tcW w:w="1211" w:type="dxa"/>
            <w:tcBorders>
              <w:top w:val="single" w:sz="4" w:space="0" w:color="auto"/>
            </w:tcBorders>
          </w:tcPr>
          <w:p w14:paraId="27CEF628" w14:textId="68C7E3D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Borders>
              <w:top w:val="single" w:sz="4" w:space="0" w:color="auto"/>
            </w:tcBorders>
          </w:tcPr>
          <w:p w14:paraId="7F4E0B39" w14:textId="277AB287"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$4</w:t>
            </w:r>
            <w:r w:rsidR="00351ADD" w:rsidRPr="005F4CF5">
              <w:rPr>
                <w:rFonts w:ascii="Arial" w:hAnsi="Arial" w:cs="Arial"/>
                <w:sz w:val="22"/>
                <w:szCs w:val="22"/>
              </w:rPr>
              <w:t>5</w:t>
            </w:r>
          </w:p>
        </w:tc>
        <w:tc>
          <w:tcPr>
            <w:tcW w:w="1289" w:type="dxa"/>
            <w:tcBorders>
              <w:top w:val="single" w:sz="4" w:space="0" w:color="auto"/>
            </w:tcBorders>
            <w:vAlign w:val="bottom"/>
          </w:tcPr>
          <w:p w14:paraId="70119346"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351ADD" w:rsidRPr="00351ADD" w14:paraId="0CAAC1F8" w14:textId="77777777" w:rsidTr="000C452E">
        <w:trPr>
          <w:jc w:val="center"/>
        </w:trPr>
        <w:tc>
          <w:tcPr>
            <w:tcW w:w="1190" w:type="dxa"/>
          </w:tcPr>
          <w:p w14:paraId="10A38E3A"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6D93FE71"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Offshore wind</w:t>
            </w:r>
          </w:p>
        </w:tc>
        <w:tc>
          <w:tcPr>
            <w:tcW w:w="1190" w:type="dxa"/>
          </w:tcPr>
          <w:p w14:paraId="619517CE" w14:textId="7FA8D6AF"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$7,</w:t>
            </w:r>
            <w:r w:rsidR="00E50E3F">
              <w:rPr>
                <w:rFonts w:ascii="Arial" w:hAnsi="Arial" w:cs="Arial"/>
                <w:sz w:val="22"/>
                <w:szCs w:val="22"/>
              </w:rPr>
              <w:t>476</w:t>
            </w:r>
          </w:p>
        </w:tc>
        <w:tc>
          <w:tcPr>
            <w:tcW w:w="1211" w:type="dxa"/>
          </w:tcPr>
          <w:p w14:paraId="53C1D073" w14:textId="577C9143"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2FBF2343" w14:textId="5429B92A"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$8</w:t>
            </w:r>
            <w:r w:rsidR="00E50E3F">
              <w:rPr>
                <w:rFonts w:ascii="Arial" w:hAnsi="Arial" w:cs="Arial"/>
                <w:sz w:val="22"/>
                <w:szCs w:val="22"/>
              </w:rPr>
              <w:t>9</w:t>
            </w:r>
          </w:p>
        </w:tc>
        <w:tc>
          <w:tcPr>
            <w:tcW w:w="1289" w:type="dxa"/>
            <w:vAlign w:val="bottom"/>
          </w:tcPr>
          <w:p w14:paraId="52B88A9E"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0C452E" w:rsidRPr="00D273C3" w14:paraId="436FD22C" w14:textId="77777777" w:rsidTr="000C452E">
        <w:trPr>
          <w:jc w:val="center"/>
        </w:trPr>
        <w:tc>
          <w:tcPr>
            <w:tcW w:w="1190" w:type="dxa"/>
          </w:tcPr>
          <w:p w14:paraId="0DDFF028"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630CF6AF"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Utility-scale PV</w:t>
            </w:r>
          </w:p>
        </w:tc>
        <w:tc>
          <w:tcPr>
            <w:tcW w:w="1190" w:type="dxa"/>
          </w:tcPr>
          <w:p w14:paraId="036094B5" w14:textId="27688D47"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w:t>
            </w:r>
            <w:r w:rsidR="00E50E3F">
              <w:rPr>
                <w:rFonts w:ascii="Arial" w:hAnsi="Arial" w:cs="Arial"/>
                <w:sz w:val="22"/>
                <w:szCs w:val="22"/>
              </w:rPr>
              <w:t>934</w:t>
            </w:r>
          </w:p>
        </w:tc>
        <w:tc>
          <w:tcPr>
            <w:tcW w:w="1211" w:type="dxa"/>
          </w:tcPr>
          <w:p w14:paraId="78FD2CC3" w14:textId="60DD8F3B"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2B35A445" w14:textId="3F9FA23C"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w:t>
            </w:r>
            <w:r w:rsidR="00E50E3F">
              <w:rPr>
                <w:rFonts w:ascii="Arial" w:hAnsi="Arial" w:cs="Arial"/>
                <w:sz w:val="22"/>
                <w:szCs w:val="22"/>
              </w:rPr>
              <w:t>4</w:t>
            </w:r>
          </w:p>
        </w:tc>
        <w:tc>
          <w:tcPr>
            <w:tcW w:w="1289" w:type="dxa"/>
            <w:vAlign w:val="bottom"/>
          </w:tcPr>
          <w:p w14:paraId="43EBAD9A"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351ADD" w:rsidRPr="00351ADD" w14:paraId="19FFD95B" w14:textId="77777777" w:rsidTr="000C452E">
        <w:trPr>
          <w:jc w:val="center"/>
        </w:trPr>
        <w:tc>
          <w:tcPr>
            <w:tcW w:w="1190" w:type="dxa"/>
          </w:tcPr>
          <w:p w14:paraId="33DECB09"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051FE513"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Sloped-roof PV</w:t>
            </w:r>
          </w:p>
        </w:tc>
        <w:tc>
          <w:tcPr>
            <w:tcW w:w="1190" w:type="dxa"/>
          </w:tcPr>
          <w:p w14:paraId="33A3C459" w14:textId="1BC99DBB"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$4,</w:t>
            </w:r>
            <w:r w:rsidR="00E50E3F">
              <w:rPr>
                <w:rFonts w:ascii="Arial" w:hAnsi="Arial" w:cs="Arial"/>
                <w:sz w:val="22"/>
                <w:szCs w:val="22"/>
              </w:rPr>
              <w:t>493</w:t>
            </w:r>
          </w:p>
        </w:tc>
        <w:tc>
          <w:tcPr>
            <w:tcW w:w="1211" w:type="dxa"/>
          </w:tcPr>
          <w:p w14:paraId="782D6F30" w14:textId="2ECCA6BF"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2CB057E2" w14:textId="566CCFF2"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$2</w:t>
            </w:r>
            <w:r w:rsidR="00E50E3F">
              <w:rPr>
                <w:rFonts w:ascii="Arial" w:hAnsi="Arial" w:cs="Arial"/>
                <w:sz w:val="22"/>
                <w:szCs w:val="22"/>
              </w:rPr>
              <w:t>2</w:t>
            </w:r>
          </w:p>
        </w:tc>
        <w:tc>
          <w:tcPr>
            <w:tcW w:w="1289" w:type="dxa"/>
            <w:vAlign w:val="bottom"/>
          </w:tcPr>
          <w:p w14:paraId="042852DF"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351ADD" w:rsidRPr="00351ADD" w14:paraId="3C4AFE8F" w14:textId="77777777" w:rsidTr="000C452E">
        <w:trPr>
          <w:jc w:val="center"/>
        </w:trPr>
        <w:tc>
          <w:tcPr>
            <w:tcW w:w="1190" w:type="dxa"/>
          </w:tcPr>
          <w:p w14:paraId="08F24D94"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5296E255"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Flat-roof PV</w:t>
            </w:r>
          </w:p>
        </w:tc>
        <w:tc>
          <w:tcPr>
            <w:tcW w:w="1190" w:type="dxa"/>
          </w:tcPr>
          <w:p w14:paraId="0175C03B" w14:textId="6EFCBFB0"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r w:rsidR="00E50E3F">
              <w:rPr>
                <w:rFonts w:ascii="Arial" w:hAnsi="Arial" w:cs="Arial"/>
                <w:sz w:val="22"/>
                <w:szCs w:val="22"/>
              </w:rPr>
              <w:t>3,005</w:t>
            </w:r>
          </w:p>
        </w:tc>
        <w:tc>
          <w:tcPr>
            <w:tcW w:w="1211" w:type="dxa"/>
          </w:tcPr>
          <w:p w14:paraId="1D5C59BF"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7AEBC4B5" w14:textId="0D9C7EB2"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r w:rsidR="00351ADD" w:rsidRPr="005F4CF5">
              <w:rPr>
                <w:rFonts w:ascii="Arial" w:hAnsi="Arial" w:cs="Arial"/>
                <w:sz w:val="22"/>
                <w:szCs w:val="22"/>
              </w:rPr>
              <w:t>1</w:t>
            </w:r>
            <w:r w:rsidR="00E50E3F">
              <w:rPr>
                <w:rFonts w:ascii="Arial" w:hAnsi="Arial" w:cs="Arial"/>
                <w:sz w:val="22"/>
                <w:szCs w:val="22"/>
              </w:rPr>
              <w:t>8</w:t>
            </w:r>
          </w:p>
        </w:tc>
        <w:tc>
          <w:tcPr>
            <w:tcW w:w="1289" w:type="dxa"/>
            <w:vAlign w:val="bottom"/>
          </w:tcPr>
          <w:p w14:paraId="41E654AB"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0C452E" w:rsidRPr="00D273C3" w14:paraId="6947AD40" w14:textId="77777777" w:rsidTr="000C452E">
        <w:trPr>
          <w:jc w:val="center"/>
        </w:trPr>
        <w:tc>
          <w:tcPr>
            <w:tcW w:w="1190" w:type="dxa"/>
          </w:tcPr>
          <w:p w14:paraId="07422F36"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1119D21C" w14:textId="2420BEF0"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Batteries</w:t>
            </w:r>
          </w:p>
        </w:tc>
        <w:tc>
          <w:tcPr>
            <w:tcW w:w="1190" w:type="dxa"/>
          </w:tcPr>
          <w:p w14:paraId="269E2516" w14:textId="25CAE98E"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r w:rsidR="00E50E3F">
              <w:rPr>
                <w:rFonts w:ascii="Arial" w:hAnsi="Arial" w:cs="Arial"/>
                <w:sz w:val="22"/>
                <w:szCs w:val="22"/>
              </w:rPr>
              <w:t>859</w:t>
            </w:r>
          </w:p>
        </w:tc>
        <w:tc>
          <w:tcPr>
            <w:tcW w:w="1211" w:type="dxa"/>
          </w:tcPr>
          <w:p w14:paraId="28017DAB" w14:textId="37E40CEB"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$2</w:t>
            </w:r>
            <w:r w:rsidR="00E50E3F">
              <w:rPr>
                <w:rFonts w:ascii="Arial" w:hAnsi="Arial" w:cs="Arial"/>
                <w:sz w:val="22"/>
                <w:szCs w:val="22"/>
              </w:rPr>
              <w:t>44</w:t>
            </w:r>
          </w:p>
        </w:tc>
        <w:tc>
          <w:tcPr>
            <w:tcW w:w="1211" w:type="dxa"/>
          </w:tcPr>
          <w:p w14:paraId="1C017737" w14:textId="4D1ACEE8"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$3</w:t>
            </w:r>
            <w:r w:rsidR="00E50E3F">
              <w:rPr>
                <w:rFonts w:ascii="Arial" w:hAnsi="Arial" w:cs="Arial"/>
                <w:sz w:val="22"/>
                <w:szCs w:val="22"/>
              </w:rPr>
              <w:t>7</w:t>
            </w:r>
          </w:p>
        </w:tc>
        <w:tc>
          <w:tcPr>
            <w:tcW w:w="1289" w:type="dxa"/>
            <w:vAlign w:val="bottom"/>
          </w:tcPr>
          <w:p w14:paraId="7F47319F" w14:textId="5970DC08"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15</w:t>
            </w:r>
          </w:p>
        </w:tc>
      </w:tr>
      <w:tr w:rsidR="005F4CF5" w:rsidRPr="005F4CF5" w14:paraId="54C9C2D6" w14:textId="77777777" w:rsidTr="000C452E">
        <w:trPr>
          <w:jc w:val="center"/>
        </w:trPr>
        <w:tc>
          <w:tcPr>
            <w:tcW w:w="1190" w:type="dxa"/>
            <w:tcBorders>
              <w:top w:val="single" w:sz="4" w:space="0" w:color="auto"/>
            </w:tcBorders>
          </w:tcPr>
          <w:p w14:paraId="2A09A6BB" w14:textId="251323B8"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2045</w:t>
            </w:r>
          </w:p>
        </w:tc>
        <w:tc>
          <w:tcPr>
            <w:tcW w:w="1745" w:type="dxa"/>
            <w:tcBorders>
              <w:top w:val="single" w:sz="4" w:space="0" w:color="auto"/>
            </w:tcBorders>
          </w:tcPr>
          <w:p w14:paraId="51FA8CF2" w14:textId="6C174475"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Onshore wind</w:t>
            </w:r>
          </w:p>
        </w:tc>
        <w:tc>
          <w:tcPr>
            <w:tcW w:w="1190" w:type="dxa"/>
            <w:tcBorders>
              <w:top w:val="single" w:sz="4" w:space="0" w:color="auto"/>
            </w:tcBorders>
          </w:tcPr>
          <w:p w14:paraId="39C5516A" w14:textId="3AD85A52"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$1,5</w:t>
            </w:r>
            <w:r w:rsidR="00E50E3F">
              <w:rPr>
                <w:rFonts w:ascii="Arial" w:hAnsi="Arial" w:cs="Arial"/>
                <w:sz w:val="22"/>
                <w:szCs w:val="22"/>
              </w:rPr>
              <w:t>22</w:t>
            </w:r>
          </w:p>
        </w:tc>
        <w:tc>
          <w:tcPr>
            <w:tcW w:w="1211" w:type="dxa"/>
            <w:tcBorders>
              <w:top w:val="single" w:sz="4" w:space="0" w:color="auto"/>
            </w:tcBorders>
          </w:tcPr>
          <w:p w14:paraId="72FD86E5" w14:textId="4F16DC3A"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Borders>
              <w:top w:val="single" w:sz="4" w:space="0" w:color="auto"/>
            </w:tcBorders>
          </w:tcPr>
          <w:p w14:paraId="16909296" w14:textId="28CC0105"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$37</w:t>
            </w:r>
          </w:p>
        </w:tc>
        <w:tc>
          <w:tcPr>
            <w:tcW w:w="1289" w:type="dxa"/>
            <w:tcBorders>
              <w:top w:val="single" w:sz="4" w:space="0" w:color="auto"/>
            </w:tcBorders>
            <w:vAlign w:val="bottom"/>
          </w:tcPr>
          <w:p w14:paraId="02BE2CCF" w14:textId="1F67BFE9"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5F4CF5" w:rsidRPr="005F4CF5" w14:paraId="0CA5999A" w14:textId="77777777" w:rsidTr="000C452E">
        <w:trPr>
          <w:jc w:val="center"/>
        </w:trPr>
        <w:tc>
          <w:tcPr>
            <w:tcW w:w="1190" w:type="dxa"/>
          </w:tcPr>
          <w:p w14:paraId="00F4C802"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0FA2C6F7" w14:textId="6AE7900C"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Offshore wind</w:t>
            </w:r>
          </w:p>
        </w:tc>
        <w:tc>
          <w:tcPr>
            <w:tcW w:w="1190" w:type="dxa"/>
          </w:tcPr>
          <w:p w14:paraId="3103A34E" w14:textId="7A1C8330"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$3,</w:t>
            </w:r>
            <w:r w:rsidR="00E50E3F">
              <w:rPr>
                <w:rFonts w:ascii="Arial" w:hAnsi="Arial" w:cs="Arial"/>
                <w:sz w:val="22"/>
                <w:szCs w:val="22"/>
              </w:rPr>
              <w:t>128</w:t>
            </w:r>
          </w:p>
        </w:tc>
        <w:tc>
          <w:tcPr>
            <w:tcW w:w="1211" w:type="dxa"/>
          </w:tcPr>
          <w:p w14:paraId="6D1E3C2A" w14:textId="3B0B77CF"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0FEE628A" w14:textId="22D3F22A"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$42</w:t>
            </w:r>
          </w:p>
        </w:tc>
        <w:tc>
          <w:tcPr>
            <w:tcW w:w="1289" w:type="dxa"/>
            <w:vAlign w:val="bottom"/>
          </w:tcPr>
          <w:p w14:paraId="6AA6660B" w14:textId="505ABC23"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5F4CF5" w:rsidRPr="005F4CF5" w14:paraId="6167609D" w14:textId="77777777" w:rsidTr="000C452E">
        <w:trPr>
          <w:jc w:val="center"/>
        </w:trPr>
        <w:tc>
          <w:tcPr>
            <w:tcW w:w="1190" w:type="dxa"/>
          </w:tcPr>
          <w:p w14:paraId="0CC92304"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08D404BE" w14:textId="29B74740"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Utility-scale PV</w:t>
            </w:r>
          </w:p>
        </w:tc>
        <w:tc>
          <w:tcPr>
            <w:tcW w:w="1190" w:type="dxa"/>
          </w:tcPr>
          <w:p w14:paraId="5F47118B" w14:textId="50C57798"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$1,2</w:t>
            </w:r>
            <w:r w:rsidR="00E50E3F">
              <w:rPr>
                <w:rFonts w:ascii="Arial" w:hAnsi="Arial" w:cs="Arial"/>
                <w:sz w:val="22"/>
                <w:szCs w:val="22"/>
              </w:rPr>
              <w:t>80</w:t>
            </w:r>
          </w:p>
        </w:tc>
        <w:tc>
          <w:tcPr>
            <w:tcW w:w="1211" w:type="dxa"/>
          </w:tcPr>
          <w:p w14:paraId="0F71A7F6" w14:textId="420018C4"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07D390FF" w14:textId="05A158F8"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$9</w:t>
            </w:r>
          </w:p>
        </w:tc>
        <w:tc>
          <w:tcPr>
            <w:tcW w:w="1289" w:type="dxa"/>
            <w:vAlign w:val="bottom"/>
          </w:tcPr>
          <w:p w14:paraId="1F60D8BC" w14:textId="79961E83"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5F4CF5" w:rsidRPr="005F4CF5" w14:paraId="1F239A65" w14:textId="77777777" w:rsidTr="000C452E">
        <w:trPr>
          <w:jc w:val="center"/>
        </w:trPr>
        <w:tc>
          <w:tcPr>
            <w:tcW w:w="1190" w:type="dxa"/>
          </w:tcPr>
          <w:p w14:paraId="0E0DB344"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06C32348" w14:textId="583F2FB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Sloped-roof PV</w:t>
            </w:r>
          </w:p>
        </w:tc>
        <w:tc>
          <w:tcPr>
            <w:tcW w:w="1190" w:type="dxa"/>
          </w:tcPr>
          <w:p w14:paraId="6FD31240" w14:textId="11C58A16"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$1,8</w:t>
            </w:r>
            <w:r w:rsidR="00E50E3F">
              <w:rPr>
                <w:rFonts w:ascii="Arial" w:hAnsi="Arial" w:cs="Arial"/>
                <w:sz w:val="22"/>
                <w:szCs w:val="22"/>
              </w:rPr>
              <w:t>90</w:t>
            </w:r>
          </w:p>
        </w:tc>
        <w:tc>
          <w:tcPr>
            <w:tcW w:w="1211" w:type="dxa"/>
          </w:tcPr>
          <w:p w14:paraId="771E95C5" w14:textId="18C2E582"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51A41D1D" w14:textId="5E70413A"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$9</w:t>
            </w:r>
          </w:p>
        </w:tc>
        <w:tc>
          <w:tcPr>
            <w:tcW w:w="1289" w:type="dxa"/>
            <w:vAlign w:val="bottom"/>
          </w:tcPr>
          <w:p w14:paraId="4AF4746F" w14:textId="7973D990"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5F4CF5" w:rsidRPr="005F4CF5" w14:paraId="3F6CC80A" w14:textId="77777777" w:rsidTr="000C452E">
        <w:trPr>
          <w:jc w:val="center"/>
        </w:trPr>
        <w:tc>
          <w:tcPr>
            <w:tcW w:w="1190" w:type="dxa"/>
          </w:tcPr>
          <w:p w14:paraId="1B0C7CB0"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49181D17" w14:textId="29DB389E"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Flat-roof PV</w:t>
            </w:r>
          </w:p>
        </w:tc>
        <w:tc>
          <w:tcPr>
            <w:tcW w:w="1190" w:type="dxa"/>
          </w:tcPr>
          <w:p w14:paraId="3D20DB30" w14:textId="4584BFCB"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$1,8</w:t>
            </w:r>
            <w:r w:rsidR="00E50E3F">
              <w:rPr>
                <w:rFonts w:ascii="Arial" w:hAnsi="Arial" w:cs="Arial"/>
                <w:sz w:val="22"/>
                <w:szCs w:val="22"/>
              </w:rPr>
              <w:t>86</w:t>
            </w:r>
          </w:p>
        </w:tc>
        <w:tc>
          <w:tcPr>
            <w:tcW w:w="1211" w:type="dxa"/>
          </w:tcPr>
          <w:p w14:paraId="3085A67E"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1250F263" w14:textId="002ABDFA"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$11</w:t>
            </w:r>
          </w:p>
        </w:tc>
        <w:tc>
          <w:tcPr>
            <w:tcW w:w="1289" w:type="dxa"/>
            <w:vAlign w:val="bottom"/>
          </w:tcPr>
          <w:p w14:paraId="466F85CC"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351ADD" w:rsidRPr="00351ADD" w14:paraId="43AA0CCF" w14:textId="77777777" w:rsidTr="000C452E">
        <w:trPr>
          <w:jc w:val="center"/>
        </w:trPr>
        <w:tc>
          <w:tcPr>
            <w:tcW w:w="1190" w:type="dxa"/>
          </w:tcPr>
          <w:p w14:paraId="0BB1EF0D"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69CAD93B" w14:textId="4031D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Batteries</w:t>
            </w:r>
          </w:p>
        </w:tc>
        <w:tc>
          <w:tcPr>
            <w:tcW w:w="1190" w:type="dxa"/>
          </w:tcPr>
          <w:p w14:paraId="5A3F0237" w14:textId="7CFD382B"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$40</w:t>
            </w:r>
            <w:r w:rsidR="00E50E3F">
              <w:rPr>
                <w:rFonts w:ascii="Arial" w:hAnsi="Arial" w:cs="Arial"/>
                <w:sz w:val="22"/>
                <w:szCs w:val="22"/>
              </w:rPr>
              <w:t>8</w:t>
            </w:r>
          </w:p>
        </w:tc>
        <w:tc>
          <w:tcPr>
            <w:tcW w:w="1211" w:type="dxa"/>
          </w:tcPr>
          <w:p w14:paraId="0E25537D" w14:textId="20B92875"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$116</w:t>
            </w:r>
          </w:p>
        </w:tc>
        <w:tc>
          <w:tcPr>
            <w:tcW w:w="1211" w:type="dxa"/>
          </w:tcPr>
          <w:p w14:paraId="628BD4BF" w14:textId="3F055120"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w:t>
            </w:r>
            <w:r w:rsidR="00351ADD" w:rsidRPr="005F4CF5">
              <w:rPr>
                <w:rFonts w:ascii="Arial" w:hAnsi="Arial" w:cs="Arial"/>
                <w:sz w:val="22"/>
                <w:szCs w:val="22"/>
              </w:rPr>
              <w:t>7</w:t>
            </w:r>
          </w:p>
        </w:tc>
        <w:tc>
          <w:tcPr>
            <w:tcW w:w="1289" w:type="dxa"/>
            <w:vAlign w:val="bottom"/>
          </w:tcPr>
          <w:p w14:paraId="3C347645" w14:textId="382BA5EA"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15</w:t>
            </w:r>
          </w:p>
        </w:tc>
      </w:tr>
    </w:tbl>
    <w:p w14:paraId="1605FD32" w14:textId="77777777" w:rsidR="00FC1444" w:rsidRDefault="00FC1444" w:rsidP="00FC1444">
      <w:pPr>
        <w:pStyle w:val="BodyText"/>
        <w:ind w:firstLine="0"/>
      </w:pPr>
    </w:p>
    <w:p w14:paraId="587E7E22" w14:textId="528346C7" w:rsidR="00FF7952" w:rsidRDefault="00FF7952" w:rsidP="00CA30EC">
      <w:pPr>
        <w:pStyle w:val="BodyText"/>
      </w:pPr>
      <w:r>
        <w:rPr>
          <w:b/>
          <w:bCs/>
        </w:rPr>
        <w:lastRenderedPageBreak/>
        <w:t>New thermal power plants.</w:t>
      </w:r>
      <w:r w:rsidRPr="00FF7952">
        <w:t xml:space="preserve"> </w:t>
      </w:r>
      <w:r w:rsidR="00E50E3F">
        <w:t>The model can choose to add any whole number of 152 MW combined cycle power plants. These plants can burn low-sulfur fuel oil, diesel or biodiesel fuel</w:t>
      </w:r>
      <w:r>
        <w:t>.</w:t>
      </w:r>
      <w:r w:rsidR="00E50E3F">
        <w:t xml:space="preserve"> Capital, O&amp;M and connection costs, reliability and fuel consumption curves for this plant design are taken from the PSIP </w:t>
      </w:r>
      <w:r w:rsidR="00E50E3F">
        <w:fldChar w:fldCharType="begin"/>
      </w:r>
      <w:r w:rsidR="00E50E3F">
        <w:instrText xml:space="preserve"> ADDIN ZOTERO_ITEM CSL_CITATION {"citationID":"dTmfSXNa","properties":{"formattedCitation":"(HECO 2016b)","plainCitation":"(HECO 2016b)","noteIndex":0},"citationItems":[{"id":4810,"uris":["http://zotero.org/users/1686015/items/65F457FQ"],"itemData":{"id":4810,"type":"report","event-place":"Honolulu, Hawaii","publisher":"Hawaiian Electric Industries","publisher-place":"Honolulu, Hawaii","title":"PSIP 2016 New Generation Assumptions REVISED 16-June-16.xlsx","URL":"(by email)","author":[{"literal":"HECO"}],"issued":{"date-parts":[["2016",6,16]]},"citation-key":"heco_psip_2016"}}],"schema":"https://github.com/citation-style-language/schema/raw/master/csl-citation.json"} </w:instrText>
      </w:r>
      <w:r w:rsidR="00E50E3F">
        <w:fldChar w:fldCharType="separate"/>
      </w:r>
      <w:r w:rsidR="00E50E3F">
        <w:rPr>
          <w:noProof/>
        </w:rPr>
        <w:t>(HECO 2016b)</w:t>
      </w:r>
      <w:r w:rsidR="00E50E3F">
        <w:fldChar w:fldCharType="end"/>
      </w:r>
      <w:r w:rsidR="00E50E3F">
        <w:t>.</w:t>
      </w:r>
    </w:p>
    <w:p w14:paraId="6B7F107B" w14:textId="1F1C851C" w:rsidR="009B122C" w:rsidRPr="00940D1E" w:rsidRDefault="009B122C" w:rsidP="009B122C">
      <w:pPr>
        <w:pStyle w:val="BodyText"/>
      </w:pPr>
      <w:r w:rsidRPr="009B122C">
        <w:rPr>
          <w:b/>
          <w:bCs/>
        </w:rPr>
        <w:t>Hydrogen storage.</w:t>
      </w:r>
      <w:r>
        <w:t xml:space="preserve"> </w:t>
      </w:r>
      <w:r w:rsidR="00E50E3F">
        <w:t xml:space="preserve">We allow </w:t>
      </w:r>
      <w:r>
        <w:t>production and consumption of hydrogen in stationary facilities to provide seasonal and diurnal energy storage.</w:t>
      </w:r>
      <w:r w:rsidR="00E50E3F">
        <w:t xml:space="preserve"> The plant design consists of an electrolyzer, refrigerator, liquid hydrogen storage tank and fuel cell, each of which can be sized and operated independently. Once produced by the electrolyzer, hydrogen can either be used the same day or refrigerated to liquid form and stored in the tank for future use. The tank is sized to hold all the hydrogen used in the year. Current and future costs for and performance for these elements came from the following sources: centralized PEM electrolyzer </w:t>
      </w:r>
      <w:r w:rsidR="00E50E3F">
        <w:fldChar w:fldCharType="begin"/>
      </w:r>
      <w:r w:rsidR="00E50E3F">
        <w:instrText xml:space="preserve"> ADDIN ZOTERO_ITEM CSL_CITATION {"citationID":"Z9g5cla3","properties":{"formattedCitation":"(NREL 2018a v. 3.2018)","plainCitation":"(NREL 2018a v. 3.2018)","noteIndex":0},"citationItems":[{"id":4811,"uris":["http://zotero.org/users/1686015/items/KZK63JE3"],"itemData":{"id":4811,"type":"report","language":"en","publisher":"National Renewable Energy Laboratory","title":"H2A: Hydrogen Analysis Production Model Archives","URL":"https://www.nrel.gov/hydrogen/h2a-production-archive.html","author":[{"literal":"NREL"}],"accessed":{"date-parts":[["2023",2,1]]},"issued":{"date-parts":[["2018"]]},"citation-key":"nrel_h2a_2018"},"label":"page","suffix":"v. 3.2018"}],"schema":"https://github.com/citation-style-language/schema/raw/master/csl-citation.json"} </w:instrText>
      </w:r>
      <w:r w:rsidR="00E50E3F">
        <w:fldChar w:fldCharType="separate"/>
      </w:r>
      <w:r w:rsidR="00E50E3F">
        <w:rPr>
          <w:noProof/>
        </w:rPr>
        <w:t>(NREL 2018a v. 3.2018)</w:t>
      </w:r>
      <w:r w:rsidR="00E50E3F">
        <w:fldChar w:fldCharType="end"/>
      </w:r>
      <w:r w:rsidR="00E50E3F">
        <w:t xml:space="preserve">, liquefier and tank </w:t>
      </w:r>
      <w:r w:rsidR="00E50E3F">
        <w:fldChar w:fldCharType="begin"/>
      </w:r>
      <w:r w:rsidR="00E50E3F">
        <w:instrText xml:space="preserve"> ADDIN ZOTERO_ITEM CSL_CITATION {"citationID":"YYGxftiZ","properties":{"formattedCitation":"(Amos 1998)","plainCitation":"(Amos 1998)","noteIndex":0},"citationItems":[{"id":1591,"uris":["http://zotero.org/users/1686015/items/8M77QC5R"],"itemData":{"id":1591,"type":"report","number":"NREL/TP-570-25106","publisher":"National Renewable Energy Laboratory Golden, CO, USA","source":"Google Scholar","title":"Costs of storing and transporting hydrogen","URL":"http://www.nrel.gov/docs/fy99osti/25106.pdf","author":[{"family":"Amos","given":"Wade A."}],"accessed":{"date-parts":[["2016",1,15]]},"issued":{"date-parts":[["1998",11]]},"citation-key":"amos_costs_1998"}}],"schema":"https://github.com/citation-style-language/schema/raw/master/csl-citation.json"} </w:instrText>
      </w:r>
      <w:r w:rsidR="00E50E3F">
        <w:fldChar w:fldCharType="separate"/>
      </w:r>
      <w:r w:rsidR="00E50E3F">
        <w:rPr>
          <w:noProof/>
        </w:rPr>
        <w:t>(Amos 1998)</w:t>
      </w:r>
      <w:r w:rsidR="00E50E3F">
        <w:fldChar w:fldCharType="end"/>
      </w:r>
      <w:r w:rsidR="00E50E3F">
        <w:t xml:space="preserve"> and fuel cell </w:t>
      </w:r>
      <w:r w:rsidR="00E50E3F">
        <w:fldChar w:fldCharType="begin"/>
      </w:r>
      <w:r w:rsidR="00E50E3F">
        <w:instrText xml:space="preserve"> ADDIN ZOTERO_ITEM CSL_CITATION {"citationID":"ANEHfLpM","properties":{"formattedCitation":"(Steward et al. 2009)","plainCitation":"(Steward et al. 2009)","noteIndex":0},"citationItems":[{"id":1594,"uris":["http://zotero.org/users/1686015/items/H3K2IQHP"],"itemData":{"id":1594,"type":"report","number":"NREL/TP-560-46719","publisher":"National Renewable Energy Laboratory","title":"Lifecycle cost analysis of hydrogen versus other technologies for electrical energy storage","URL":"http://www.nrel.gov/docs/fy10osti/46719.pdf","author":[{"family":"Steward","given":"D."},{"family":"Saur","given":"G."},{"family":"Penev","given":"M."},{"family":"Ramsden","given":"T."}],"accessed":{"date-parts":[["2016",1,15]]},"issued":{"date-parts":[["2009",11]]},"citation-key":"steward_lifecycle_2009"}}],"schema":"https://github.com/citation-style-language/schema/raw/master/csl-citation.json"} </w:instrText>
      </w:r>
      <w:r w:rsidR="00E50E3F">
        <w:fldChar w:fldCharType="separate"/>
      </w:r>
      <w:r w:rsidR="00E50E3F">
        <w:rPr>
          <w:noProof/>
        </w:rPr>
        <w:t>(Steward et al. 2009)</w:t>
      </w:r>
      <w:r w:rsidR="00E50E3F">
        <w:fldChar w:fldCharType="end"/>
      </w:r>
      <w:r w:rsidR="00E50E3F">
        <w:t>.</w:t>
      </w:r>
    </w:p>
    <w:p w14:paraId="15134DA0" w14:textId="66E113E8" w:rsidR="00FD12F6" w:rsidRDefault="00FF7952" w:rsidP="00CA30EC">
      <w:pPr>
        <w:pStyle w:val="BodyText"/>
      </w:pPr>
      <w:r>
        <w:rPr>
          <w:b/>
          <w:bCs/>
        </w:rPr>
        <w:t>Existing HECO thermal power plants.</w:t>
      </w:r>
      <w:r w:rsidRPr="00FF7952">
        <w:t xml:space="preserve"> We </w:t>
      </w:r>
      <w:r>
        <w:t>use heat-rate curves</w:t>
      </w:r>
      <w:r w:rsidR="00DC30C9">
        <w:t>, fuel type</w:t>
      </w:r>
      <w:r w:rsidR="00E50E3F">
        <w:t xml:space="preserve">, </w:t>
      </w:r>
      <w:r w:rsidR="00C01DD0">
        <w:t>min/max load</w:t>
      </w:r>
      <w:r w:rsidR="00E50E3F">
        <w:t xml:space="preserve"> and variable O&amp;M costs</w:t>
      </w:r>
      <w:r w:rsidR="00C01DD0">
        <w:t xml:space="preserve"> </w:t>
      </w:r>
      <w:r>
        <w:t xml:space="preserve">for HECO power plants from the Hawaii Solar Integration Study </w:t>
      </w:r>
      <w:r w:rsidR="00C01DD0">
        <w:fldChar w:fldCharType="begin"/>
      </w:r>
      <w:r w:rsidR="00E50E3F">
        <w:instrText xml:space="preserve"> ADDIN ZOTERO_ITEM CSL_CITATION {"citationID":"YAt3ZvuQ","properties":{"formattedCitation":"(GE Energy 2012 App. A)","plainCitation":"(GE Energy 2012 App. A)","noteIndex":0},"citationItems":[{"id":267,"uris":["http://zotero.org/users/1686015/items/BQTBBZJJ",["http://zotero.org/users/1686015/items/BQTBBZJJ"]],"itemData":{"id":267,"type":"report","event-place":"Honolulu, Hawaii","publisher":"Prepared for the National Renewable Energy Laboratory, Hawaii Natural Energy Institute, Hawaii Electric Company and Maui Electric Company","publisher-place":"Honolulu, Hawaii","title":"Hawaii Solar Integration Study: Final Technical Report for Oahu","URL":"https://www.hnei.hawaii.edu/wp-content/uploads/Hawaii-Solar-Integration-Study-Oahu.pdf","author":[{"literal":"GE Energy"}],"issued":{"date-parts":[["2012",4]]},"citation-key":"ge_energy_hawaii_2012"},"label":"page","suffix":"App. A"}],"schema":"https://github.com/citation-style-language/schema/raw/master/csl-citation.json"} </w:instrText>
      </w:r>
      <w:r w:rsidR="00C01DD0">
        <w:fldChar w:fldCharType="separate"/>
      </w:r>
      <w:r w:rsidR="00E50E3F">
        <w:rPr>
          <w:rFonts w:cs="Times New Roman"/>
        </w:rPr>
        <w:t>(GE Energy 2012 App. A)</w:t>
      </w:r>
      <w:r w:rsidR="00C01DD0">
        <w:fldChar w:fldCharType="end"/>
      </w:r>
      <w:r>
        <w:t xml:space="preserve">. </w:t>
      </w:r>
      <w:r w:rsidR="003618FF">
        <w:t>W</w:t>
      </w:r>
      <w:r w:rsidR="00FD12F6">
        <w:t xml:space="preserve">e </w:t>
      </w:r>
      <w:r w:rsidR="00E50E3F">
        <w:t>set</w:t>
      </w:r>
      <w:r w:rsidR="00FD12F6">
        <w:t xml:space="preserve"> fixed O&amp;M </w:t>
      </w:r>
      <w:r w:rsidR="00E50E3F">
        <w:t>to zero for these plants</w:t>
      </w:r>
      <w:r w:rsidR="00FD12F6">
        <w:t xml:space="preserve">. </w:t>
      </w:r>
      <w:r w:rsidR="00C01DD0">
        <w:t>Generating units are assumed to retire on the schedule shown in the PSIP</w:t>
      </w:r>
      <w:r w:rsidR="00E50E3F">
        <w:t xml:space="preserve"> </w:t>
      </w:r>
      <w:r w:rsidR="00E50E3F">
        <w:fldChar w:fldCharType="begin"/>
      </w:r>
      <w:r w:rsidR="00E50E3F">
        <w:instrText xml:space="preserve"> ADDIN ZOTERO_ITEM CSL_CITATION {"citationID":"I7vuUFyu","properties":{"formattedCitation":"(HECO 2016c)","plainCitation":"(HECO 2016c)","noteIndex":0},"citationItems":[{"id":1871,"uris":["http://zotero.org/users/1686015/items/BXVBF4RT"],"itemData":{"id":1871,"type":"report","event-place":"Honolulu, Hawaii","note":"also at https://www.hawaiianelectric.com/about-us/our-vision","publisher":"Hawaiian Electric Company","publisher-place":"Honolulu, Hawaii","title":"Hawaiian Electric Companies' PSIPs Update Report, Books 1-4","URL":"https://www.hawaiianelectric.com/clean-energy-hawaii/integrated-grid-planning/power-supply-improvement-plan","author":[{"literal":"HECO"}],"issued":{"date-parts":[["2016",12,23]]},"citation-key":"heco_hawaiian_2016"}}],"schema":"https://github.com/citation-style-language/schema/raw/master/csl-citation.json"} </w:instrText>
      </w:r>
      <w:r w:rsidR="00E50E3F">
        <w:fldChar w:fldCharType="separate"/>
      </w:r>
      <w:r w:rsidR="00E50E3F">
        <w:rPr>
          <w:noProof/>
        </w:rPr>
        <w:t>(HECO 2016c)</w:t>
      </w:r>
      <w:r w:rsidR="00E50E3F">
        <w:fldChar w:fldCharType="end"/>
      </w:r>
      <w:r w:rsidR="00C01DD0">
        <w:t>: Waiau 3–5 in 2020</w:t>
      </w:r>
      <w:r w:rsidR="00DC30C9">
        <w:t>;</w:t>
      </w:r>
      <w:r w:rsidR="00C01DD0">
        <w:t xml:space="preserve"> Waiau 6–8 </w:t>
      </w:r>
      <w:r w:rsidR="00DC30C9">
        <w:t xml:space="preserve">and </w:t>
      </w:r>
      <w:r w:rsidR="00C01DD0">
        <w:t>Kahe 1–4 in 2022</w:t>
      </w:r>
      <w:r w:rsidR="00DC30C9">
        <w:t>;</w:t>
      </w:r>
      <w:r w:rsidR="00C01DD0">
        <w:t xml:space="preserve"> Kahe 5–6 in 2045</w:t>
      </w:r>
      <w:r w:rsidR="00DC30C9">
        <w:t>; and</w:t>
      </w:r>
      <w:r w:rsidR="00C01DD0">
        <w:t xml:space="preserve"> </w:t>
      </w:r>
      <w:r w:rsidR="00DC30C9">
        <w:t xml:space="preserve">the rest after 2050: Waiau 9–10, CIP CT, Airport DG and Schofield. All these plants are assumed to be able to use </w:t>
      </w:r>
      <w:r w:rsidR="00E50E3F">
        <w:t xml:space="preserve">either </w:t>
      </w:r>
      <w:r w:rsidR="00DC30C9">
        <w:t xml:space="preserve">biodiesel </w:t>
      </w:r>
      <w:r w:rsidR="00E50E3F">
        <w:t xml:space="preserve">or </w:t>
      </w:r>
      <w:r w:rsidR="00DC30C9">
        <w:t>their primary fuel.</w:t>
      </w:r>
    </w:p>
    <w:p w14:paraId="20F704DC" w14:textId="15E1E462" w:rsidR="005B4365" w:rsidRDefault="008C5E42" w:rsidP="00E50E3F">
      <w:pPr>
        <w:pStyle w:val="BodyText"/>
      </w:pPr>
      <w:r>
        <w:rPr>
          <w:b/>
          <w:bCs/>
        </w:rPr>
        <w:t>Power purchase agreements (PPAs) with e</w:t>
      </w:r>
      <w:r w:rsidR="00DC30C9">
        <w:rPr>
          <w:b/>
          <w:bCs/>
        </w:rPr>
        <w:t>xisting thermal power plant</w:t>
      </w:r>
      <w:r>
        <w:rPr>
          <w:b/>
          <w:bCs/>
        </w:rPr>
        <w:t>s</w:t>
      </w:r>
      <w:r w:rsidR="00DC30C9">
        <w:rPr>
          <w:b/>
          <w:bCs/>
        </w:rPr>
        <w:t>.</w:t>
      </w:r>
      <w:r w:rsidR="00DC30C9">
        <w:t xml:space="preserve"> </w:t>
      </w:r>
      <w:r w:rsidR="00A86EDA">
        <w:t xml:space="preserve">PPA costs </w:t>
      </w:r>
      <w:r w:rsidR="00E50E3F">
        <w:t xml:space="preserve">for independent power producers are </w:t>
      </w:r>
      <w:r w:rsidR="00A86EDA">
        <w:t xml:space="preserve">modeled as a </w:t>
      </w:r>
      <w:r w:rsidR="00E92BC2">
        <w:t>capacity payment</w:t>
      </w:r>
      <w:r w:rsidR="005B4365">
        <w:t xml:space="preserve"> and an energy payment. The capacity payment is </w:t>
      </w:r>
      <w:r w:rsidR="00E92BC2">
        <w:t>based on amortized capital cost and fixed O&amp;M costs</w:t>
      </w:r>
      <w:r w:rsidR="005B4365">
        <w:t xml:space="preserve"> and the energy payment is </w:t>
      </w:r>
      <w:r w:rsidR="00E92BC2">
        <w:t xml:space="preserve">based on variable O&amp;M costs and a fuel cost passthrough. All the terms other than fuel are constant in real dollars. </w:t>
      </w:r>
      <w:r w:rsidR="00E50E3F">
        <w:t xml:space="preserve">For both the Kalaeloa combined cycle cogen plant and the H-POWER municipal solid waste plant, we assume a capital cost of $1,850/kW, approximately equal to the cost of a new combined cycle power plant in the PSIP </w:t>
      </w:r>
      <w:r w:rsidR="00E50E3F">
        <w:fldChar w:fldCharType="begin"/>
      </w:r>
      <w:r w:rsidR="00E50E3F">
        <w:instrText xml:space="preserve"> ADDIN ZOTERO_ITEM CSL_CITATION {"citationID":"WO5FAHnm","properties":{"formattedCitation":"(HECO 2016b)","plainCitation":"(HECO 2016b)","noteIndex":0},"citationItems":[{"id":4810,"uris":["http://zotero.org/users/1686015/items/65F457FQ"],"itemData":{"id":4810,"type":"report","event-place":"Honolulu, Hawaii","publisher":"Hawaiian Electric Industries","publisher-place":"Honolulu, Hawaii","title":"PSIP 2016 New Generation Assumptions REVISED 16-June-16.xlsx","URL":"(by email)","author":[{"literal":"HECO"}],"issued":{"date-parts":[["2016",6,16]]},"citation-key":"heco_psip_2016"}}],"schema":"https://github.com/citation-style-language/schema/raw/master/csl-citation.json"} </w:instrText>
      </w:r>
      <w:r w:rsidR="00E50E3F">
        <w:fldChar w:fldCharType="separate"/>
      </w:r>
      <w:r w:rsidR="00E50E3F">
        <w:rPr>
          <w:noProof/>
        </w:rPr>
        <w:t>(HECO 2016b)</w:t>
      </w:r>
      <w:r w:rsidR="00E50E3F">
        <w:fldChar w:fldCharType="end"/>
      </w:r>
      <w:r w:rsidR="00E50E3F">
        <w:t xml:space="preserve">. Fixed O&amp;M costs for these plants are assumed to be zero and variable </w:t>
      </w:r>
      <w:r w:rsidR="00E92BC2">
        <w:t>O&amp;M cos</w:t>
      </w:r>
      <w:r w:rsidR="00E50E3F">
        <w:t>ts come from</w:t>
      </w:r>
      <w:r w:rsidR="00E50E3F">
        <w:rPr>
          <w:noProof/>
        </w:rPr>
        <w:t xml:space="preserve"> Coffman, Bernstein, and Wee</w:t>
      </w:r>
      <w:r w:rsidR="00E50E3F">
        <w:t xml:space="preserve"> </w:t>
      </w:r>
      <w:r w:rsidR="00E50E3F">
        <w:fldChar w:fldCharType="begin"/>
      </w:r>
      <w:r w:rsidR="00E50E3F">
        <w:instrText xml:space="preserve"> ADDIN ZOTERO_ITEM CSL_CITATION {"citationID":"b0rnBUlU","properties":{"formattedCitation":"(2014, 18)","plainCitation":"(2014, 18)","noteIndex":0},"citationItems":[{"id":1772,"uris":["http://zotero.org/users/1686015/items/FVC7FTTA"],"itemData":{"id":1772,"type":"report","event-place":"Honolulu, Hawaii","number":"Working Paper No. 2014-5","publisher":"University of Hawaii Economic Research Organization (UHERO)","publisher-place":"Honolulu, Hawaii","source":"Google Scholar","title":"Cost Implications of GHG Regulation in Hawai‘i","URL":"https://uhero.hawaii.edu/wp-content/uploads/2020/03/WP_2014-5.pdf","author":[{"family":"Coffman","given":"Makena"},{"family":"Bernstein","given":"Paul"},{"family":"Wee","given":"Sherilyn"}],"accessed":{"date-parts":[["2017",8,17]]},"issued":{"date-parts":[["2014",4]]},"citation-key":"coffman_cost_2014"},"locator":"18","label":"page","suppress-author":true}],"schema":"https://github.com/citation-style-language/schema/raw/master/csl-citation.json"} </w:instrText>
      </w:r>
      <w:r w:rsidR="00E50E3F">
        <w:fldChar w:fldCharType="separate"/>
      </w:r>
      <w:r w:rsidR="00E50E3F">
        <w:rPr>
          <w:noProof/>
        </w:rPr>
        <w:t>(2014, 18)</w:t>
      </w:r>
      <w:r w:rsidR="00E50E3F">
        <w:fldChar w:fldCharType="end"/>
      </w:r>
      <w:r w:rsidR="009103BE">
        <w:t xml:space="preserve">. </w:t>
      </w:r>
      <w:r w:rsidR="00E50E3F">
        <w:t xml:space="preserve">We assume both plants retire after 2045. </w:t>
      </w:r>
      <w:r w:rsidR="005B4365">
        <w:t>We assume the H-POWER plant runs at 42.8 MW at all times (average production in 2015)</w:t>
      </w:r>
      <w:r w:rsidR="00E50E3F">
        <w:t xml:space="preserve"> and that its power production is </w:t>
      </w:r>
      <w:r w:rsidR="005B4365">
        <w:t>RPS-eligible.</w:t>
      </w:r>
      <w:r w:rsidR="00E50E3F">
        <w:t xml:space="preserve"> We omit the small </w:t>
      </w:r>
      <w:r w:rsidR="005B4365">
        <w:t>Tesoro Hawaii and Hawaii Cogen plants</w:t>
      </w:r>
      <w:r w:rsidR="00E50E3F">
        <w:t xml:space="preserve"> at oil refineries</w:t>
      </w:r>
      <w:r w:rsidR="005B4365">
        <w:t>.</w:t>
      </w:r>
    </w:p>
    <w:p w14:paraId="36149A4D" w14:textId="49978DC7" w:rsidR="00E50E3F" w:rsidRDefault="002A45AB" w:rsidP="007B0019">
      <w:pPr>
        <w:pStyle w:val="BodyText"/>
      </w:pPr>
      <w:r>
        <w:rPr>
          <w:b/>
          <w:bCs/>
        </w:rPr>
        <w:t xml:space="preserve">Kalaeloa plant operating rules. </w:t>
      </w:r>
      <w:r w:rsidR="007B0019">
        <w:t xml:space="preserve">The Kalaeloa combined-cycle power plant is operated by an independent power producer. In addition to producing power, it also sells steam to the Par Hawaii refinery, the largest of two on Oahu. Due to this arrangement, the Kalaeloa plant has a contract with HECO under which </w:t>
      </w:r>
      <w:r w:rsidR="00936904">
        <w:t xml:space="preserve">it </w:t>
      </w:r>
      <w:r w:rsidR="007B0019">
        <w:t xml:space="preserve">produces at least 75 MW of power </w:t>
      </w:r>
      <w:r w:rsidR="00936904">
        <w:t>whenever possible</w:t>
      </w:r>
      <w:r w:rsidR="007B0019">
        <w:t xml:space="preserve">. </w:t>
      </w:r>
      <w:r w:rsidR="00E50E3F">
        <w:t>However, it appears likely that this obligation would be dropped in high-renewable scenarios, so we do not enforce this rule in this study.</w:t>
      </w:r>
    </w:p>
    <w:p w14:paraId="2232263F" w14:textId="599B317C" w:rsidR="009B122C" w:rsidRPr="00551F42" w:rsidRDefault="00E50E3F" w:rsidP="00E50E3F">
      <w:pPr>
        <w:pStyle w:val="BodyText"/>
      </w:pPr>
      <w:r>
        <w:rPr>
          <w:b/>
          <w:bCs/>
        </w:rPr>
        <w:t>Existing</w:t>
      </w:r>
      <w:r w:rsidR="007B0019" w:rsidRPr="00F0551F">
        <w:rPr>
          <w:b/>
          <w:bCs/>
        </w:rPr>
        <w:t xml:space="preserve"> </w:t>
      </w:r>
      <w:r w:rsidR="00F0551F">
        <w:rPr>
          <w:b/>
          <w:bCs/>
        </w:rPr>
        <w:t>utility-scale generation.</w:t>
      </w:r>
      <w:r w:rsidR="00F0551F" w:rsidRPr="00F0551F">
        <w:t xml:space="preserve"> We </w:t>
      </w:r>
      <w:r w:rsidR="00F0551F">
        <w:t xml:space="preserve">assume all </w:t>
      </w:r>
      <w:r w:rsidR="004A561B">
        <w:t xml:space="preserve">generation projects listed in Oahu on </w:t>
      </w:r>
      <w:r w:rsidR="00936904">
        <w:t xml:space="preserve">the 2018 </w:t>
      </w:r>
      <w:r w:rsidR="004A561B">
        <w:t xml:space="preserve">EIA Form 860 </w:t>
      </w:r>
      <w:r w:rsidR="00936904">
        <w:t xml:space="preserve">are currently </w:t>
      </w:r>
      <w:r w:rsidR="004A561B">
        <w:t xml:space="preserve">in service. We </w:t>
      </w:r>
      <w:r w:rsidR="00936904">
        <w:t xml:space="preserve">also </w:t>
      </w:r>
      <w:r w:rsidR="004A561B">
        <w:t xml:space="preserve">assume that renewable projects and </w:t>
      </w:r>
      <w:r>
        <w:t xml:space="preserve">scheduled for completion by the end of 2019 </w:t>
      </w:r>
      <w:r w:rsidR="004A561B">
        <w:t xml:space="preserve">on HECO’s Renewable Project Status Board </w:t>
      </w:r>
      <w:r w:rsidR="004A561B">
        <w:fldChar w:fldCharType="begin"/>
      </w:r>
      <w:r>
        <w:instrText xml:space="preserve"> ADDIN ZOTERO_ITEM CSL_CITATION {"citationID":"0CpWvda6","properties":{"formattedCitation":"(HECO 2020)","plainCitation":"(HECO 2020)","noteIndex":0},"citationItems":[{"id":2466,"uris":["http://zotero.org/users/1686015/items/H55AGJJ4",["http://zotero.org/users/1686015/items/H55AGJJ4"]],"itemData":{"id":2466,"type":"webpage","abstract":"Renewable energy projects at Hawaiian Electric, Maui Electric, and Hawaii Electric Light","language":"en","title":"Renewable Project Status Board","URL":"https://web.archive.org/web/20200227164257/https://www.hawaiianelectric.com/clean-energy-hawaii/our-clean-energy-portfolio/renewable-project-status-board","author":[{"literal":"HECO"}],"accessed":{"date-parts":[["2020",8,15]]},"issued":{"date-parts":[["2020"]]},"citation-key":"heco_renewable_2020"}}],"schema":"https://github.com/citation-style-language/schema/raw/master/csl-citation.json"} </w:instrText>
      </w:r>
      <w:r w:rsidR="004A561B">
        <w:fldChar w:fldCharType="separate"/>
      </w:r>
      <w:r w:rsidR="00AA7CCF">
        <w:rPr>
          <w:rFonts w:cs="Times New Roman"/>
        </w:rPr>
        <w:t>(HECO 2020)</w:t>
      </w:r>
      <w:r w:rsidR="004A561B">
        <w:fldChar w:fldCharType="end"/>
      </w:r>
      <w:r w:rsidR="004A561B">
        <w:t xml:space="preserve"> enter service on the dates specified</w:t>
      </w:r>
      <w:r w:rsidR="00936904">
        <w:t xml:space="preserve"> there</w:t>
      </w:r>
      <w:r>
        <w:t>.</w:t>
      </w:r>
      <w:r w:rsidRPr="00E50E3F">
        <w:t xml:space="preserve"> We assume </w:t>
      </w:r>
      <w:r>
        <w:t xml:space="preserve">that existing wind and solar projects that </w:t>
      </w:r>
      <w:r w:rsidR="00E97FB9">
        <w:t xml:space="preserve">reach their retirement age </w:t>
      </w:r>
      <w:r>
        <w:t xml:space="preserve">before 2045 can be recommissioned in 2045 at </w:t>
      </w:r>
      <w:r w:rsidR="00E97FB9">
        <w:t xml:space="preserve">the same </w:t>
      </w:r>
      <w:r w:rsidR="009B122C">
        <w:t xml:space="preserve">annual capital recovery (amortization) </w:t>
      </w:r>
      <w:r w:rsidR="00514F6E">
        <w:t xml:space="preserve">as </w:t>
      </w:r>
      <w:r w:rsidR="009B122C">
        <w:t xml:space="preserve">new </w:t>
      </w:r>
      <w:r w:rsidR="00A367C7">
        <w:t>greenfield</w:t>
      </w:r>
      <w:r w:rsidR="00514F6E">
        <w:t xml:space="preserve"> project</w:t>
      </w:r>
      <w:r w:rsidR="009B122C">
        <w:t>s</w:t>
      </w:r>
      <w:r w:rsidR="00A367C7">
        <w:t xml:space="preserve"> </w:t>
      </w:r>
      <w:r w:rsidR="009B122C">
        <w:t xml:space="preserve">built on the same </w:t>
      </w:r>
      <w:r w:rsidR="00A367C7">
        <w:t>date</w:t>
      </w:r>
      <w:r w:rsidR="00514F6E">
        <w:t>.</w:t>
      </w:r>
      <w:bookmarkEnd w:id="8"/>
    </w:p>
    <w:p w14:paraId="72DC4D4A" w14:textId="0AD4B50E" w:rsidR="00C73136" w:rsidRPr="00942F07" w:rsidRDefault="0085588C" w:rsidP="0083425A">
      <w:pPr>
        <w:pStyle w:val="Heading1"/>
        <w:numPr>
          <w:ilvl w:val="0"/>
          <w:numId w:val="0"/>
        </w:numPr>
      </w:pPr>
      <w:r>
        <w:lastRenderedPageBreak/>
        <w:t>References</w:t>
      </w:r>
    </w:p>
    <w:p w14:paraId="54872E57" w14:textId="77777777" w:rsidR="00E50E3F" w:rsidRPr="00E50E3F" w:rsidRDefault="00912096" w:rsidP="00E50E3F">
      <w:pPr>
        <w:pStyle w:val="Bibliography"/>
        <w:rPr>
          <w:rFonts w:cs="Times New Roman"/>
        </w:rPr>
      </w:pPr>
      <w:r>
        <w:fldChar w:fldCharType="begin"/>
      </w:r>
      <w:r w:rsidR="00E50E3F">
        <w:instrText xml:space="preserve"> ADDIN ZOTERO_BIBL {"uncited":[],"omitted":[],"custom":[]} CSL_BIBLIOGRAPHY </w:instrText>
      </w:r>
      <w:r>
        <w:fldChar w:fldCharType="separate"/>
      </w:r>
      <w:r w:rsidR="00E50E3F" w:rsidRPr="00E50E3F">
        <w:rPr>
          <w:rFonts w:cs="Times New Roman"/>
        </w:rPr>
        <w:t>Amos, Wade A. 1998. “Costs of Storing and Transporting Hydrogen.” NREL/TP-570-25106. National Renewable Energy Laboratory Golden, CO, USA. http://www.nrel.gov/docs/fy99osti/25106.pdf.</w:t>
      </w:r>
    </w:p>
    <w:p w14:paraId="6109A4C2" w14:textId="77777777" w:rsidR="00E50E3F" w:rsidRPr="00E50E3F" w:rsidRDefault="00E50E3F" w:rsidP="00E50E3F">
      <w:pPr>
        <w:pStyle w:val="Bibliography"/>
        <w:rPr>
          <w:rFonts w:cs="Times New Roman"/>
        </w:rPr>
      </w:pPr>
      <w:r w:rsidRPr="00E50E3F">
        <w:rPr>
          <w:rFonts w:cs="Times New Roman"/>
        </w:rPr>
        <w:t>AWS Truewind. 2004a. “Wind Energy Resource Maps of Hawaii.” Honolulu, Hawaii: AWS Truewind for Hawaii Department of Business, Economic Development. http://energy.hawaii.gov/wp-content/uploads/2011/10/WindEnergyResourceMapsHawaii_AWSTruewind_2004.pdf.</w:t>
      </w:r>
    </w:p>
    <w:p w14:paraId="4A02888F" w14:textId="77777777" w:rsidR="00E50E3F" w:rsidRPr="00E50E3F" w:rsidRDefault="00E50E3F" w:rsidP="00E50E3F">
      <w:pPr>
        <w:pStyle w:val="Bibliography"/>
        <w:rPr>
          <w:rFonts w:cs="Times New Roman"/>
        </w:rPr>
      </w:pPr>
      <w:r w:rsidRPr="00E50E3F">
        <w:rPr>
          <w:rFonts w:cs="Times New Roman"/>
        </w:rPr>
        <w:t>———. 2004b. “Wind Speed Map of Hawaii at 70 Meters.” Honolulu, Hawaii: AWS Truewind for Hawaii Department of Business, Economic Development. http://energy.hawaii.gov/wp-content/uploads/2011/10/Hawaii_FINAL_SPD70m_26July04.pdf.</w:t>
      </w:r>
    </w:p>
    <w:p w14:paraId="5E3DA6DF" w14:textId="77777777" w:rsidR="00E50E3F" w:rsidRPr="00E50E3F" w:rsidRDefault="00E50E3F" w:rsidP="00E50E3F">
      <w:pPr>
        <w:pStyle w:val="Bibliography"/>
        <w:rPr>
          <w:rFonts w:cs="Times New Roman"/>
        </w:rPr>
      </w:pPr>
      <w:r w:rsidRPr="00E50E3F">
        <w:rPr>
          <w:rFonts w:cs="Times New Roman"/>
        </w:rPr>
        <w:t>BOEM. 2016. “Atlantic and Pacific OCS Wind Planning Areas and Wind Energy Areas.” Washington, D.C.: U.S. Bureau of Ocean Energy Management. http://www.boem.gov/Renewable-Energy-GIS-Data/.</w:t>
      </w:r>
    </w:p>
    <w:p w14:paraId="7E379971" w14:textId="77777777" w:rsidR="00E50E3F" w:rsidRPr="00E50E3F" w:rsidRDefault="00E50E3F" w:rsidP="00E50E3F">
      <w:pPr>
        <w:pStyle w:val="Bibliography"/>
        <w:rPr>
          <w:rFonts w:cs="Times New Roman"/>
        </w:rPr>
      </w:pPr>
      <w:r w:rsidRPr="00E50E3F">
        <w:rPr>
          <w:rFonts w:cs="Times New Roman"/>
        </w:rPr>
        <w:t>Coffman, Makena, Paul Bernstein, and Sherilyn Wee. 2014. “Cost Implications of GHG Regulation in Hawai‘i.” Working Paper No. 2014-5. Honolulu, Hawaii: University of Hawaii Economic Research Organization (UHERO). https://uhero.hawaii.edu/wp-content/uploads/2020/03/WP_2014-5.pdf.</w:t>
      </w:r>
    </w:p>
    <w:p w14:paraId="36067B7D" w14:textId="77777777" w:rsidR="00E50E3F" w:rsidRPr="00E50E3F" w:rsidRDefault="00E50E3F" w:rsidP="00E50E3F">
      <w:pPr>
        <w:pStyle w:val="Bibliography"/>
        <w:rPr>
          <w:rFonts w:cs="Times New Roman"/>
        </w:rPr>
      </w:pPr>
      <w:r w:rsidRPr="00E50E3F">
        <w:rPr>
          <w:rFonts w:cs="Times New Roman"/>
        </w:rPr>
        <w:t>Corbus, Dave, Matt Schuerger, Leon Roose, Josh Strickler, Terry Surles, Devon Manz, Dave Burlingame, and Dennis Woodford. 2010. “Oahu Wind Integration and Transmission Study: Summary Report.” Golden, Colorado: National Renewable Energy Laboratory. http://www.nrel.gov/docs/fy11osti/48632.pdf.</w:t>
      </w:r>
    </w:p>
    <w:p w14:paraId="31BC3291" w14:textId="77777777" w:rsidR="00E50E3F" w:rsidRPr="00E50E3F" w:rsidRDefault="00E50E3F" w:rsidP="00E50E3F">
      <w:pPr>
        <w:pStyle w:val="Bibliography"/>
        <w:rPr>
          <w:rFonts w:cs="Times New Roman"/>
        </w:rPr>
      </w:pPr>
      <w:r w:rsidRPr="00E50E3F">
        <w:rPr>
          <w:rFonts w:cs="Times New Roman"/>
        </w:rPr>
        <w:t>Das, Paritosh, and Matthias Fripp. 2015. “Savings and Peak Reduction Due to Optimally-Timed Charging of Electric Vehicles on the Oahu Power System.” HI-14-17. Electric Vehicle Transportation Center. http://fsec.ucf.edu/en/publications/pdf/HI-14-17.pdf.</w:t>
      </w:r>
    </w:p>
    <w:p w14:paraId="1BECBB72" w14:textId="77777777" w:rsidR="00E50E3F" w:rsidRPr="00E50E3F" w:rsidRDefault="00E50E3F" w:rsidP="00E50E3F">
      <w:pPr>
        <w:pStyle w:val="Bibliography"/>
        <w:rPr>
          <w:rFonts w:cs="Times New Roman"/>
        </w:rPr>
      </w:pPr>
      <w:r w:rsidRPr="00E50E3F">
        <w:rPr>
          <w:rFonts w:cs="Times New Roman"/>
        </w:rPr>
        <w:t>DBEDT. 2017. “2016 State of Hawaii Databook.” Honolulu, Hawaii: Hawaii Department of Economic Development and Tourism. http://dbedt.hawaii.gov/economic/databook/.</w:t>
      </w:r>
    </w:p>
    <w:p w14:paraId="63DFC4ED" w14:textId="77777777" w:rsidR="00E50E3F" w:rsidRPr="00E50E3F" w:rsidRDefault="00E50E3F" w:rsidP="00E50E3F">
      <w:pPr>
        <w:pStyle w:val="Bibliography"/>
        <w:rPr>
          <w:rFonts w:cs="Times New Roman"/>
        </w:rPr>
      </w:pPr>
      <w:r w:rsidRPr="00E50E3F">
        <w:rPr>
          <w:rFonts w:cs="Times New Roman"/>
        </w:rPr>
        <w:t>———. 2018. “Monthly Energy Trends.” Honolulu, Hawaii: Research &amp; Economic Analysis, Hawaii Department of Business, Economic Development &amp; Tourism. http://dbedt.hawaii.gov/economic/energy-trends-2/.</w:t>
      </w:r>
    </w:p>
    <w:p w14:paraId="1A92A100" w14:textId="77777777" w:rsidR="00E50E3F" w:rsidRPr="00E50E3F" w:rsidRDefault="00E50E3F" w:rsidP="00E50E3F">
      <w:pPr>
        <w:pStyle w:val="Bibliography"/>
        <w:rPr>
          <w:rFonts w:cs="Times New Roman"/>
        </w:rPr>
      </w:pPr>
      <w:r w:rsidRPr="00E50E3F">
        <w:rPr>
          <w:rFonts w:cs="Times New Roman"/>
        </w:rPr>
        <w:t>DSIRE. 2019. “Business Energy Investment Tax Credit (ITC).” NC Clean Energy Technology Center. https://programs.dsireusa.org/system/program/detail/658.</w:t>
      </w:r>
    </w:p>
    <w:p w14:paraId="06373BDE" w14:textId="77777777" w:rsidR="00E50E3F" w:rsidRPr="00E50E3F" w:rsidRDefault="00E50E3F" w:rsidP="00E50E3F">
      <w:pPr>
        <w:pStyle w:val="Bibliography"/>
        <w:rPr>
          <w:rFonts w:cs="Times New Roman"/>
        </w:rPr>
      </w:pPr>
      <w:r w:rsidRPr="00E50E3F">
        <w:rPr>
          <w:rFonts w:cs="Times New Roman"/>
        </w:rPr>
        <w:t>EIA. 2016. “Capital Cost Estimates for Utility Scale Electricity Generating Plants.” Washington, D.C.: U.S. Energy Information Administration. https://www.eia.gov/analysis/studies/powerplants/capitalcost/pdf/capcost_assumption.pdf.</w:t>
      </w:r>
    </w:p>
    <w:p w14:paraId="10007656" w14:textId="77777777" w:rsidR="00E50E3F" w:rsidRPr="00E50E3F" w:rsidRDefault="00E50E3F" w:rsidP="00E50E3F">
      <w:pPr>
        <w:pStyle w:val="Bibliography"/>
        <w:rPr>
          <w:rFonts w:cs="Times New Roman"/>
        </w:rPr>
      </w:pPr>
      <w:r w:rsidRPr="00E50E3F">
        <w:rPr>
          <w:rFonts w:cs="Times New Roman"/>
        </w:rPr>
        <w:t>———. 2017. “Addendum: Capital Cost Estimates for Additional Utility Scale Electric Generating Plants.” Washington, D.C.: U.S. Energy Information Administration. https://www.eia.gov/analysis/studies/powerplants/capitalcost/pdf/beret_addendum_leidos.pdf.</w:t>
      </w:r>
    </w:p>
    <w:p w14:paraId="7CC88E0A" w14:textId="77777777" w:rsidR="00E50E3F" w:rsidRPr="00E50E3F" w:rsidRDefault="00E50E3F" w:rsidP="00E50E3F">
      <w:pPr>
        <w:pStyle w:val="Bibliography"/>
        <w:rPr>
          <w:rFonts w:cs="Times New Roman"/>
        </w:rPr>
      </w:pPr>
      <w:r w:rsidRPr="00E50E3F">
        <w:rPr>
          <w:rFonts w:cs="Times New Roman"/>
        </w:rPr>
        <w:t>GE Energy. 2012. “Hawaii Solar Integration Study: Final Technical Report for Oahu.” Honolulu, Hawaii: Prepared for the National Renewable Energy Laboratory, Hawaii Natural Energy Institute, Hawaii Electric Company and Maui Electric Company. https://www.hnei.hawaii.edu/wp-content/uploads/Hawaii-Solar-Integration-Study-Oahu.pdf.</w:t>
      </w:r>
    </w:p>
    <w:p w14:paraId="34FE1CCE" w14:textId="77777777" w:rsidR="00E50E3F" w:rsidRPr="00E50E3F" w:rsidRDefault="00E50E3F" w:rsidP="00E50E3F">
      <w:pPr>
        <w:pStyle w:val="Bibliography"/>
        <w:rPr>
          <w:rFonts w:cs="Times New Roman"/>
        </w:rPr>
      </w:pPr>
      <w:r w:rsidRPr="00E50E3F">
        <w:rPr>
          <w:rFonts w:cs="Times New Roman"/>
        </w:rPr>
        <w:lastRenderedPageBreak/>
        <w:t>GE Energy Consulting. 2015. “Hawaii Renewable Portfolio Standards Study.” Hawaii Natural Energy Institute and School of Ocean and Earth Science and Technology, University of Hawaii. http://www.hnei.hawaii.edu/projects/hawaii-rps-study.</w:t>
      </w:r>
    </w:p>
    <w:p w14:paraId="13A3D864" w14:textId="77777777" w:rsidR="00E50E3F" w:rsidRPr="00E50E3F" w:rsidRDefault="00E50E3F" w:rsidP="00E50E3F">
      <w:pPr>
        <w:pStyle w:val="Bibliography"/>
        <w:rPr>
          <w:rFonts w:cs="Times New Roman"/>
        </w:rPr>
      </w:pPr>
      <w:r w:rsidRPr="00E50E3F">
        <w:rPr>
          <w:rFonts w:cs="Times New Roman"/>
        </w:rPr>
        <w:t>Google Inc. 2016. “Google Static Maps API.” 2016. https://developers.google.com/maps/documentation/maps-static/.</w:t>
      </w:r>
    </w:p>
    <w:p w14:paraId="0FB127BB" w14:textId="77777777" w:rsidR="00E50E3F" w:rsidRPr="00E50E3F" w:rsidRDefault="00E50E3F" w:rsidP="00E50E3F">
      <w:pPr>
        <w:pStyle w:val="Bibliography"/>
        <w:rPr>
          <w:rFonts w:cs="Times New Roman"/>
        </w:rPr>
      </w:pPr>
      <w:r w:rsidRPr="00E50E3F">
        <w:rPr>
          <w:rFonts w:cs="Times New Roman"/>
        </w:rPr>
        <w:t>———. 2019. “Project Sunroof Data Explorer.” https://sunroof.withgoogle.com/data-explorer/.</w:t>
      </w:r>
    </w:p>
    <w:p w14:paraId="1A4DFBA4" w14:textId="77777777" w:rsidR="00E50E3F" w:rsidRPr="00E50E3F" w:rsidRDefault="00E50E3F" w:rsidP="00E50E3F">
      <w:pPr>
        <w:pStyle w:val="Bibliography"/>
        <w:rPr>
          <w:rFonts w:cs="Times New Roman"/>
        </w:rPr>
      </w:pPr>
      <w:r w:rsidRPr="00E50E3F">
        <w:rPr>
          <w:rFonts w:cs="Times New Roman"/>
        </w:rPr>
        <w:t>HECO. 2013. “2013 Integrated Resource Planning Report.” Honolulu, Hawaii: Hawaiian Electric Company. http://www.heco.com/heco/Clean-Energy/Integrated-Resource-Planning.</w:t>
      </w:r>
    </w:p>
    <w:p w14:paraId="3CBB79BA" w14:textId="77777777" w:rsidR="00E50E3F" w:rsidRPr="00E50E3F" w:rsidRDefault="00E50E3F" w:rsidP="00E50E3F">
      <w:pPr>
        <w:pStyle w:val="Bibliography"/>
        <w:rPr>
          <w:rFonts w:cs="Times New Roman"/>
        </w:rPr>
      </w:pPr>
      <w:r w:rsidRPr="00E50E3F">
        <w:rPr>
          <w:rFonts w:cs="Times New Roman"/>
        </w:rPr>
        <w:t>———. 2016a. “Hawaiian Electric Companies’ PSIPs Update Report; Book 1 of 2; Docket No. 2014-0183.” Honolulu, Hawaii: Hawaiian Electric Company. https://dms.puc.hawaii.gov/dms/DocumentViewer?pid=A1001001A16D06B44234H62116.</w:t>
      </w:r>
    </w:p>
    <w:p w14:paraId="7F39A26B" w14:textId="77777777" w:rsidR="00E50E3F" w:rsidRPr="00E50E3F" w:rsidRDefault="00E50E3F" w:rsidP="00E50E3F">
      <w:pPr>
        <w:pStyle w:val="Bibliography"/>
        <w:rPr>
          <w:rFonts w:cs="Times New Roman"/>
        </w:rPr>
      </w:pPr>
      <w:r w:rsidRPr="00E50E3F">
        <w:rPr>
          <w:rFonts w:cs="Times New Roman"/>
        </w:rPr>
        <w:t>———. 2016b. “PSIP 2016 New Generation Assumptions REVISED 16-June-16.Xlsx.” Honolulu, Hawaii: Hawaiian Electric Industries. (by email).</w:t>
      </w:r>
    </w:p>
    <w:p w14:paraId="6118D882" w14:textId="77777777" w:rsidR="00E50E3F" w:rsidRPr="00E50E3F" w:rsidRDefault="00E50E3F" w:rsidP="00E50E3F">
      <w:pPr>
        <w:pStyle w:val="Bibliography"/>
        <w:rPr>
          <w:rFonts w:cs="Times New Roman"/>
        </w:rPr>
      </w:pPr>
      <w:r w:rsidRPr="00E50E3F">
        <w:rPr>
          <w:rFonts w:cs="Times New Roman"/>
        </w:rPr>
        <w:t>———. 2016c. “Hawaiian Electric Companies’ PSIPs Update Report, Books 1-4.” Honolulu, Hawaii: Hawaiian Electric Company. https://www.hawaiianelectric.com/clean-energy-hawaii/integrated-grid-planning/power-supply-improvement-plan.</w:t>
      </w:r>
    </w:p>
    <w:p w14:paraId="1136D3F6" w14:textId="77777777" w:rsidR="00E50E3F" w:rsidRPr="00E50E3F" w:rsidRDefault="00E50E3F" w:rsidP="00E50E3F">
      <w:pPr>
        <w:pStyle w:val="Bibliography"/>
        <w:rPr>
          <w:rFonts w:cs="Times New Roman"/>
        </w:rPr>
      </w:pPr>
      <w:r w:rsidRPr="00E50E3F">
        <w:rPr>
          <w:rFonts w:cs="Times New Roman"/>
        </w:rPr>
        <w:t>———. 2020. “Renewable Project Status Board.” 2020. https://web.archive.org/web/20200227164257/https://www.hawaiianelectric.com/clean-energy-hawaii/our-clean-energy-portfolio/renewable-project-status-board.</w:t>
      </w:r>
    </w:p>
    <w:p w14:paraId="7F6E4AF2" w14:textId="77777777" w:rsidR="00E50E3F" w:rsidRPr="00E50E3F" w:rsidRDefault="00E50E3F" w:rsidP="00E50E3F">
      <w:pPr>
        <w:pStyle w:val="Bibliography"/>
        <w:rPr>
          <w:rFonts w:cs="Times New Roman"/>
        </w:rPr>
      </w:pPr>
      <w:r w:rsidRPr="00E50E3F">
        <w:rPr>
          <w:rFonts w:cs="Times New Roman"/>
        </w:rPr>
        <w:t>Johnston, Josiah, Rodrigo Henríquez, Benjamín Maluenda, Matthias Fripp, and Matthias Fripp. 2018. “Switch 2.0: A Modern Platform for Planning High-Renewable Power Systems.” Preprint. https://arxiv.org/abs/1804.05481.</w:t>
      </w:r>
    </w:p>
    <w:p w14:paraId="453E2A2A" w14:textId="77777777" w:rsidR="00E50E3F" w:rsidRPr="00E50E3F" w:rsidRDefault="00E50E3F" w:rsidP="00E50E3F">
      <w:pPr>
        <w:pStyle w:val="Bibliography"/>
        <w:rPr>
          <w:rFonts w:cs="Times New Roman"/>
        </w:rPr>
      </w:pPr>
      <w:r w:rsidRPr="00E50E3F">
        <w:rPr>
          <w:rFonts w:cs="Times New Roman"/>
        </w:rPr>
        <w:t>King, J., A. Clifton, and B.-M. Hodge. 2014. “Validation of Power Output for the WIND Toolkit.” NREL/TP-5D00-61714. http://dx.doi.org/10.2172/1159354.</w:t>
      </w:r>
    </w:p>
    <w:p w14:paraId="7CE457A9" w14:textId="77777777" w:rsidR="00E50E3F" w:rsidRPr="00E50E3F" w:rsidRDefault="00E50E3F" w:rsidP="00E50E3F">
      <w:pPr>
        <w:pStyle w:val="Bibliography"/>
        <w:rPr>
          <w:rFonts w:cs="Times New Roman"/>
        </w:rPr>
      </w:pPr>
      <w:r w:rsidRPr="00E50E3F">
        <w:rPr>
          <w:rFonts w:cs="Times New Roman"/>
        </w:rPr>
        <w:t>Manobianco, John, Charles Alonge, Jaclyn Frank, and Michael Brower. 2010. “Development of Regional Wind Resource and Wind Plant Output Datasets for the Hawaiian Islands.” NREL/SR-550-48680. AWS Truepower LLC for the National Renewable Energy Laboratory. http://www.nrel.gov/docs/fy10osti/48680.pdf.</w:t>
      </w:r>
    </w:p>
    <w:p w14:paraId="5F03D665" w14:textId="77777777" w:rsidR="00E50E3F" w:rsidRPr="00E50E3F" w:rsidRDefault="00E50E3F" w:rsidP="00E50E3F">
      <w:pPr>
        <w:pStyle w:val="Bibliography"/>
        <w:rPr>
          <w:rFonts w:cs="Times New Roman"/>
        </w:rPr>
      </w:pPr>
      <w:r w:rsidRPr="00E50E3F">
        <w:rPr>
          <w:rFonts w:cs="Times New Roman"/>
        </w:rPr>
        <w:t>NREL. 2016. “National Solar Radiation Database Version 2.0.1.” Golden, Colorado: National Renewable Energy Laboratory. https://nsrdb.nrel.gov.</w:t>
      </w:r>
    </w:p>
    <w:p w14:paraId="3144BF07" w14:textId="77777777" w:rsidR="00E50E3F" w:rsidRPr="00E50E3F" w:rsidRDefault="00E50E3F" w:rsidP="00E50E3F">
      <w:pPr>
        <w:pStyle w:val="Bibliography"/>
        <w:rPr>
          <w:rFonts w:cs="Times New Roman"/>
        </w:rPr>
      </w:pPr>
      <w:r w:rsidRPr="00E50E3F">
        <w:rPr>
          <w:rFonts w:cs="Times New Roman"/>
        </w:rPr>
        <w:t>———. 2018a. “H2A: Hydrogen Analysis Production Model Archives.” National Renewable Energy Laboratory. https://www.nrel.gov/hydrogen/h2a-production-archive.html.</w:t>
      </w:r>
    </w:p>
    <w:p w14:paraId="35613D52" w14:textId="77777777" w:rsidR="00E50E3F" w:rsidRPr="00E50E3F" w:rsidRDefault="00E50E3F" w:rsidP="00E50E3F">
      <w:pPr>
        <w:pStyle w:val="Bibliography"/>
        <w:rPr>
          <w:rFonts w:cs="Times New Roman"/>
        </w:rPr>
      </w:pPr>
      <w:r w:rsidRPr="00E50E3F">
        <w:rPr>
          <w:rFonts w:cs="Times New Roman"/>
        </w:rPr>
        <w:t>———. 2018b. “SAM Simulation Core SDK.” Golden, Colorado: National Renewable Energy Laboratory. https://sam.nrel.gov/sdk.</w:t>
      </w:r>
    </w:p>
    <w:p w14:paraId="6E7A3B18" w14:textId="77777777" w:rsidR="00E50E3F" w:rsidRPr="00E50E3F" w:rsidRDefault="00E50E3F" w:rsidP="00E50E3F">
      <w:pPr>
        <w:pStyle w:val="Bibliography"/>
        <w:rPr>
          <w:rFonts w:cs="Times New Roman"/>
        </w:rPr>
      </w:pPr>
      <w:r w:rsidRPr="00E50E3F">
        <w:rPr>
          <w:rFonts w:cs="Times New Roman"/>
        </w:rPr>
        <w:t>———. 2019. “2019 Annual Technology Baseline.” Golden, Colorado: National Renewable Energy Laboratory. https://atb.nrel.gov/electricity/2019/.</w:t>
      </w:r>
    </w:p>
    <w:p w14:paraId="6239EC6C" w14:textId="77777777" w:rsidR="00E50E3F" w:rsidRPr="00E50E3F" w:rsidRDefault="00E50E3F" w:rsidP="00E50E3F">
      <w:pPr>
        <w:pStyle w:val="Bibliography"/>
        <w:rPr>
          <w:rFonts w:cs="Times New Roman"/>
        </w:rPr>
      </w:pPr>
      <w:r w:rsidRPr="00E50E3F">
        <w:rPr>
          <w:rFonts w:cs="Times New Roman"/>
        </w:rPr>
        <w:t>Piwko, Richard, Leon Roose, Kirsten Orwig, Marc Matsuura, David Corbus, and Matt Schuerger. 2012. “Hawaii Solar Integration Study: Solar Modeling Developments and Study Results.” Golden, Colorado: National Renewable Energy Laboratory. http://www.nrel.gov/docs/fy13osti/56311.pdf.</w:t>
      </w:r>
    </w:p>
    <w:p w14:paraId="632FC9DE" w14:textId="77777777" w:rsidR="00E50E3F" w:rsidRPr="00E50E3F" w:rsidRDefault="00E50E3F" w:rsidP="00E50E3F">
      <w:pPr>
        <w:pStyle w:val="Bibliography"/>
        <w:rPr>
          <w:rFonts w:cs="Times New Roman"/>
        </w:rPr>
      </w:pPr>
      <w:r w:rsidRPr="00E50E3F">
        <w:rPr>
          <w:rFonts w:cs="Times New Roman"/>
        </w:rPr>
        <w:t>Steward, D., G. Saur, M. Penev, and T. Ramsden. 2009. “Lifecycle Cost Analysis of Hydrogen versus Other Technologies for Electrical Energy Storage.” NREL/TP-560-46719. National Renewable Energy Laboratory. http://www.nrel.gov/docs/fy10osti/46719.pdf.</w:t>
      </w:r>
    </w:p>
    <w:p w14:paraId="5441941F" w14:textId="77ABC122" w:rsidR="00C73136" w:rsidRPr="00942F07" w:rsidRDefault="00912096" w:rsidP="00942F07">
      <w:pPr>
        <w:pStyle w:val="BodyText"/>
      </w:pPr>
      <w:r>
        <w:fldChar w:fldCharType="end"/>
      </w:r>
    </w:p>
    <w:sectPr w:rsidR="00C73136" w:rsidRPr="00942F07" w:rsidSect="0060197D">
      <w:headerReference w:type="default" r:id="rId16"/>
      <w:footerReference w:type="default" r:id="rId17"/>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ias Fripp" w:date="2023-01-30T08:41:00Z" w:initials="MF">
    <w:p w14:paraId="5AB2FE3F" w14:textId="77777777" w:rsidR="00466F96" w:rsidRDefault="00466F96" w:rsidP="00AC4C62">
      <w:r>
        <w:rPr>
          <w:rStyle w:val="CommentReference"/>
        </w:rPr>
        <w:annotationRef/>
      </w:r>
      <w:r>
        <w:rPr>
          <w:color w:val="000000"/>
          <w:sz w:val="20"/>
          <w:szCs w:val="20"/>
        </w:rPr>
        <w:t>Calendar and financial assumptions are scenario-specific, should be in the price_response folder instead of this one (might be able to leave the geography here).</w:t>
      </w:r>
    </w:p>
  </w:comment>
  <w:comment w:id="1" w:author="Matthias Fripp" w:date="2023-01-30T17:23:00Z" w:initials="MF">
    <w:p w14:paraId="7F5A4B74" w14:textId="77777777" w:rsidR="00352421" w:rsidRDefault="00352421" w:rsidP="00352421">
      <w:r>
        <w:rPr>
          <w:rStyle w:val="CommentReference"/>
        </w:rPr>
        <w:annotationRef/>
      </w:r>
      <w:r>
        <w:rPr>
          <w:color w:val="000000"/>
          <w:sz w:val="20"/>
          <w:szCs w:val="20"/>
        </w:rPr>
        <w:t>study-specific</w:t>
      </w:r>
    </w:p>
  </w:comment>
  <w:comment w:id="7" w:author="Matthias Fripp" w:date="2023-02-01T11:36:00Z" w:initials="MF">
    <w:p w14:paraId="0C45ECF5" w14:textId="77777777" w:rsidR="0097620D" w:rsidRDefault="0097620D" w:rsidP="00603FC8">
      <w:r>
        <w:rPr>
          <w:rStyle w:val="CommentReference"/>
        </w:rPr>
        <w:annotationRef/>
      </w:r>
      <w:r>
        <w:rPr>
          <w:color w:val="000000"/>
          <w:sz w:val="20"/>
          <w:szCs w:val="20"/>
        </w:rPr>
        <w:t>Study-specific.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B2FE3F" w15:done="0"/>
  <w15:commentEx w15:paraId="7F5A4B74" w15:done="0"/>
  <w15:commentEx w15:paraId="0C45EC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2014A" w16cex:dateUtc="2023-01-30T16:41:00Z"/>
  <w16cex:commentExtensible w16cex:durableId="27864895" w16cex:dateUtc="2023-01-31T01:23:00Z"/>
  <w16cex:commentExtensible w16cex:durableId="2784CD51" w16cex:dateUtc="2023-02-01T1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B2FE3F" w16cid:durableId="2782014A"/>
  <w16cid:commentId w16cid:paraId="7F5A4B74" w16cid:durableId="27864895"/>
  <w16cid:commentId w16cid:paraId="0C45ECF5" w16cid:durableId="2784C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97AC7" w14:textId="77777777" w:rsidR="000D2871" w:rsidRDefault="000D2871" w:rsidP="00E8626C">
      <w:r>
        <w:separator/>
      </w:r>
    </w:p>
  </w:endnote>
  <w:endnote w:type="continuationSeparator" w:id="0">
    <w:p w14:paraId="04920350" w14:textId="77777777" w:rsidR="000D2871" w:rsidRDefault="000D2871" w:rsidP="00E8626C">
      <w:r>
        <w:continuationSeparator/>
      </w:r>
    </w:p>
  </w:endnote>
  <w:endnote w:type="continuationNotice" w:id="1">
    <w:p w14:paraId="3E0BFFAF" w14:textId="77777777" w:rsidR="000D2871" w:rsidRDefault="000D28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1450C" w14:textId="528131C9" w:rsidR="000C452E" w:rsidRPr="00275E7A" w:rsidRDefault="000C452E" w:rsidP="00C200A4">
    <w:pPr>
      <w:pStyle w:val="Footer"/>
      <w:jc w:val="center"/>
      <w:rPr>
        <w:rFonts w:cs="Times New Roman"/>
      </w:rPr>
    </w:pPr>
    <w:r w:rsidRPr="00275E7A">
      <w:rPr>
        <w:rStyle w:val="PageNumber"/>
        <w:rFonts w:cs="Times New Roman"/>
      </w:rPr>
      <w:fldChar w:fldCharType="begin"/>
    </w:r>
    <w:r w:rsidRPr="00275E7A">
      <w:rPr>
        <w:rStyle w:val="PageNumber"/>
        <w:rFonts w:cs="Times New Roman"/>
      </w:rPr>
      <w:instrText xml:space="preserve"> PAGE </w:instrText>
    </w:r>
    <w:r w:rsidRPr="00275E7A">
      <w:rPr>
        <w:rStyle w:val="PageNumber"/>
        <w:rFonts w:cs="Times New Roman"/>
      </w:rPr>
      <w:fldChar w:fldCharType="separate"/>
    </w:r>
    <w:r w:rsidRPr="00275E7A">
      <w:rPr>
        <w:rStyle w:val="PageNumber"/>
        <w:rFonts w:cs="Times New Roman"/>
        <w:noProof/>
      </w:rPr>
      <w:t>27</w:t>
    </w:r>
    <w:r w:rsidRPr="00275E7A">
      <w:rPr>
        <w:rStyle w:val="PageNumbe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8B0EC" w14:textId="77777777" w:rsidR="000D2871" w:rsidRDefault="000D2871" w:rsidP="00E8626C">
      <w:r>
        <w:separator/>
      </w:r>
    </w:p>
  </w:footnote>
  <w:footnote w:type="continuationSeparator" w:id="0">
    <w:p w14:paraId="2A234A8B" w14:textId="77777777" w:rsidR="000D2871" w:rsidRDefault="000D2871" w:rsidP="00E8626C">
      <w:r>
        <w:continuationSeparator/>
      </w:r>
    </w:p>
  </w:footnote>
  <w:footnote w:type="continuationNotice" w:id="1">
    <w:p w14:paraId="4BD22F55" w14:textId="77777777" w:rsidR="000D2871" w:rsidRDefault="000D28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A8D1" w14:textId="7684E3BC" w:rsidR="000C452E" w:rsidRPr="00275E7A" w:rsidRDefault="004C5A7C" w:rsidP="002805E0">
    <w:pPr>
      <w:pStyle w:val="Header"/>
      <w:jc w:val="center"/>
      <w:rPr>
        <w:rFonts w:cs="Times New Roman"/>
      </w:rPr>
    </w:pPr>
    <w:r>
      <w:rPr>
        <w:rFonts w:cs="Times New Roman"/>
      </w:rPr>
      <w:t xml:space="preserve">SWITCH-OAHU </w:t>
    </w:r>
    <w:r w:rsidR="00275E7A" w:rsidRPr="00275E7A">
      <w:rPr>
        <w:rFonts w:cs="Times New Roman"/>
      </w:rPr>
      <w:t>ASSUMPTIONS AND DATA</w:t>
    </w:r>
    <w:r w:rsidR="00AA7CCF">
      <w:rPr>
        <w:rFonts w:cs="Times New Roman"/>
      </w:rPr>
      <w:t xml:space="preserve"> SOURCES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 w15:restartNumberingAfterBreak="0">
    <w:nsid w:val="038231F1"/>
    <w:multiLevelType w:val="hybridMultilevel"/>
    <w:tmpl w:val="61A2DCDE"/>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 w15:restartNumberingAfterBreak="0">
    <w:nsid w:val="044B4D94"/>
    <w:multiLevelType w:val="hybridMultilevel"/>
    <w:tmpl w:val="F3B2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B6C15"/>
    <w:multiLevelType w:val="hybridMultilevel"/>
    <w:tmpl w:val="78EE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36FB2"/>
    <w:multiLevelType w:val="hybridMultilevel"/>
    <w:tmpl w:val="B7DA9E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3506E"/>
    <w:multiLevelType w:val="hybridMultilevel"/>
    <w:tmpl w:val="B1967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10B78"/>
    <w:multiLevelType w:val="hybridMultilevel"/>
    <w:tmpl w:val="4BEE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A72EE"/>
    <w:multiLevelType w:val="hybridMultilevel"/>
    <w:tmpl w:val="D78819C4"/>
    <w:lvl w:ilvl="0" w:tplc="04090001">
      <w:start w:val="1"/>
      <w:numFmt w:val="bullet"/>
      <w:lvlText w:val=""/>
      <w:lvlJc w:val="left"/>
      <w:pPr>
        <w:ind w:left="1224" w:hanging="360"/>
      </w:pPr>
      <w:rPr>
        <w:rFonts w:ascii="Symbol" w:hAnsi="Symbol"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8" w15:restartNumberingAfterBreak="0">
    <w:nsid w:val="2742544A"/>
    <w:multiLevelType w:val="multilevel"/>
    <w:tmpl w:val="9F6C7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B30453"/>
    <w:multiLevelType w:val="hybridMultilevel"/>
    <w:tmpl w:val="133668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0B413E"/>
    <w:multiLevelType w:val="hybridMultilevel"/>
    <w:tmpl w:val="3AC87B3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3E405205"/>
    <w:multiLevelType w:val="hybridMultilevel"/>
    <w:tmpl w:val="9F6C7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112B5E"/>
    <w:multiLevelType w:val="hybridMultilevel"/>
    <w:tmpl w:val="013CC7C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3" w15:restartNumberingAfterBreak="0">
    <w:nsid w:val="419106CF"/>
    <w:multiLevelType w:val="hybridMultilevel"/>
    <w:tmpl w:val="C1DED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1B29D3"/>
    <w:multiLevelType w:val="multilevel"/>
    <w:tmpl w:val="EC984002"/>
    <w:styleLink w:val="Style1"/>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511B2CF5"/>
    <w:multiLevelType w:val="multilevel"/>
    <w:tmpl w:val="EC984002"/>
    <w:numStyleLink w:val="Style1"/>
  </w:abstractNum>
  <w:abstractNum w:abstractNumId="16" w15:restartNumberingAfterBreak="0">
    <w:nsid w:val="544E0178"/>
    <w:multiLevelType w:val="multilevel"/>
    <w:tmpl w:val="C52CD41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6042862"/>
    <w:multiLevelType w:val="hybridMultilevel"/>
    <w:tmpl w:val="ED0C7918"/>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8" w15:restartNumberingAfterBreak="0">
    <w:nsid w:val="5B494CBD"/>
    <w:multiLevelType w:val="hybridMultilevel"/>
    <w:tmpl w:val="6228259C"/>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9" w15:restartNumberingAfterBreak="0">
    <w:nsid w:val="5BCF5A09"/>
    <w:multiLevelType w:val="hybridMultilevel"/>
    <w:tmpl w:val="8AF42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1C20CF"/>
    <w:multiLevelType w:val="hybridMultilevel"/>
    <w:tmpl w:val="C9A8E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94056B"/>
    <w:multiLevelType w:val="hybridMultilevel"/>
    <w:tmpl w:val="FB741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8675A0"/>
    <w:multiLevelType w:val="multilevel"/>
    <w:tmpl w:val="8C4A60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3530E04"/>
    <w:multiLevelType w:val="hybridMultilevel"/>
    <w:tmpl w:val="ACBE6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967FA1"/>
    <w:multiLevelType w:val="hybridMultilevel"/>
    <w:tmpl w:val="42788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7F03AD"/>
    <w:multiLevelType w:val="multilevel"/>
    <w:tmpl w:val="1336687A"/>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num w:numId="1" w16cid:durableId="1538857517">
    <w:abstractNumId w:val="22"/>
  </w:num>
  <w:num w:numId="2" w16cid:durableId="116920582">
    <w:abstractNumId w:val="22"/>
  </w:num>
  <w:num w:numId="3" w16cid:durableId="1689597337">
    <w:abstractNumId w:val="20"/>
  </w:num>
  <w:num w:numId="4" w16cid:durableId="1076249384">
    <w:abstractNumId w:val="6"/>
  </w:num>
  <w:num w:numId="5" w16cid:durableId="1172525726">
    <w:abstractNumId w:val="24"/>
  </w:num>
  <w:num w:numId="6" w16cid:durableId="1432622624">
    <w:abstractNumId w:val="3"/>
  </w:num>
  <w:num w:numId="7" w16cid:durableId="223033646">
    <w:abstractNumId w:val="5"/>
  </w:num>
  <w:num w:numId="8" w16cid:durableId="672144366">
    <w:abstractNumId w:val="11"/>
  </w:num>
  <w:num w:numId="9" w16cid:durableId="1048992940">
    <w:abstractNumId w:val="8"/>
  </w:num>
  <w:num w:numId="10" w16cid:durableId="1421751307">
    <w:abstractNumId w:val="19"/>
  </w:num>
  <w:num w:numId="11" w16cid:durableId="366100614">
    <w:abstractNumId w:val="4"/>
  </w:num>
  <w:num w:numId="12" w16cid:durableId="1899584926">
    <w:abstractNumId w:val="2"/>
  </w:num>
  <w:num w:numId="13" w16cid:durableId="1100301320">
    <w:abstractNumId w:val="23"/>
  </w:num>
  <w:num w:numId="14" w16cid:durableId="651060898">
    <w:abstractNumId w:val="21"/>
  </w:num>
  <w:num w:numId="15" w16cid:durableId="287053704">
    <w:abstractNumId w:val="13"/>
  </w:num>
  <w:num w:numId="16" w16cid:durableId="745491300">
    <w:abstractNumId w:val="15"/>
  </w:num>
  <w:num w:numId="17" w16cid:durableId="893657481">
    <w:abstractNumId w:val="14"/>
  </w:num>
  <w:num w:numId="18" w16cid:durableId="898906698">
    <w:abstractNumId w:val="0"/>
  </w:num>
  <w:num w:numId="19" w16cid:durableId="1906793486">
    <w:abstractNumId w:val="22"/>
  </w:num>
  <w:num w:numId="20" w16cid:durableId="394284174">
    <w:abstractNumId w:val="22"/>
  </w:num>
  <w:num w:numId="21" w16cid:durableId="644041717">
    <w:abstractNumId w:val="9"/>
  </w:num>
  <w:num w:numId="22" w16cid:durableId="285166642">
    <w:abstractNumId w:val="25"/>
  </w:num>
  <w:num w:numId="23" w16cid:durableId="1448894790">
    <w:abstractNumId w:val="1"/>
  </w:num>
  <w:num w:numId="24" w16cid:durableId="1004894092">
    <w:abstractNumId w:val="18"/>
  </w:num>
  <w:num w:numId="25" w16cid:durableId="504058243">
    <w:abstractNumId w:val="12"/>
  </w:num>
  <w:num w:numId="26" w16cid:durableId="1386442996">
    <w:abstractNumId w:val="22"/>
  </w:num>
  <w:num w:numId="27" w16cid:durableId="1413971779">
    <w:abstractNumId w:val="22"/>
  </w:num>
  <w:num w:numId="28" w16cid:durableId="1546913639">
    <w:abstractNumId w:val="10"/>
  </w:num>
  <w:num w:numId="29" w16cid:durableId="149684723">
    <w:abstractNumId w:val="7"/>
  </w:num>
  <w:num w:numId="30" w16cid:durableId="1534920445">
    <w:abstractNumId w:val="16"/>
  </w:num>
  <w:num w:numId="31" w16cid:durableId="185213260">
    <w:abstractNumId w:val="22"/>
  </w:num>
  <w:num w:numId="32" w16cid:durableId="91162658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Fripp">
    <w15:presenceInfo w15:providerId="AD" w15:userId="S::mfripp@edf.org::4b5b9ed3-0537-4345-8f36-8cd3c9e3c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87D"/>
    <w:rsid w:val="000036FD"/>
    <w:rsid w:val="00004FBF"/>
    <w:rsid w:val="000056D9"/>
    <w:rsid w:val="00006A83"/>
    <w:rsid w:val="00007888"/>
    <w:rsid w:val="00010D73"/>
    <w:rsid w:val="00011A04"/>
    <w:rsid w:val="00013E96"/>
    <w:rsid w:val="00017A2B"/>
    <w:rsid w:val="00020472"/>
    <w:rsid w:val="00021029"/>
    <w:rsid w:val="0002120C"/>
    <w:rsid w:val="00021301"/>
    <w:rsid w:val="000224D2"/>
    <w:rsid w:val="00024275"/>
    <w:rsid w:val="0002552A"/>
    <w:rsid w:val="00026A55"/>
    <w:rsid w:val="000306B7"/>
    <w:rsid w:val="0003178C"/>
    <w:rsid w:val="000319DF"/>
    <w:rsid w:val="0003287E"/>
    <w:rsid w:val="00033174"/>
    <w:rsid w:val="0003433F"/>
    <w:rsid w:val="0003562A"/>
    <w:rsid w:val="00037134"/>
    <w:rsid w:val="00037187"/>
    <w:rsid w:val="0003718C"/>
    <w:rsid w:val="000405BB"/>
    <w:rsid w:val="00040B23"/>
    <w:rsid w:val="00040B36"/>
    <w:rsid w:val="00045D17"/>
    <w:rsid w:val="00046C2E"/>
    <w:rsid w:val="000524EB"/>
    <w:rsid w:val="00053B3B"/>
    <w:rsid w:val="000556A5"/>
    <w:rsid w:val="00055A7E"/>
    <w:rsid w:val="000569D1"/>
    <w:rsid w:val="000576C8"/>
    <w:rsid w:val="000577D2"/>
    <w:rsid w:val="00061ACC"/>
    <w:rsid w:val="0006604F"/>
    <w:rsid w:val="00066E77"/>
    <w:rsid w:val="00067516"/>
    <w:rsid w:val="00067595"/>
    <w:rsid w:val="000710A0"/>
    <w:rsid w:val="00071A77"/>
    <w:rsid w:val="00071EA0"/>
    <w:rsid w:val="00074DAA"/>
    <w:rsid w:val="000769F4"/>
    <w:rsid w:val="0007727D"/>
    <w:rsid w:val="00077B01"/>
    <w:rsid w:val="00077C17"/>
    <w:rsid w:val="000801E4"/>
    <w:rsid w:val="0008316F"/>
    <w:rsid w:val="0008605B"/>
    <w:rsid w:val="00087BC4"/>
    <w:rsid w:val="00091328"/>
    <w:rsid w:val="00091FBB"/>
    <w:rsid w:val="000966EF"/>
    <w:rsid w:val="0009679C"/>
    <w:rsid w:val="00097666"/>
    <w:rsid w:val="00097B6A"/>
    <w:rsid w:val="000A3DD5"/>
    <w:rsid w:val="000A4111"/>
    <w:rsid w:val="000A41DF"/>
    <w:rsid w:val="000B05E5"/>
    <w:rsid w:val="000B399B"/>
    <w:rsid w:val="000B5E6E"/>
    <w:rsid w:val="000B6E9C"/>
    <w:rsid w:val="000C1CBC"/>
    <w:rsid w:val="000C2A10"/>
    <w:rsid w:val="000C3E76"/>
    <w:rsid w:val="000C452E"/>
    <w:rsid w:val="000D04ED"/>
    <w:rsid w:val="000D08F2"/>
    <w:rsid w:val="000D0F22"/>
    <w:rsid w:val="000D2871"/>
    <w:rsid w:val="000D2C54"/>
    <w:rsid w:val="000D4252"/>
    <w:rsid w:val="000D517E"/>
    <w:rsid w:val="000D5A8A"/>
    <w:rsid w:val="000D6145"/>
    <w:rsid w:val="000D76DE"/>
    <w:rsid w:val="000D7FE6"/>
    <w:rsid w:val="000E1ECB"/>
    <w:rsid w:val="000E288A"/>
    <w:rsid w:val="000E2B5C"/>
    <w:rsid w:val="000E2F8C"/>
    <w:rsid w:val="000E6808"/>
    <w:rsid w:val="000E6F88"/>
    <w:rsid w:val="000F1810"/>
    <w:rsid w:val="000F61BE"/>
    <w:rsid w:val="000F7B8F"/>
    <w:rsid w:val="00101CB3"/>
    <w:rsid w:val="00116705"/>
    <w:rsid w:val="00117B21"/>
    <w:rsid w:val="00120F34"/>
    <w:rsid w:val="001360C1"/>
    <w:rsid w:val="00144E71"/>
    <w:rsid w:val="00150889"/>
    <w:rsid w:val="00151071"/>
    <w:rsid w:val="0015407F"/>
    <w:rsid w:val="00155009"/>
    <w:rsid w:val="001554C5"/>
    <w:rsid w:val="00160F97"/>
    <w:rsid w:val="0016173D"/>
    <w:rsid w:val="00161C9F"/>
    <w:rsid w:val="00164149"/>
    <w:rsid w:val="0016487B"/>
    <w:rsid w:val="00164F17"/>
    <w:rsid w:val="00165358"/>
    <w:rsid w:val="00165E97"/>
    <w:rsid w:val="001728D9"/>
    <w:rsid w:val="001750D5"/>
    <w:rsid w:val="001753AC"/>
    <w:rsid w:val="00175D27"/>
    <w:rsid w:val="001761FC"/>
    <w:rsid w:val="00176D0C"/>
    <w:rsid w:val="001813FE"/>
    <w:rsid w:val="00181B4F"/>
    <w:rsid w:val="001825FC"/>
    <w:rsid w:val="00182616"/>
    <w:rsid w:val="00183417"/>
    <w:rsid w:val="00186445"/>
    <w:rsid w:val="00186FB9"/>
    <w:rsid w:val="0018784B"/>
    <w:rsid w:val="00195EC9"/>
    <w:rsid w:val="0019615A"/>
    <w:rsid w:val="0019701C"/>
    <w:rsid w:val="00197186"/>
    <w:rsid w:val="001978E3"/>
    <w:rsid w:val="001A06BA"/>
    <w:rsid w:val="001A179F"/>
    <w:rsid w:val="001A2568"/>
    <w:rsid w:val="001A288F"/>
    <w:rsid w:val="001A4EAD"/>
    <w:rsid w:val="001A7429"/>
    <w:rsid w:val="001B1377"/>
    <w:rsid w:val="001B1EE0"/>
    <w:rsid w:val="001B474D"/>
    <w:rsid w:val="001B5BB5"/>
    <w:rsid w:val="001B73E7"/>
    <w:rsid w:val="001B770B"/>
    <w:rsid w:val="001C6807"/>
    <w:rsid w:val="001C6CA5"/>
    <w:rsid w:val="001E0666"/>
    <w:rsid w:val="001E5A25"/>
    <w:rsid w:val="001E6903"/>
    <w:rsid w:val="001F15D3"/>
    <w:rsid w:val="001F5B2E"/>
    <w:rsid w:val="001F7062"/>
    <w:rsid w:val="001F70C7"/>
    <w:rsid w:val="0020340B"/>
    <w:rsid w:val="00203E13"/>
    <w:rsid w:val="00205939"/>
    <w:rsid w:val="0020745D"/>
    <w:rsid w:val="0020786C"/>
    <w:rsid w:val="00207C71"/>
    <w:rsid w:val="002143A3"/>
    <w:rsid w:val="0021546D"/>
    <w:rsid w:val="002176DD"/>
    <w:rsid w:val="002215E9"/>
    <w:rsid w:val="0022235F"/>
    <w:rsid w:val="002236D6"/>
    <w:rsid w:val="002238D8"/>
    <w:rsid w:val="0023091A"/>
    <w:rsid w:val="00234955"/>
    <w:rsid w:val="00235B12"/>
    <w:rsid w:val="002370CB"/>
    <w:rsid w:val="002401DA"/>
    <w:rsid w:val="00244790"/>
    <w:rsid w:val="00247D2D"/>
    <w:rsid w:val="0025529C"/>
    <w:rsid w:val="0026094D"/>
    <w:rsid w:val="0027101B"/>
    <w:rsid w:val="0027211A"/>
    <w:rsid w:val="00275E7A"/>
    <w:rsid w:val="00276F3E"/>
    <w:rsid w:val="00277716"/>
    <w:rsid w:val="002805E0"/>
    <w:rsid w:val="00280B17"/>
    <w:rsid w:val="00281D5A"/>
    <w:rsid w:val="00285FE5"/>
    <w:rsid w:val="00292012"/>
    <w:rsid w:val="00292F3D"/>
    <w:rsid w:val="00295E88"/>
    <w:rsid w:val="002A045A"/>
    <w:rsid w:val="002A1000"/>
    <w:rsid w:val="002A3018"/>
    <w:rsid w:val="002A45AB"/>
    <w:rsid w:val="002A46F9"/>
    <w:rsid w:val="002A4894"/>
    <w:rsid w:val="002A7852"/>
    <w:rsid w:val="002B0729"/>
    <w:rsid w:val="002B76FF"/>
    <w:rsid w:val="002C1531"/>
    <w:rsid w:val="002C487E"/>
    <w:rsid w:val="002C7910"/>
    <w:rsid w:val="002D0195"/>
    <w:rsid w:val="002D3058"/>
    <w:rsid w:val="002D4F96"/>
    <w:rsid w:val="002D6597"/>
    <w:rsid w:val="002D7487"/>
    <w:rsid w:val="002E2B43"/>
    <w:rsid w:val="002E5136"/>
    <w:rsid w:val="002E573E"/>
    <w:rsid w:val="002E57AC"/>
    <w:rsid w:val="002F11E0"/>
    <w:rsid w:val="002F1F4B"/>
    <w:rsid w:val="002F5DC3"/>
    <w:rsid w:val="002F63EC"/>
    <w:rsid w:val="002F7692"/>
    <w:rsid w:val="00300E2D"/>
    <w:rsid w:val="003020FD"/>
    <w:rsid w:val="00305748"/>
    <w:rsid w:val="00310EC3"/>
    <w:rsid w:val="003114EF"/>
    <w:rsid w:val="00316E9E"/>
    <w:rsid w:val="0032274A"/>
    <w:rsid w:val="00323EF6"/>
    <w:rsid w:val="003321FF"/>
    <w:rsid w:val="00333497"/>
    <w:rsid w:val="0033554A"/>
    <w:rsid w:val="00335605"/>
    <w:rsid w:val="00336B94"/>
    <w:rsid w:val="00340D04"/>
    <w:rsid w:val="00342E98"/>
    <w:rsid w:val="00344542"/>
    <w:rsid w:val="00345972"/>
    <w:rsid w:val="00350563"/>
    <w:rsid w:val="00351ADD"/>
    <w:rsid w:val="00351C5C"/>
    <w:rsid w:val="00352421"/>
    <w:rsid w:val="00360278"/>
    <w:rsid w:val="003618FF"/>
    <w:rsid w:val="00362F65"/>
    <w:rsid w:val="003650B5"/>
    <w:rsid w:val="003676C7"/>
    <w:rsid w:val="00371AF7"/>
    <w:rsid w:val="00373600"/>
    <w:rsid w:val="00373941"/>
    <w:rsid w:val="00373E08"/>
    <w:rsid w:val="00380F49"/>
    <w:rsid w:val="00383918"/>
    <w:rsid w:val="00383CEA"/>
    <w:rsid w:val="00385B30"/>
    <w:rsid w:val="0039106E"/>
    <w:rsid w:val="00391326"/>
    <w:rsid w:val="003923E1"/>
    <w:rsid w:val="00394030"/>
    <w:rsid w:val="003955C5"/>
    <w:rsid w:val="003976A3"/>
    <w:rsid w:val="00397840"/>
    <w:rsid w:val="003A03B0"/>
    <w:rsid w:val="003A0675"/>
    <w:rsid w:val="003A14C8"/>
    <w:rsid w:val="003A3345"/>
    <w:rsid w:val="003A7531"/>
    <w:rsid w:val="003B7393"/>
    <w:rsid w:val="003C1A97"/>
    <w:rsid w:val="003C38D0"/>
    <w:rsid w:val="003C3F60"/>
    <w:rsid w:val="003C5DC5"/>
    <w:rsid w:val="003C6D2B"/>
    <w:rsid w:val="003D0A73"/>
    <w:rsid w:val="003D1E02"/>
    <w:rsid w:val="003D4BA9"/>
    <w:rsid w:val="003D5BCD"/>
    <w:rsid w:val="003D6D98"/>
    <w:rsid w:val="003E099A"/>
    <w:rsid w:val="003E3F3B"/>
    <w:rsid w:val="003E4B9A"/>
    <w:rsid w:val="003F168C"/>
    <w:rsid w:val="003F2CEA"/>
    <w:rsid w:val="003F3202"/>
    <w:rsid w:val="003F3624"/>
    <w:rsid w:val="003F3D81"/>
    <w:rsid w:val="004003C3"/>
    <w:rsid w:val="004008DA"/>
    <w:rsid w:val="00402909"/>
    <w:rsid w:val="004068AC"/>
    <w:rsid w:val="004100D5"/>
    <w:rsid w:val="00410ACB"/>
    <w:rsid w:val="00410B71"/>
    <w:rsid w:val="00411AB0"/>
    <w:rsid w:val="00411EC5"/>
    <w:rsid w:val="00414931"/>
    <w:rsid w:val="00415416"/>
    <w:rsid w:val="004159A9"/>
    <w:rsid w:val="004166C2"/>
    <w:rsid w:val="00424266"/>
    <w:rsid w:val="00424DCF"/>
    <w:rsid w:val="00425D59"/>
    <w:rsid w:val="00425E09"/>
    <w:rsid w:val="00426D52"/>
    <w:rsid w:val="004347F7"/>
    <w:rsid w:val="00436ACB"/>
    <w:rsid w:val="00436CC8"/>
    <w:rsid w:val="00443E4C"/>
    <w:rsid w:val="00444427"/>
    <w:rsid w:val="00445B77"/>
    <w:rsid w:val="00447512"/>
    <w:rsid w:val="00453215"/>
    <w:rsid w:val="00454661"/>
    <w:rsid w:val="00457E57"/>
    <w:rsid w:val="0046004B"/>
    <w:rsid w:val="0046165F"/>
    <w:rsid w:val="00462E9F"/>
    <w:rsid w:val="00463897"/>
    <w:rsid w:val="00465CF6"/>
    <w:rsid w:val="00466F96"/>
    <w:rsid w:val="00470E95"/>
    <w:rsid w:val="00471157"/>
    <w:rsid w:val="004748B6"/>
    <w:rsid w:val="00476A9E"/>
    <w:rsid w:val="00476D8A"/>
    <w:rsid w:val="004826BB"/>
    <w:rsid w:val="00483A5E"/>
    <w:rsid w:val="00486085"/>
    <w:rsid w:val="00491988"/>
    <w:rsid w:val="00492426"/>
    <w:rsid w:val="004949F2"/>
    <w:rsid w:val="00494B83"/>
    <w:rsid w:val="004A34BC"/>
    <w:rsid w:val="004A47D9"/>
    <w:rsid w:val="004A561B"/>
    <w:rsid w:val="004B002D"/>
    <w:rsid w:val="004B2F62"/>
    <w:rsid w:val="004B366E"/>
    <w:rsid w:val="004B4500"/>
    <w:rsid w:val="004B5581"/>
    <w:rsid w:val="004B752A"/>
    <w:rsid w:val="004C07A5"/>
    <w:rsid w:val="004C1B09"/>
    <w:rsid w:val="004C367E"/>
    <w:rsid w:val="004C5A7C"/>
    <w:rsid w:val="004C5BE0"/>
    <w:rsid w:val="004C6055"/>
    <w:rsid w:val="004C7655"/>
    <w:rsid w:val="004D0DB6"/>
    <w:rsid w:val="004D2323"/>
    <w:rsid w:val="004D6ACB"/>
    <w:rsid w:val="004E082B"/>
    <w:rsid w:val="004E574D"/>
    <w:rsid w:val="004E6463"/>
    <w:rsid w:val="004E6ACF"/>
    <w:rsid w:val="004F00E3"/>
    <w:rsid w:val="004F098C"/>
    <w:rsid w:val="004F4B30"/>
    <w:rsid w:val="004F6F8A"/>
    <w:rsid w:val="004F7C23"/>
    <w:rsid w:val="004F7CAF"/>
    <w:rsid w:val="004F7FB8"/>
    <w:rsid w:val="0050211B"/>
    <w:rsid w:val="00502348"/>
    <w:rsid w:val="00505BBF"/>
    <w:rsid w:val="00506FCD"/>
    <w:rsid w:val="005077EE"/>
    <w:rsid w:val="00507D5C"/>
    <w:rsid w:val="00513291"/>
    <w:rsid w:val="00513D76"/>
    <w:rsid w:val="00514795"/>
    <w:rsid w:val="00514BFE"/>
    <w:rsid w:val="00514F6E"/>
    <w:rsid w:val="00515F50"/>
    <w:rsid w:val="005170B7"/>
    <w:rsid w:val="00521911"/>
    <w:rsid w:val="00522E98"/>
    <w:rsid w:val="00524EE4"/>
    <w:rsid w:val="00526155"/>
    <w:rsid w:val="005303F0"/>
    <w:rsid w:val="005325C4"/>
    <w:rsid w:val="0053503B"/>
    <w:rsid w:val="00535A47"/>
    <w:rsid w:val="005364D6"/>
    <w:rsid w:val="0053676E"/>
    <w:rsid w:val="0053760C"/>
    <w:rsid w:val="00537CB0"/>
    <w:rsid w:val="0054057F"/>
    <w:rsid w:val="00540A5B"/>
    <w:rsid w:val="00541772"/>
    <w:rsid w:val="005430AB"/>
    <w:rsid w:val="00545FE9"/>
    <w:rsid w:val="00546319"/>
    <w:rsid w:val="00550DA4"/>
    <w:rsid w:val="00551D38"/>
    <w:rsid w:val="00551F42"/>
    <w:rsid w:val="0055209A"/>
    <w:rsid w:val="0055240D"/>
    <w:rsid w:val="00557D96"/>
    <w:rsid w:val="00560CF3"/>
    <w:rsid w:val="00561F13"/>
    <w:rsid w:val="00561F79"/>
    <w:rsid w:val="005626CA"/>
    <w:rsid w:val="00570ACD"/>
    <w:rsid w:val="005713BB"/>
    <w:rsid w:val="005723EA"/>
    <w:rsid w:val="0057396D"/>
    <w:rsid w:val="005750F5"/>
    <w:rsid w:val="00575EFA"/>
    <w:rsid w:val="005775E4"/>
    <w:rsid w:val="00577E35"/>
    <w:rsid w:val="00580B3B"/>
    <w:rsid w:val="00581EE8"/>
    <w:rsid w:val="00583975"/>
    <w:rsid w:val="00583F99"/>
    <w:rsid w:val="0058569C"/>
    <w:rsid w:val="005858B2"/>
    <w:rsid w:val="005903CB"/>
    <w:rsid w:val="00591325"/>
    <w:rsid w:val="00591563"/>
    <w:rsid w:val="00595BFB"/>
    <w:rsid w:val="00595D0C"/>
    <w:rsid w:val="005A07E4"/>
    <w:rsid w:val="005A113D"/>
    <w:rsid w:val="005A2124"/>
    <w:rsid w:val="005A3283"/>
    <w:rsid w:val="005A32E4"/>
    <w:rsid w:val="005A3BB3"/>
    <w:rsid w:val="005A7BC7"/>
    <w:rsid w:val="005B3BA7"/>
    <w:rsid w:val="005B4365"/>
    <w:rsid w:val="005B7C39"/>
    <w:rsid w:val="005C2C92"/>
    <w:rsid w:val="005C3342"/>
    <w:rsid w:val="005C4E29"/>
    <w:rsid w:val="005C576B"/>
    <w:rsid w:val="005C5B58"/>
    <w:rsid w:val="005C7E68"/>
    <w:rsid w:val="005D3242"/>
    <w:rsid w:val="005E05C2"/>
    <w:rsid w:val="005E3397"/>
    <w:rsid w:val="005E3794"/>
    <w:rsid w:val="005E3E4E"/>
    <w:rsid w:val="005E5F75"/>
    <w:rsid w:val="005F204E"/>
    <w:rsid w:val="005F4CF5"/>
    <w:rsid w:val="005F52D7"/>
    <w:rsid w:val="005F6777"/>
    <w:rsid w:val="00600998"/>
    <w:rsid w:val="00600A28"/>
    <w:rsid w:val="00600FF5"/>
    <w:rsid w:val="0060170A"/>
    <w:rsid w:val="0060197D"/>
    <w:rsid w:val="00614DE6"/>
    <w:rsid w:val="006160B6"/>
    <w:rsid w:val="006162B0"/>
    <w:rsid w:val="00616959"/>
    <w:rsid w:val="00620199"/>
    <w:rsid w:val="006217E8"/>
    <w:rsid w:val="006225BE"/>
    <w:rsid w:val="00627252"/>
    <w:rsid w:val="00630E9A"/>
    <w:rsid w:val="006311D8"/>
    <w:rsid w:val="0063336C"/>
    <w:rsid w:val="006336D8"/>
    <w:rsid w:val="0063503B"/>
    <w:rsid w:val="00635BC0"/>
    <w:rsid w:val="00642F73"/>
    <w:rsid w:val="00643113"/>
    <w:rsid w:val="00643F07"/>
    <w:rsid w:val="00644AE4"/>
    <w:rsid w:val="006454F2"/>
    <w:rsid w:val="00645940"/>
    <w:rsid w:val="0065043E"/>
    <w:rsid w:val="00651AA3"/>
    <w:rsid w:val="00651FE1"/>
    <w:rsid w:val="00652281"/>
    <w:rsid w:val="00652EC7"/>
    <w:rsid w:val="0065446E"/>
    <w:rsid w:val="006544A2"/>
    <w:rsid w:val="00654D81"/>
    <w:rsid w:val="00655802"/>
    <w:rsid w:val="006562C0"/>
    <w:rsid w:val="00657C89"/>
    <w:rsid w:val="00657E11"/>
    <w:rsid w:val="006625F3"/>
    <w:rsid w:val="0066271F"/>
    <w:rsid w:val="006636E6"/>
    <w:rsid w:val="00665ACF"/>
    <w:rsid w:val="00666722"/>
    <w:rsid w:val="00667D01"/>
    <w:rsid w:val="0067276F"/>
    <w:rsid w:val="0067413C"/>
    <w:rsid w:val="00674450"/>
    <w:rsid w:val="00675CBC"/>
    <w:rsid w:val="00676A42"/>
    <w:rsid w:val="00682CE9"/>
    <w:rsid w:val="00687BC7"/>
    <w:rsid w:val="0069123F"/>
    <w:rsid w:val="006929D7"/>
    <w:rsid w:val="00692F29"/>
    <w:rsid w:val="00695744"/>
    <w:rsid w:val="00697839"/>
    <w:rsid w:val="006A1000"/>
    <w:rsid w:val="006A3837"/>
    <w:rsid w:val="006A3DB4"/>
    <w:rsid w:val="006A3F59"/>
    <w:rsid w:val="006A651F"/>
    <w:rsid w:val="006A785F"/>
    <w:rsid w:val="006B2770"/>
    <w:rsid w:val="006B7015"/>
    <w:rsid w:val="006C21DA"/>
    <w:rsid w:val="006C49CF"/>
    <w:rsid w:val="006C77C5"/>
    <w:rsid w:val="006D25BF"/>
    <w:rsid w:val="006D3E71"/>
    <w:rsid w:val="006D3ED4"/>
    <w:rsid w:val="006D50E7"/>
    <w:rsid w:val="006D6104"/>
    <w:rsid w:val="006E0DC8"/>
    <w:rsid w:val="006E1B9F"/>
    <w:rsid w:val="006E49BA"/>
    <w:rsid w:val="006F23C0"/>
    <w:rsid w:val="006F2886"/>
    <w:rsid w:val="006F2B3C"/>
    <w:rsid w:val="006F41CE"/>
    <w:rsid w:val="006F5A8B"/>
    <w:rsid w:val="007041C0"/>
    <w:rsid w:val="0070487D"/>
    <w:rsid w:val="007049EC"/>
    <w:rsid w:val="00705070"/>
    <w:rsid w:val="00711920"/>
    <w:rsid w:val="00713537"/>
    <w:rsid w:val="00713D9F"/>
    <w:rsid w:val="007143F5"/>
    <w:rsid w:val="00715701"/>
    <w:rsid w:val="007160E0"/>
    <w:rsid w:val="00717C97"/>
    <w:rsid w:val="00720BE8"/>
    <w:rsid w:val="00720F42"/>
    <w:rsid w:val="007214A3"/>
    <w:rsid w:val="007249AD"/>
    <w:rsid w:val="0072616E"/>
    <w:rsid w:val="00726D89"/>
    <w:rsid w:val="0073144B"/>
    <w:rsid w:val="0073157B"/>
    <w:rsid w:val="00740550"/>
    <w:rsid w:val="0074212F"/>
    <w:rsid w:val="0074472C"/>
    <w:rsid w:val="00751177"/>
    <w:rsid w:val="00752430"/>
    <w:rsid w:val="0075587C"/>
    <w:rsid w:val="00757ABC"/>
    <w:rsid w:val="00760639"/>
    <w:rsid w:val="0076126C"/>
    <w:rsid w:val="007621A2"/>
    <w:rsid w:val="00766FA9"/>
    <w:rsid w:val="00767F1E"/>
    <w:rsid w:val="007710DC"/>
    <w:rsid w:val="00771903"/>
    <w:rsid w:val="00773043"/>
    <w:rsid w:val="0077353B"/>
    <w:rsid w:val="007746E2"/>
    <w:rsid w:val="00774BC6"/>
    <w:rsid w:val="00781D63"/>
    <w:rsid w:val="0078390D"/>
    <w:rsid w:val="00783E41"/>
    <w:rsid w:val="00784EAA"/>
    <w:rsid w:val="00793E77"/>
    <w:rsid w:val="00795DD3"/>
    <w:rsid w:val="00796A07"/>
    <w:rsid w:val="00796B71"/>
    <w:rsid w:val="007A3396"/>
    <w:rsid w:val="007B0019"/>
    <w:rsid w:val="007B0B82"/>
    <w:rsid w:val="007B0FF5"/>
    <w:rsid w:val="007B2D5E"/>
    <w:rsid w:val="007C118F"/>
    <w:rsid w:val="007C3B41"/>
    <w:rsid w:val="007C3BF3"/>
    <w:rsid w:val="007C67B5"/>
    <w:rsid w:val="007D5BED"/>
    <w:rsid w:val="007D63FA"/>
    <w:rsid w:val="007D7651"/>
    <w:rsid w:val="007E0388"/>
    <w:rsid w:val="007E15B8"/>
    <w:rsid w:val="007E2B02"/>
    <w:rsid w:val="007E6F68"/>
    <w:rsid w:val="007F027B"/>
    <w:rsid w:val="007F6AAC"/>
    <w:rsid w:val="00800FA8"/>
    <w:rsid w:val="008035BC"/>
    <w:rsid w:val="00810256"/>
    <w:rsid w:val="008118EB"/>
    <w:rsid w:val="008167D6"/>
    <w:rsid w:val="00820D1E"/>
    <w:rsid w:val="008231F6"/>
    <w:rsid w:val="00823C33"/>
    <w:rsid w:val="008251E9"/>
    <w:rsid w:val="00825C15"/>
    <w:rsid w:val="00825CB0"/>
    <w:rsid w:val="008269A3"/>
    <w:rsid w:val="00827FE3"/>
    <w:rsid w:val="0083425A"/>
    <w:rsid w:val="00837E7F"/>
    <w:rsid w:val="0084038C"/>
    <w:rsid w:val="00841425"/>
    <w:rsid w:val="00842202"/>
    <w:rsid w:val="008446E8"/>
    <w:rsid w:val="008454A8"/>
    <w:rsid w:val="0084552A"/>
    <w:rsid w:val="00846A5A"/>
    <w:rsid w:val="0085130D"/>
    <w:rsid w:val="008519F0"/>
    <w:rsid w:val="008520BB"/>
    <w:rsid w:val="008556FF"/>
    <w:rsid w:val="0085588C"/>
    <w:rsid w:val="00860093"/>
    <w:rsid w:val="0086479A"/>
    <w:rsid w:val="008667B8"/>
    <w:rsid w:val="00870A35"/>
    <w:rsid w:val="008712B4"/>
    <w:rsid w:val="00872D51"/>
    <w:rsid w:val="00874B27"/>
    <w:rsid w:val="00876E29"/>
    <w:rsid w:val="008811E9"/>
    <w:rsid w:val="008818B6"/>
    <w:rsid w:val="00881A84"/>
    <w:rsid w:val="008835B8"/>
    <w:rsid w:val="0088428B"/>
    <w:rsid w:val="00886EEE"/>
    <w:rsid w:val="0089020B"/>
    <w:rsid w:val="00890DC0"/>
    <w:rsid w:val="00892B57"/>
    <w:rsid w:val="00893BFD"/>
    <w:rsid w:val="008943AE"/>
    <w:rsid w:val="008962BF"/>
    <w:rsid w:val="008A0282"/>
    <w:rsid w:val="008A0FC9"/>
    <w:rsid w:val="008A1289"/>
    <w:rsid w:val="008A5F6E"/>
    <w:rsid w:val="008A63AB"/>
    <w:rsid w:val="008A702A"/>
    <w:rsid w:val="008B3247"/>
    <w:rsid w:val="008B4F3A"/>
    <w:rsid w:val="008B5768"/>
    <w:rsid w:val="008C0C12"/>
    <w:rsid w:val="008C1E16"/>
    <w:rsid w:val="008C3F73"/>
    <w:rsid w:val="008C5AC1"/>
    <w:rsid w:val="008C5E42"/>
    <w:rsid w:val="008C7F82"/>
    <w:rsid w:val="008D3161"/>
    <w:rsid w:val="008D491C"/>
    <w:rsid w:val="008D52D5"/>
    <w:rsid w:val="008D6784"/>
    <w:rsid w:val="008D7540"/>
    <w:rsid w:val="008E1644"/>
    <w:rsid w:val="008E1E7F"/>
    <w:rsid w:val="008E29A9"/>
    <w:rsid w:val="008E6D1A"/>
    <w:rsid w:val="008F53BB"/>
    <w:rsid w:val="008F677D"/>
    <w:rsid w:val="00900F2C"/>
    <w:rsid w:val="00901BD0"/>
    <w:rsid w:val="00902020"/>
    <w:rsid w:val="00902094"/>
    <w:rsid w:val="0090311F"/>
    <w:rsid w:val="00905614"/>
    <w:rsid w:val="009058D0"/>
    <w:rsid w:val="0090700B"/>
    <w:rsid w:val="00907952"/>
    <w:rsid w:val="009103BE"/>
    <w:rsid w:val="00912096"/>
    <w:rsid w:val="009128EA"/>
    <w:rsid w:val="0091298D"/>
    <w:rsid w:val="00912BE5"/>
    <w:rsid w:val="00914ED1"/>
    <w:rsid w:val="009150F7"/>
    <w:rsid w:val="009156F6"/>
    <w:rsid w:val="009227B0"/>
    <w:rsid w:val="009266D9"/>
    <w:rsid w:val="00926A4E"/>
    <w:rsid w:val="00936904"/>
    <w:rsid w:val="00940D1E"/>
    <w:rsid w:val="00941529"/>
    <w:rsid w:val="00941A74"/>
    <w:rsid w:val="009421E4"/>
    <w:rsid w:val="00942F07"/>
    <w:rsid w:val="009448D5"/>
    <w:rsid w:val="009518FE"/>
    <w:rsid w:val="00953635"/>
    <w:rsid w:val="00966766"/>
    <w:rsid w:val="00967480"/>
    <w:rsid w:val="00967CF2"/>
    <w:rsid w:val="009702E6"/>
    <w:rsid w:val="009718DA"/>
    <w:rsid w:val="009720E6"/>
    <w:rsid w:val="009738AF"/>
    <w:rsid w:val="00974378"/>
    <w:rsid w:val="00975C8E"/>
    <w:rsid w:val="0097620D"/>
    <w:rsid w:val="00977308"/>
    <w:rsid w:val="00984564"/>
    <w:rsid w:val="00990B3A"/>
    <w:rsid w:val="009930A2"/>
    <w:rsid w:val="009933BF"/>
    <w:rsid w:val="0099369A"/>
    <w:rsid w:val="00994669"/>
    <w:rsid w:val="00994B24"/>
    <w:rsid w:val="009955E3"/>
    <w:rsid w:val="009A0F17"/>
    <w:rsid w:val="009A1416"/>
    <w:rsid w:val="009A1A52"/>
    <w:rsid w:val="009A20CB"/>
    <w:rsid w:val="009A6C6E"/>
    <w:rsid w:val="009A7092"/>
    <w:rsid w:val="009B0C90"/>
    <w:rsid w:val="009B122C"/>
    <w:rsid w:val="009B1401"/>
    <w:rsid w:val="009B22B8"/>
    <w:rsid w:val="009B37B3"/>
    <w:rsid w:val="009B4055"/>
    <w:rsid w:val="009B47B0"/>
    <w:rsid w:val="009B4F72"/>
    <w:rsid w:val="009B5F3B"/>
    <w:rsid w:val="009C075E"/>
    <w:rsid w:val="009C2958"/>
    <w:rsid w:val="009C29AE"/>
    <w:rsid w:val="009C31E1"/>
    <w:rsid w:val="009C3514"/>
    <w:rsid w:val="009C545B"/>
    <w:rsid w:val="009C7C84"/>
    <w:rsid w:val="009D2ABF"/>
    <w:rsid w:val="009D2AEA"/>
    <w:rsid w:val="009D2C26"/>
    <w:rsid w:val="009D3E49"/>
    <w:rsid w:val="009D563D"/>
    <w:rsid w:val="009D6492"/>
    <w:rsid w:val="009D66CA"/>
    <w:rsid w:val="009D7A4E"/>
    <w:rsid w:val="009E11E1"/>
    <w:rsid w:val="009E2C8F"/>
    <w:rsid w:val="009E4B30"/>
    <w:rsid w:val="009E4BD7"/>
    <w:rsid w:val="009E57DC"/>
    <w:rsid w:val="009E6C8A"/>
    <w:rsid w:val="009F15F0"/>
    <w:rsid w:val="009F2134"/>
    <w:rsid w:val="009F2660"/>
    <w:rsid w:val="00A04AF6"/>
    <w:rsid w:val="00A11638"/>
    <w:rsid w:val="00A12862"/>
    <w:rsid w:val="00A16051"/>
    <w:rsid w:val="00A20660"/>
    <w:rsid w:val="00A22D91"/>
    <w:rsid w:val="00A23468"/>
    <w:rsid w:val="00A24154"/>
    <w:rsid w:val="00A258E6"/>
    <w:rsid w:val="00A27391"/>
    <w:rsid w:val="00A27CC5"/>
    <w:rsid w:val="00A334DC"/>
    <w:rsid w:val="00A33895"/>
    <w:rsid w:val="00A3407F"/>
    <w:rsid w:val="00A34EC9"/>
    <w:rsid w:val="00A35E36"/>
    <w:rsid w:val="00A367C7"/>
    <w:rsid w:val="00A36C57"/>
    <w:rsid w:val="00A434AB"/>
    <w:rsid w:val="00A445FF"/>
    <w:rsid w:val="00A447CA"/>
    <w:rsid w:val="00A4526C"/>
    <w:rsid w:val="00A46C22"/>
    <w:rsid w:val="00A51A08"/>
    <w:rsid w:val="00A54E93"/>
    <w:rsid w:val="00A56369"/>
    <w:rsid w:val="00A570A7"/>
    <w:rsid w:val="00A6419D"/>
    <w:rsid w:val="00A64481"/>
    <w:rsid w:val="00A74917"/>
    <w:rsid w:val="00A75BAC"/>
    <w:rsid w:val="00A76225"/>
    <w:rsid w:val="00A777F6"/>
    <w:rsid w:val="00A779A5"/>
    <w:rsid w:val="00A80969"/>
    <w:rsid w:val="00A83EA5"/>
    <w:rsid w:val="00A86B3C"/>
    <w:rsid w:val="00A86EDA"/>
    <w:rsid w:val="00A8704B"/>
    <w:rsid w:val="00A90E65"/>
    <w:rsid w:val="00A91642"/>
    <w:rsid w:val="00A923B6"/>
    <w:rsid w:val="00A94818"/>
    <w:rsid w:val="00A970EC"/>
    <w:rsid w:val="00AA15BF"/>
    <w:rsid w:val="00AA1803"/>
    <w:rsid w:val="00AA3294"/>
    <w:rsid w:val="00AA3975"/>
    <w:rsid w:val="00AA412B"/>
    <w:rsid w:val="00AA43CE"/>
    <w:rsid w:val="00AA642E"/>
    <w:rsid w:val="00AA794E"/>
    <w:rsid w:val="00AA7CCF"/>
    <w:rsid w:val="00AB003B"/>
    <w:rsid w:val="00AB28E3"/>
    <w:rsid w:val="00AB62A4"/>
    <w:rsid w:val="00AC0D99"/>
    <w:rsid w:val="00AC35AE"/>
    <w:rsid w:val="00AC488A"/>
    <w:rsid w:val="00AC49D5"/>
    <w:rsid w:val="00AC4F58"/>
    <w:rsid w:val="00AC56DE"/>
    <w:rsid w:val="00AC6064"/>
    <w:rsid w:val="00AC63CD"/>
    <w:rsid w:val="00AD02DE"/>
    <w:rsid w:val="00AD29D8"/>
    <w:rsid w:val="00AD5FBB"/>
    <w:rsid w:val="00AD61EE"/>
    <w:rsid w:val="00AD7645"/>
    <w:rsid w:val="00AD7989"/>
    <w:rsid w:val="00AE12FA"/>
    <w:rsid w:val="00AE153D"/>
    <w:rsid w:val="00AF1A37"/>
    <w:rsid w:val="00AF1FC6"/>
    <w:rsid w:val="00AF28AC"/>
    <w:rsid w:val="00AF319F"/>
    <w:rsid w:val="00AF4A48"/>
    <w:rsid w:val="00AF4CB9"/>
    <w:rsid w:val="00AF591B"/>
    <w:rsid w:val="00AF6038"/>
    <w:rsid w:val="00AF76AB"/>
    <w:rsid w:val="00B0128E"/>
    <w:rsid w:val="00B063C6"/>
    <w:rsid w:val="00B149DD"/>
    <w:rsid w:val="00B14D32"/>
    <w:rsid w:val="00B14FCC"/>
    <w:rsid w:val="00B151DE"/>
    <w:rsid w:val="00B16806"/>
    <w:rsid w:val="00B22886"/>
    <w:rsid w:val="00B246D1"/>
    <w:rsid w:val="00B24DA0"/>
    <w:rsid w:val="00B26159"/>
    <w:rsid w:val="00B3149D"/>
    <w:rsid w:val="00B3623A"/>
    <w:rsid w:val="00B421FC"/>
    <w:rsid w:val="00B439A8"/>
    <w:rsid w:val="00B44C03"/>
    <w:rsid w:val="00B50819"/>
    <w:rsid w:val="00B51F7F"/>
    <w:rsid w:val="00B546E7"/>
    <w:rsid w:val="00B55856"/>
    <w:rsid w:val="00B5706C"/>
    <w:rsid w:val="00B63C28"/>
    <w:rsid w:val="00B67B81"/>
    <w:rsid w:val="00B708DA"/>
    <w:rsid w:val="00B71DEE"/>
    <w:rsid w:val="00B74684"/>
    <w:rsid w:val="00B76385"/>
    <w:rsid w:val="00B778AC"/>
    <w:rsid w:val="00B8029A"/>
    <w:rsid w:val="00B82260"/>
    <w:rsid w:val="00B82EED"/>
    <w:rsid w:val="00B87C78"/>
    <w:rsid w:val="00B914BC"/>
    <w:rsid w:val="00B92236"/>
    <w:rsid w:val="00B96647"/>
    <w:rsid w:val="00BA49F2"/>
    <w:rsid w:val="00BA55FC"/>
    <w:rsid w:val="00BA6EB8"/>
    <w:rsid w:val="00BB1ADD"/>
    <w:rsid w:val="00BB411F"/>
    <w:rsid w:val="00BB5C84"/>
    <w:rsid w:val="00BB68D5"/>
    <w:rsid w:val="00BB70E0"/>
    <w:rsid w:val="00BB75C2"/>
    <w:rsid w:val="00BC17AE"/>
    <w:rsid w:val="00BC1A92"/>
    <w:rsid w:val="00BC64BF"/>
    <w:rsid w:val="00BC651D"/>
    <w:rsid w:val="00BC6920"/>
    <w:rsid w:val="00BC712B"/>
    <w:rsid w:val="00BD29D0"/>
    <w:rsid w:val="00BD7720"/>
    <w:rsid w:val="00BD7780"/>
    <w:rsid w:val="00BE1ACB"/>
    <w:rsid w:val="00BE24FC"/>
    <w:rsid w:val="00BE77AE"/>
    <w:rsid w:val="00BF140C"/>
    <w:rsid w:val="00BF289F"/>
    <w:rsid w:val="00BF2BBF"/>
    <w:rsid w:val="00BF377A"/>
    <w:rsid w:val="00BF68DF"/>
    <w:rsid w:val="00BF6A91"/>
    <w:rsid w:val="00C00DE5"/>
    <w:rsid w:val="00C01374"/>
    <w:rsid w:val="00C01DD0"/>
    <w:rsid w:val="00C03B67"/>
    <w:rsid w:val="00C07CC1"/>
    <w:rsid w:val="00C10E51"/>
    <w:rsid w:val="00C16189"/>
    <w:rsid w:val="00C163EE"/>
    <w:rsid w:val="00C17BAC"/>
    <w:rsid w:val="00C200A4"/>
    <w:rsid w:val="00C20CC7"/>
    <w:rsid w:val="00C21674"/>
    <w:rsid w:val="00C2228E"/>
    <w:rsid w:val="00C228F4"/>
    <w:rsid w:val="00C23022"/>
    <w:rsid w:val="00C26F58"/>
    <w:rsid w:val="00C30F12"/>
    <w:rsid w:val="00C312A0"/>
    <w:rsid w:val="00C34416"/>
    <w:rsid w:val="00C40442"/>
    <w:rsid w:val="00C404B6"/>
    <w:rsid w:val="00C41AE1"/>
    <w:rsid w:val="00C41F1A"/>
    <w:rsid w:val="00C43A19"/>
    <w:rsid w:val="00C44D6C"/>
    <w:rsid w:val="00C463E5"/>
    <w:rsid w:val="00C46524"/>
    <w:rsid w:val="00C479C6"/>
    <w:rsid w:val="00C47A9A"/>
    <w:rsid w:val="00C47BB1"/>
    <w:rsid w:val="00C50D45"/>
    <w:rsid w:val="00C50FA1"/>
    <w:rsid w:val="00C51EF1"/>
    <w:rsid w:val="00C53AA2"/>
    <w:rsid w:val="00C5681C"/>
    <w:rsid w:val="00C61E35"/>
    <w:rsid w:val="00C624C0"/>
    <w:rsid w:val="00C64CFA"/>
    <w:rsid w:val="00C669F3"/>
    <w:rsid w:val="00C713E2"/>
    <w:rsid w:val="00C73136"/>
    <w:rsid w:val="00C753CA"/>
    <w:rsid w:val="00C75FD0"/>
    <w:rsid w:val="00C7650D"/>
    <w:rsid w:val="00C80935"/>
    <w:rsid w:val="00C80D37"/>
    <w:rsid w:val="00C80E63"/>
    <w:rsid w:val="00C83AFE"/>
    <w:rsid w:val="00C840CE"/>
    <w:rsid w:val="00C8508B"/>
    <w:rsid w:val="00C85354"/>
    <w:rsid w:val="00C879C7"/>
    <w:rsid w:val="00C916E1"/>
    <w:rsid w:val="00C92941"/>
    <w:rsid w:val="00C929C0"/>
    <w:rsid w:val="00C92F64"/>
    <w:rsid w:val="00C93296"/>
    <w:rsid w:val="00C93A13"/>
    <w:rsid w:val="00C96899"/>
    <w:rsid w:val="00C97409"/>
    <w:rsid w:val="00C97858"/>
    <w:rsid w:val="00CA1A05"/>
    <w:rsid w:val="00CA30EC"/>
    <w:rsid w:val="00CA3D0D"/>
    <w:rsid w:val="00CA4D47"/>
    <w:rsid w:val="00CA5909"/>
    <w:rsid w:val="00CA5926"/>
    <w:rsid w:val="00CB31C9"/>
    <w:rsid w:val="00CB54EB"/>
    <w:rsid w:val="00CB5553"/>
    <w:rsid w:val="00CB5B82"/>
    <w:rsid w:val="00CB61EE"/>
    <w:rsid w:val="00CB6599"/>
    <w:rsid w:val="00CD23E5"/>
    <w:rsid w:val="00CD29E3"/>
    <w:rsid w:val="00CD3666"/>
    <w:rsid w:val="00CD445F"/>
    <w:rsid w:val="00CD4E13"/>
    <w:rsid w:val="00CD648C"/>
    <w:rsid w:val="00CE1098"/>
    <w:rsid w:val="00CE142C"/>
    <w:rsid w:val="00CE197D"/>
    <w:rsid w:val="00CE24C7"/>
    <w:rsid w:val="00CE5118"/>
    <w:rsid w:val="00CE7275"/>
    <w:rsid w:val="00CE7E3E"/>
    <w:rsid w:val="00CF0759"/>
    <w:rsid w:val="00CF275A"/>
    <w:rsid w:val="00CF4E3F"/>
    <w:rsid w:val="00CF50F3"/>
    <w:rsid w:val="00CF75A0"/>
    <w:rsid w:val="00D0197F"/>
    <w:rsid w:val="00D019FB"/>
    <w:rsid w:val="00D0392E"/>
    <w:rsid w:val="00D05388"/>
    <w:rsid w:val="00D064C2"/>
    <w:rsid w:val="00D10EFE"/>
    <w:rsid w:val="00D11139"/>
    <w:rsid w:val="00D14320"/>
    <w:rsid w:val="00D1469A"/>
    <w:rsid w:val="00D20F9A"/>
    <w:rsid w:val="00D212B9"/>
    <w:rsid w:val="00D22EC9"/>
    <w:rsid w:val="00D24B46"/>
    <w:rsid w:val="00D261DD"/>
    <w:rsid w:val="00D273C3"/>
    <w:rsid w:val="00D30A41"/>
    <w:rsid w:val="00D31207"/>
    <w:rsid w:val="00D40543"/>
    <w:rsid w:val="00D412EE"/>
    <w:rsid w:val="00D423E0"/>
    <w:rsid w:val="00D43D8A"/>
    <w:rsid w:val="00D46817"/>
    <w:rsid w:val="00D53C7B"/>
    <w:rsid w:val="00D53FCE"/>
    <w:rsid w:val="00D55C06"/>
    <w:rsid w:val="00D5680B"/>
    <w:rsid w:val="00D613A8"/>
    <w:rsid w:val="00D62A46"/>
    <w:rsid w:val="00D66E6D"/>
    <w:rsid w:val="00D74F85"/>
    <w:rsid w:val="00D80571"/>
    <w:rsid w:val="00D81F77"/>
    <w:rsid w:val="00D8366B"/>
    <w:rsid w:val="00D8505D"/>
    <w:rsid w:val="00D86B49"/>
    <w:rsid w:val="00D870B5"/>
    <w:rsid w:val="00D87BB7"/>
    <w:rsid w:val="00D90ADD"/>
    <w:rsid w:val="00D9301A"/>
    <w:rsid w:val="00D93899"/>
    <w:rsid w:val="00D93E9D"/>
    <w:rsid w:val="00DA128A"/>
    <w:rsid w:val="00DA1BC8"/>
    <w:rsid w:val="00DA39F9"/>
    <w:rsid w:val="00DA51DE"/>
    <w:rsid w:val="00DA5267"/>
    <w:rsid w:val="00DA6268"/>
    <w:rsid w:val="00DB3AE0"/>
    <w:rsid w:val="00DC214E"/>
    <w:rsid w:val="00DC30C9"/>
    <w:rsid w:val="00DC446E"/>
    <w:rsid w:val="00DD1335"/>
    <w:rsid w:val="00DD1516"/>
    <w:rsid w:val="00DD653B"/>
    <w:rsid w:val="00DD7171"/>
    <w:rsid w:val="00DE2ECC"/>
    <w:rsid w:val="00DE2F07"/>
    <w:rsid w:val="00DE3485"/>
    <w:rsid w:val="00DE39EB"/>
    <w:rsid w:val="00DE62A1"/>
    <w:rsid w:val="00DF376B"/>
    <w:rsid w:val="00DF4291"/>
    <w:rsid w:val="00E01ECB"/>
    <w:rsid w:val="00E01F33"/>
    <w:rsid w:val="00E03186"/>
    <w:rsid w:val="00E0334D"/>
    <w:rsid w:val="00E0441B"/>
    <w:rsid w:val="00E105B6"/>
    <w:rsid w:val="00E10834"/>
    <w:rsid w:val="00E12870"/>
    <w:rsid w:val="00E137E7"/>
    <w:rsid w:val="00E147DF"/>
    <w:rsid w:val="00E213D2"/>
    <w:rsid w:val="00E21624"/>
    <w:rsid w:val="00E26280"/>
    <w:rsid w:val="00E26A71"/>
    <w:rsid w:val="00E27322"/>
    <w:rsid w:val="00E300E3"/>
    <w:rsid w:val="00E3445A"/>
    <w:rsid w:val="00E37625"/>
    <w:rsid w:val="00E401BC"/>
    <w:rsid w:val="00E41481"/>
    <w:rsid w:val="00E41ED7"/>
    <w:rsid w:val="00E43F00"/>
    <w:rsid w:val="00E449CB"/>
    <w:rsid w:val="00E45440"/>
    <w:rsid w:val="00E472ED"/>
    <w:rsid w:val="00E50E3F"/>
    <w:rsid w:val="00E51D04"/>
    <w:rsid w:val="00E52BC2"/>
    <w:rsid w:val="00E555E8"/>
    <w:rsid w:val="00E56B6B"/>
    <w:rsid w:val="00E5766E"/>
    <w:rsid w:val="00E6436E"/>
    <w:rsid w:val="00E679E1"/>
    <w:rsid w:val="00E71431"/>
    <w:rsid w:val="00E73975"/>
    <w:rsid w:val="00E744F5"/>
    <w:rsid w:val="00E74BC4"/>
    <w:rsid w:val="00E75B32"/>
    <w:rsid w:val="00E80BC2"/>
    <w:rsid w:val="00E81A2E"/>
    <w:rsid w:val="00E81E45"/>
    <w:rsid w:val="00E823B6"/>
    <w:rsid w:val="00E833F3"/>
    <w:rsid w:val="00E84A15"/>
    <w:rsid w:val="00E8626C"/>
    <w:rsid w:val="00E91BC2"/>
    <w:rsid w:val="00E92BC2"/>
    <w:rsid w:val="00E94BDF"/>
    <w:rsid w:val="00E95DBB"/>
    <w:rsid w:val="00E97FB9"/>
    <w:rsid w:val="00EA0426"/>
    <w:rsid w:val="00EA1E8C"/>
    <w:rsid w:val="00EA26F8"/>
    <w:rsid w:val="00EB59A9"/>
    <w:rsid w:val="00EB6AD3"/>
    <w:rsid w:val="00EC4918"/>
    <w:rsid w:val="00ED0417"/>
    <w:rsid w:val="00ED28F3"/>
    <w:rsid w:val="00ED60C6"/>
    <w:rsid w:val="00ED61AF"/>
    <w:rsid w:val="00ED761A"/>
    <w:rsid w:val="00ED7B03"/>
    <w:rsid w:val="00EE20D9"/>
    <w:rsid w:val="00EE286B"/>
    <w:rsid w:val="00EE2FC0"/>
    <w:rsid w:val="00EE5709"/>
    <w:rsid w:val="00EE57A3"/>
    <w:rsid w:val="00EE5E33"/>
    <w:rsid w:val="00EE68A5"/>
    <w:rsid w:val="00EF0BA7"/>
    <w:rsid w:val="00EF10D5"/>
    <w:rsid w:val="00EF2934"/>
    <w:rsid w:val="00EF2A03"/>
    <w:rsid w:val="00EF7B7F"/>
    <w:rsid w:val="00EF7C67"/>
    <w:rsid w:val="00F00BF6"/>
    <w:rsid w:val="00F00D8E"/>
    <w:rsid w:val="00F00F74"/>
    <w:rsid w:val="00F0102E"/>
    <w:rsid w:val="00F01BAC"/>
    <w:rsid w:val="00F0551F"/>
    <w:rsid w:val="00F105EA"/>
    <w:rsid w:val="00F1098E"/>
    <w:rsid w:val="00F15A6F"/>
    <w:rsid w:val="00F17966"/>
    <w:rsid w:val="00F17FF4"/>
    <w:rsid w:val="00F21846"/>
    <w:rsid w:val="00F21AB1"/>
    <w:rsid w:val="00F22612"/>
    <w:rsid w:val="00F235B8"/>
    <w:rsid w:val="00F23AAC"/>
    <w:rsid w:val="00F25848"/>
    <w:rsid w:val="00F34860"/>
    <w:rsid w:val="00F37CF8"/>
    <w:rsid w:val="00F43A71"/>
    <w:rsid w:val="00F47552"/>
    <w:rsid w:val="00F478F7"/>
    <w:rsid w:val="00F51B70"/>
    <w:rsid w:val="00F55164"/>
    <w:rsid w:val="00F56EA3"/>
    <w:rsid w:val="00F573D5"/>
    <w:rsid w:val="00F57D6E"/>
    <w:rsid w:val="00F632E0"/>
    <w:rsid w:val="00F70BF0"/>
    <w:rsid w:val="00F712D9"/>
    <w:rsid w:val="00F7148C"/>
    <w:rsid w:val="00F75118"/>
    <w:rsid w:val="00F75348"/>
    <w:rsid w:val="00F7600C"/>
    <w:rsid w:val="00F77D0F"/>
    <w:rsid w:val="00F80E65"/>
    <w:rsid w:val="00F823ED"/>
    <w:rsid w:val="00F82481"/>
    <w:rsid w:val="00F83234"/>
    <w:rsid w:val="00F91046"/>
    <w:rsid w:val="00F93121"/>
    <w:rsid w:val="00F94F0D"/>
    <w:rsid w:val="00F954BE"/>
    <w:rsid w:val="00F97B58"/>
    <w:rsid w:val="00FA0461"/>
    <w:rsid w:val="00FA0C36"/>
    <w:rsid w:val="00FA1587"/>
    <w:rsid w:val="00FA176C"/>
    <w:rsid w:val="00FA6008"/>
    <w:rsid w:val="00FA67FF"/>
    <w:rsid w:val="00FA751D"/>
    <w:rsid w:val="00FA7DFB"/>
    <w:rsid w:val="00FB2747"/>
    <w:rsid w:val="00FB31AD"/>
    <w:rsid w:val="00FB540A"/>
    <w:rsid w:val="00FB7659"/>
    <w:rsid w:val="00FC1444"/>
    <w:rsid w:val="00FC3105"/>
    <w:rsid w:val="00FC4779"/>
    <w:rsid w:val="00FC7700"/>
    <w:rsid w:val="00FD02FA"/>
    <w:rsid w:val="00FD0F3F"/>
    <w:rsid w:val="00FD12F6"/>
    <w:rsid w:val="00FD1399"/>
    <w:rsid w:val="00FD28DD"/>
    <w:rsid w:val="00FD31BC"/>
    <w:rsid w:val="00FD7CB7"/>
    <w:rsid w:val="00FE0520"/>
    <w:rsid w:val="00FE0900"/>
    <w:rsid w:val="00FE1FCC"/>
    <w:rsid w:val="00FE26FD"/>
    <w:rsid w:val="00FE2793"/>
    <w:rsid w:val="00FE3F56"/>
    <w:rsid w:val="00FE5530"/>
    <w:rsid w:val="00FE72FF"/>
    <w:rsid w:val="00FF3A80"/>
    <w:rsid w:val="00FF4106"/>
    <w:rsid w:val="00FF5382"/>
    <w:rsid w:val="00FF6D25"/>
    <w:rsid w:val="00FF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1288B6A"/>
  <w15:docId w15:val="{7BE96680-5E69-7D45-B0B9-921832D9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F07"/>
    <w:rPr>
      <w:rFonts w:ascii="Times New Roman" w:hAnsi="Times New Roman"/>
    </w:rPr>
  </w:style>
  <w:style w:type="paragraph" w:styleId="Heading1">
    <w:name w:val="heading 1"/>
    <w:basedOn w:val="Normal"/>
    <w:next w:val="BodyText"/>
    <w:link w:val="Heading1Char"/>
    <w:qFormat/>
    <w:rsid w:val="0085588C"/>
    <w:pPr>
      <w:keepNext/>
      <w:keepLines/>
      <w:numPr>
        <w:numId w:val="1"/>
      </w:numPr>
      <w:spacing w:before="480" w:after="180"/>
      <w:outlineLvl w:val="0"/>
    </w:pPr>
    <w:rPr>
      <w:rFonts w:ascii="Arial" w:eastAsiaTheme="majorEastAsia" w:hAnsi="Arial" w:cstheme="majorBidi"/>
      <w:b/>
      <w:bCs/>
      <w:caps/>
      <w:color w:val="000000" w:themeColor="text1"/>
      <w:sz w:val="28"/>
      <w:szCs w:val="28"/>
    </w:rPr>
  </w:style>
  <w:style w:type="paragraph" w:styleId="Heading2">
    <w:name w:val="heading 2"/>
    <w:basedOn w:val="Heading1"/>
    <w:next w:val="BodyText"/>
    <w:link w:val="Heading2Char"/>
    <w:unhideWhenUsed/>
    <w:qFormat/>
    <w:rsid w:val="0083425A"/>
    <w:pPr>
      <w:numPr>
        <w:ilvl w:val="1"/>
      </w:numPr>
      <w:spacing w:before="200"/>
      <w:outlineLvl w:val="1"/>
    </w:pPr>
    <w:rPr>
      <w:caps w:val="0"/>
      <w:sz w:val="26"/>
      <w:szCs w:val="26"/>
    </w:rPr>
  </w:style>
  <w:style w:type="paragraph" w:styleId="Heading3">
    <w:name w:val="heading 3"/>
    <w:basedOn w:val="Heading2"/>
    <w:next w:val="BodyText"/>
    <w:link w:val="Heading3Char"/>
    <w:unhideWhenUsed/>
    <w:qFormat/>
    <w:rsid w:val="00C200A4"/>
    <w:pPr>
      <w:numPr>
        <w:ilvl w:val="2"/>
      </w:numPr>
      <w:outlineLvl w:val="2"/>
    </w:pPr>
    <w:rPr>
      <w:bCs w:val="0"/>
      <w:sz w:val="24"/>
    </w:rPr>
  </w:style>
  <w:style w:type="paragraph" w:styleId="Heading4">
    <w:name w:val="heading 4"/>
    <w:basedOn w:val="Heading3"/>
    <w:next w:val="Normal"/>
    <w:link w:val="Heading4Char"/>
    <w:unhideWhenUsed/>
    <w:qFormat/>
    <w:rsid w:val="00C73136"/>
    <w:pPr>
      <w:numPr>
        <w:ilvl w:val="3"/>
      </w:numPr>
      <w:outlineLvl w:val="3"/>
    </w:pPr>
    <w:rPr>
      <w:bCs/>
      <w:iCs/>
    </w:rPr>
  </w:style>
  <w:style w:type="paragraph" w:styleId="Heading5">
    <w:name w:val="heading 5"/>
    <w:basedOn w:val="Normal"/>
    <w:next w:val="Normal"/>
    <w:link w:val="Heading5Char"/>
    <w:unhideWhenUsed/>
    <w:qFormat/>
    <w:rsid w:val="00942F07"/>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nhideWhenUsed/>
    <w:qFormat/>
    <w:rsid w:val="00942F07"/>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nhideWhenUsed/>
    <w:qFormat/>
    <w:rsid w:val="00942F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42F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942F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1F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1F79"/>
    <w:rPr>
      <w:rFonts w:ascii="Lucida Grande" w:hAnsi="Lucida Grande" w:cs="Lucida Grande"/>
      <w:sz w:val="18"/>
      <w:szCs w:val="18"/>
    </w:rPr>
  </w:style>
  <w:style w:type="character" w:styleId="IntenseEmphasis">
    <w:name w:val="Intense Emphasis"/>
    <w:basedOn w:val="DefaultParagraphFont"/>
    <w:uiPriority w:val="21"/>
    <w:qFormat/>
    <w:rsid w:val="00C73136"/>
    <w:rPr>
      <w:b/>
      <w:bCs/>
      <w:i/>
      <w:iCs/>
      <w:color w:val="4472C4" w:themeColor="accent1"/>
    </w:rPr>
  </w:style>
  <w:style w:type="paragraph" w:styleId="BodyText">
    <w:name w:val="Body Text"/>
    <w:basedOn w:val="Normal"/>
    <w:link w:val="BodyTextChar"/>
    <w:unhideWhenUsed/>
    <w:rsid w:val="0085588C"/>
    <w:pPr>
      <w:ind w:firstLine="504"/>
    </w:pPr>
  </w:style>
  <w:style w:type="character" w:customStyle="1" w:styleId="BodyTextChar">
    <w:name w:val="Body Text Char"/>
    <w:basedOn w:val="DefaultParagraphFont"/>
    <w:link w:val="BodyText"/>
    <w:rsid w:val="0085588C"/>
    <w:rPr>
      <w:rFonts w:ascii="Times New Roman" w:hAnsi="Times New Roman"/>
    </w:rPr>
  </w:style>
  <w:style w:type="character" w:customStyle="1" w:styleId="Heading1Char">
    <w:name w:val="Heading 1 Char"/>
    <w:basedOn w:val="DefaultParagraphFont"/>
    <w:link w:val="Heading1"/>
    <w:rsid w:val="0085588C"/>
    <w:rPr>
      <w:rFonts w:ascii="Arial" w:eastAsiaTheme="majorEastAsia" w:hAnsi="Arial" w:cstheme="majorBidi"/>
      <w:b/>
      <w:bCs/>
      <w:caps/>
      <w:color w:val="000000" w:themeColor="text1"/>
      <w:sz w:val="28"/>
      <w:szCs w:val="28"/>
    </w:rPr>
  </w:style>
  <w:style w:type="character" w:customStyle="1" w:styleId="Heading2Char">
    <w:name w:val="Heading 2 Char"/>
    <w:basedOn w:val="DefaultParagraphFont"/>
    <w:link w:val="Heading2"/>
    <w:uiPriority w:val="9"/>
    <w:rsid w:val="0083425A"/>
    <w:rPr>
      <w:rFonts w:ascii="Arial" w:eastAsiaTheme="majorEastAsia" w:hAnsi="Arial" w:cstheme="majorBidi"/>
      <w:b/>
      <w:bCs/>
      <w:color w:val="000000" w:themeColor="text1"/>
      <w:sz w:val="26"/>
      <w:szCs w:val="26"/>
    </w:rPr>
  </w:style>
  <w:style w:type="character" w:customStyle="1" w:styleId="Heading3Char">
    <w:name w:val="Heading 3 Char"/>
    <w:basedOn w:val="DefaultParagraphFont"/>
    <w:link w:val="Heading3"/>
    <w:uiPriority w:val="9"/>
    <w:rsid w:val="00C200A4"/>
    <w:rPr>
      <w:rFonts w:ascii="Arial" w:eastAsiaTheme="majorEastAsia" w:hAnsi="Arial" w:cstheme="majorBidi"/>
      <w:b/>
      <w:bCs/>
      <w:color w:val="000000" w:themeColor="text1"/>
      <w:szCs w:val="26"/>
    </w:rPr>
  </w:style>
  <w:style w:type="character" w:customStyle="1" w:styleId="Heading4Char">
    <w:name w:val="Heading 4 Char"/>
    <w:basedOn w:val="DefaultParagraphFont"/>
    <w:link w:val="Heading4"/>
    <w:rsid w:val="00C200A4"/>
    <w:rPr>
      <w:rFonts w:ascii="Arial" w:eastAsiaTheme="majorEastAsia" w:hAnsi="Arial" w:cstheme="majorBidi"/>
      <w:b/>
      <w:bCs/>
      <w:iCs/>
      <w:color w:val="000000" w:themeColor="text1"/>
      <w:szCs w:val="32"/>
    </w:rPr>
  </w:style>
  <w:style w:type="character" w:customStyle="1" w:styleId="Heading5Char">
    <w:name w:val="Heading 5 Char"/>
    <w:basedOn w:val="DefaultParagraphFont"/>
    <w:link w:val="Heading5"/>
    <w:uiPriority w:val="9"/>
    <w:semiHidden/>
    <w:rsid w:val="00942F07"/>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42F0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42F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42F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42F07"/>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702E6"/>
    <w:pPr>
      <w:tabs>
        <w:tab w:val="left" w:pos="380"/>
      </w:tabs>
      <w:ind w:left="720" w:hanging="720"/>
    </w:pPr>
  </w:style>
  <w:style w:type="paragraph" w:styleId="Header">
    <w:name w:val="header"/>
    <w:basedOn w:val="Normal"/>
    <w:link w:val="HeaderChar"/>
    <w:uiPriority w:val="99"/>
    <w:unhideWhenUsed/>
    <w:rsid w:val="00E8626C"/>
    <w:pPr>
      <w:tabs>
        <w:tab w:val="center" w:pos="4320"/>
        <w:tab w:val="right" w:pos="8640"/>
      </w:tabs>
    </w:pPr>
  </w:style>
  <w:style w:type="character" w:customStyle="1" w:styleId="HeaderChar">
    <w:name w:val="Header Char"/>
    <w:basedOn w:val="DefaultParagraphFont"/>
    <w:link w:val="Header"/>
    <w:uiPriority w:val="99"/>
    <w:rsid w:val="00E8626C"/>
    <w:rPr>
      <w:rFonts w:ascii="Times New Roman" w:hAnsi="Times New Roman"/>
    </w:rPr>
  </w:style>
  <w:style w:type="paragraph" w:styleId="Footer">
    <w:name w:val="footer"/>
    <w:basedOn w:val="Normal"/>
    <w:link w:val="FooterChar"/>
    <w:uiPriority w:val="99"/>
    <w:unhideWhenUsed/>
    <w:rsid w:val="00E8626C"/>
    <w:pPr>
      <w:tabs>
        <w:tab w:val="center" w:pos="4320"/>
        <w:tab w:val="right" w:pos="8640"/>
      </w:tabs>
    </w:pPr>
  </w:style>
  <w:style w:type="character" w:customStyle="1" w:styleId="FooterChar">
    <w:name w:val="Footer Char"/>
    <w:basedOn w:val="DefaultParagraphFont"/>
    <w:link w:val="Footer"/>
    <w:uiPriority w:val="99"/>
    <w:rsid w:val="00E8626C"/>
    <w:rPr>
      <w:rFonts w:ascii="Times New Roman" w:hAnsi="Times New Roman"/>
    </w:rPr>
  </w:style>
  <w:style w:type="character" w:styleId="PlaceholderText">
    <w:name w:val="Placeholder Text"/>
    <w:basedOn w:val="DefaultParagraphFont"/>
    <w:uiPriority w:val="99"/>
    <w:semiHidden/>
    <w:rsid w:val="003321FF"/>
    <w:rPr>
      <w:color w:val="808080"/>
    </w:rPr>
  </w:style>
  <w:style w:type="paragraph" w:customStyle="1" w:styleId="MTDisplayEquation">
    <w:name w:val="MTDisplayEquation"/>
    <w:basedOn w:val="BodyText"/>
    <w:next w:val="Normal"/>
    <w:rsid w:val="007049EC"/>
    <w:pPr>
      <w:tabs>
        <w:tab w:val="center" w:pos="4680"/>
        <w:tab w:val="right" w:pos="9360"/>
      </w:tabs>
    </w:pPr>
    <w:rPr>
      <w:rFonts w:eastAsiaTheme="minorEastAsia"/>
    </w:rPr>
  </w:style>
  <w:style w:type="paragraph" w:styleId="Caption">
    <w:name w:val="caption"/>
    <w:basedOn w:val="Normal"/>
    <w:next w:val="Normal"/>
    <w:uiPriority w:val="35"/>
    <w:unhideWhenUsed/>
    <w:qFormat/>
    <w:rsid w:val="00D20F9A"/>
    <w:pPr>
      <w:spacing w:after="200"/>
    </w:pPr>
    <w:rPr>
      <w:bCs/>
      <w:i/>
      <w:color w:val="000000" w:themeColor="text1"/>
      <w:szCs w:val="18"/>
    </w:rPr>
  </w:style>
  <w:style w:type="paragraph" w:styleId="TOC1">
    <w:name w:val="toc 1"/>
    <w:basedOn w:val="Normal"/>
    <w:next w:val="Normal"/>
    <w:autoRedefine/>
    <w:uiPriority w:val="39"/>
    <w:unhideWhenUsed/>
    <w:rsid w:val="002F5DC3"/>
    <w:pPr>
      <w:tabs>
        <w:tab w:val="right" w:pos="9350"/>
      </w:tabs>
      <w:spacing w:before="60"/>
    </w:pPr>
    <w:rPr>
      <w:rFonts w:ascii="Arial" w:hAnsi="Arial"/>
      <w:b/>
      <w:szCs w:val="22"/>
    </w:rPr>
  </w:style>
  <w:style w:type="paragraph" w:styleId="TOC2">
    <w:name w:val="toc 2"/>
    <w:basedOn w:val="TOC1"/>
    <w:next w:val="Normal"/>
    <w:autoRedefine/>
    <w:uiPriority w:val="39"/>
    <w:unhideWhenUsed/>
    <w:rsid w:val="002F5DC3"/>
    <w:pPr>
      <w:ind w:left="240"/>
    </w:pPr>
    <w:rPr>
      <w:b w:val="0"/>
      <w:i/>
    </w:rPr>
  </w:style>
  <w:style w:type="paragraph" w:styleId="TOC3">
    <w:name w:val="toc 3"/>
    <w:basedOn w:val="TOC2"/>
    <w:next w:val="Normal"/>
    <w:autoRedefine/>
    <w:uiPriority w:val="39"/>
    <w:unhideWhenUsed/>
    <w:rsid w:val="002F5DC3"/>
    <w:pPr>
      <w:ind w:left="480"/>
    </w:pPr>
    <w:rPr>
      <w:i w:val="0"/>
      <w:sz w:val="22"/>
    </w:rPr>
  </w:style>
  <w:style w:type="paragraph" w:styleId="TOC4">
    <w:name w:val="toc 4"/>
    <w:basedOn w:val="TOC3"/>
    <w:next w:val="Normal"/>
    <w:autoRedefine/>
    <w:uiPriority w:val="39"/>
    <w:unhideWhenUsed/>
    <w:rsid w:val="002F5DC3"/>
    <w:pPr>
      <w:ind w:left="720"/>
    </w:pPr>
    <w:rPr>
      <w:sz w:val="20"/>
      <w:szCs w:val="20"/>
    </w:rPr>
  </w:style>
  <w:style w:type="paragraph" w:styleId="TOC5">
    <w:name w:val="toc 5"/>
    <w:basedOn w:val="TOC4"/>
    <w:next w:val="Normal"/>
    <w:autoRedefine/>
    <w:uiPriority w:val="39"/>
    <w:unhideWhenUsed/>
    <w:rsid w:val="00A11638"/>
    <w:pPr>
      <w:ind w:left="960"/>
    </w:pPr>
    <w:rPr>
      <w:rFonts w:asciiTheme="minorHAnsi" w:hAnsiTheme="minorHAnsi"/>
    </w:rPr>
  </w:style>
  <w:style w:type="paragraph" w:styleId="TOC6">
    <w:name w:val="toc 6"/>
    <w:basedOn w:val="Normal"/>
    <w:next w:val="Normal"/>
    <w:autoRedefine/>
    <w:uiPriority w:val="39"/>
    <w:unhideWhenUsed/>
    <w:rsid w:val="00A11638"/>
    <w:pPr>
      <w:ind w:left="1200"/>
    </w:pPr>
    <w:rPr>
      <w:rFonts w:asciiTheme="minorHAnsi" w:hAnsiTheme="minorHAnsi"/>
      <w:sz w:val="20"/>
      <w:szCs w:val="20"/>
    </w:rPr>
  </w:style>
  <w:style w:type="paragraph" w:styleId="TOC7">
    <w:name w:val="toc 7"/>
    <w:basedOn w:val="Normal"/>
    <w:next w:val="Normal"/>
    <w:autoRedefine/>
    <w:uiPriority w:val="39"/>
    <w:unhideWhenUsed/>
    <w:rsid w:val="00A11638"/>
    <w:pPr>
      <w:ind w:left="1440"/>
    </w:pPr>
    <w:rPr>
      <w:rFonts w:asciiTheme="minorHAnsi" w:hAnsiTheme="minorHAnsi"/>
      <w:sz w:val="20"/>
      <w:szCs w:val="20"/>
    </w:rPr>
  </w:style>
  <w:style w:type="paragraph" w:styleId="TOC8">
    <w:name w:val="toc 8"/>
    <w:basedOn w:val="Normal"/>
    <w:next w:val="Normal"/>
    <w:autoRedefine/>
    <w:uiPriority w:val="39"/>
    <w:unhideWhenUsed/>
    <w:rsid w:val="00A11638"/>
    <w:pPr>
      <w:ind w:left="1680"/>
    </w:pPr>
    <w:rPr>
      <w:rFonts w:asciiTheme="minorHAnsi" w:hAnsiTheme="minorHAnsi"/>
      <w:sz w:val="20"/>
      <w:szCs w:val="20"/>
    </w:rPr>
  </w:style>
  <w:style w:type="paragraph" w:styleId="TOC9">
    <w:name w:val="toc 9"/>
    <w:basedOn w:val="Normal"/>
    <w:next w:val="Normal"/>
    <w:autoRedefine/>
    <w:uiPriority w:val="39"/>
    <w:unhideWhenUsed/>
    <w:rsid w:val="00A11638"/>
    <w:pPr>
      <w:ind w:left="1920"/>
    </w:pPr>
    <w:rPr>
      <w:rFonts w:asciiTheme="minorHAnsi" w:hAnsiTheme="minorHAnsi"/>
      <w:sz w:val="20"/>
      <w:szCs w:val="20"/>
    </w:rPr>
  </w:style>
  <w:style w:type="table" w:styleId="TableGrid">
    <w:name w:val="Table Grid"/>
    <w:basedOn w:val="TableNormal"/>
    <w:uiPriority w:val="39"/>
    <w:rsid w:val="00A35E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305748"/>
    <w:rPr>
      <w:rFonts w:ascii="Lucida Grande" w:hAnsi="Lucida Grande" w:cs="Lucida Grande"/>
    </w:rPr>
  </w:style>
  <w:style w:type="character" w:customStyle="1" w:styleId="DocumentMapChar">
    <w:name w:val="Document Map Char"/>
    <w:basedOn w:val="DefaultParagraphFont"/>
    <w:link w:val="DocumentMap"/>
    <w:uiPriority w:val="99"/>
    <w:semiHidden/>
    <w:rsid w:val="00305748"/>
    <w:rPr>
      <w:rFonts w:ascii="Lucida Grande" w:hAnsi="Lucida Grande" w:cs="Lucida Grande"/>
    </w:rPr>
  </w:style>
  <w:style w:type="character" w:styleId="Hyperlink">
    <w:name w:val="Hyperlink"/>
    <w:basedOn w:val="DefaultParagraphFont"/>
    <w:uiPriority w:val="99"/>
    <w:unhideWhenUsed/>
    <w:rsid w:val="00C200A4"/>
    <w:rPr>
      <w:color w:val="0563C1" w:themeColor="hyperlink"/>
      <w:u w:val="single"/>
    </w:rPr>
  </w:style>
  <w:style w:type="numbering" w:customStyle="1" w:styleId="Style1">
    <w:name w:val="Style1"/>
    <w:uiPriority w:val="99"/>
    <w:rsid w:val="00C200A4"/>
    <w:pPr>
      <w:numPr>
        <w:numId w:val="17"/>
      </w:numPr>
    </w:pPr>
  </w:style>
  <w:style w:type="character" w:styleId="PageNumber">
    <w:name w:val="page number"/>
    <w:basedOn w:val="DefaultParagraphFont"/>
    <w:uiPriority w:val="99"/>
    <w:semiHidden/>
    <w:unhideWhenUsed/>
    <w:rsid w:val="0060197D"/>
  </w:style>
  <w:style w:type="character" w:styleId="CommentReference">
    <w:name w:val="annotation reference"/>
    <w:basedOn w:val="DefaultParagraphFont"/>
    <w:uiPriority w:val="99"/>
    <w:semiHidden/>
    <w:unhideWhenUsed/>
    <w:rsid w:val="00E01ECB"/>
    <w:rPr>
      <w:sz w:val="16"/>
      <w:szCs w:val="16"/>
    </w:rPr>
  </w:style>
  <w:style w:type="paragraph" w:styleId="CommentText">
    <w:name w:val="annotation text"/>
    <w:basedOn w:val="Normal"/>
    <w:link w:val="CommentTextChar"/>
    <w:uiPriority w:val="99"/>
    <w:semiHidden/>
    <w:unhideWhenUsed/>
    <w:rsid w:val="00E01ECB"/>
    <w:rPr>
      <w:sz w:val="20"/>
      <w:szCs w:val="20"/>
    </w:rPr>
  </w:style>
  <w:style w:type="character" w:customStyle="1" w:styleId="CommentTextChar">
    <w:name w:val="Comment Text Char"/>
    <w:basedOn w:val="DefaultParagraphFont"/>
    <w:link w:val="CommentText"/>
    <w:uiPriority w:val="99"/>
    <w:semiHidden/>
    <w:rsid w:val="00E01EC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01ECB"/>
    <w:rPr>
      <w:b/>
      <w:bCs/>
    </w:rPr>
  </w:style>
  <w:style w:type="character" w:customStyle="1" w:styleId="CommentSubjectChar">
    <w:name w:val="Comment Subject Char"/>
    <w:basedOn w:val="CommentTextChar"/>
    <w:link w:val="CommentSubject"/>
    <w:uiPriority w:val="99"/>
    <w:semiHidden/>
    <w:rsid w:val="00E01ECB"/>
    <w:rPr>
      <w:rFonts w:ascii="Times New Roman" w:hAnsi="Times New Roman"/>
      <w:b/>
      <w:bCs/>
      <w:sz w:val="20"/>
      <w:szCs w:val="20"/>
    </w:rPr>
  </w:style>
  <w:style w:type="paragraph" w:styleId="Revision">
    <w:name w:val="Revision"/>
    <w:hidden/>
    <w:uiPriority w:val="99"/>
    <w:semiHidden/>
    <w:rsid w:val="00E01ECB"/>
    <w:rPr>
      <w:rFonts w:ascii="Times New Roman" w:hAnsi="Times New Roman"/>
    </w:rPr>
  </w:style>
  <w:style w:type="paragraph" w:customStyle="1" w:styleId="Figure">
    <w:name w:val="Figure"/>
    <w:basedOn w:val="Normal"/>
    <w:qFormat/>
    <w:rsid w:val="00C47A9A"/>
    <w:pPr>
      <w:keepNext/>
      <w:jc w:val="center"/>
    </w:pPr>
    <w:rPr>
      <w:noProof/>
    </w:rPr>
  </w:style>
  <w:style w:type="character" w:styleId="UnresolvedMention">
    <w:name w:val="Unresolved Mention"/>
    <w:basedOn w:val="DefaultParagraphFont"/>
    <w:uiPriority w:val="99"/>
    <w:semiHidden/>
    <w:unhideWhenUsed/>
    <w:rsid w:val="00687BC7"/>
    <w:rPr>
      <w:color w:val="605E5C"/>
      <w:shd w:val="clear" w:color="auto" w:fill="E1DFDD"/>
    </w:rPr>
  </w:style>
  <w:style w:type="paragraph" w:styleId="NormalWeb">
    <w:name w:val="Normal (Web)"/>
    <w:basedOn w:val="Normal"/>
    <w:uiPriority w:val="99"/>
    <w:semiHidden/>
    <w:unhideWhenUsed/>
    <w:rsid w:val="0003433F"/>
    <w:rPr>
      <w:rFonts w:cs="Times New Roman"/>
    </w:rPr>
  </w:style>
  <w:style w:type="character" w:styleId="FollowedHyperlink">
    <w:name w:val="FollowedHyperlink"/>
    <w:basedOn w:val="DefaultParagraphFont"/>
    <w:uiPriority w:val="99"/>
    <w:semiHidden/>
    <w:unhideWhenUsed/>
    <w:rsid w:val="00D938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750">
      <w:bodyDiv w:val="1"/>
      <w:marLeft w:val="0"/>
      <w:marRight w:val="0"/>
      <w:marTop w:val="0"/>
      <w:marBottom w:val="0"/>
      <w:divBdr>
        <w:top w:val="none" w:sz="0" w:space="0" w:color="auto"/>
        <w:left w:val="none" w:sz="0" w:space="0" w:color="auto"/>
        <w:bottom w:val="none" w:sz="0" w:space="0" w:color="auto"/>
        <w:right w:val="none" w:sz="0" w:space="0" w:color="auto"/>
      </w:divBdr>
    </w:div>
    <w:div w:id="101153376">
      <w:bodyDiv w:val="1"/>
      <w:marLeft w:val="0"/>
      <w:marRight w:val="0"/>
      <w:marTop w:val="0"/>
      <w:marBottom w:val="0"/>
      <w:divBdr>
        <w:top w:val="none" w:sz="0" w:space="0" w:color="auto"/>
        <w:left w:val="none" w:sz="0" w:space="0" w:color="auto"/>
        <w:bottom w:val="none" w:sz="0" w:space="0" w:color="auto"/>
        <w:right w:val="none" w:sz="0" w:space="0" w:color="auto"/>
      </w:divBdr>
    </w:div>
    <w:div w:id="175312543">
      <w:bodyDiv w:val="1"/>
      <w:marLeft w:val="0"/>
      <w:marRight w:val="0"/>
      <w:marTop w:val="0"/>
      <w:marBottom w:val="0"/>
      <w:divBdr>
        <w:top w:val="none" w:sz="0" w:space="0" w:color="auto"/>
        <w:left w:val="none" w:sz="0" w:space="0" w:color="auto"/>
        <w:bottom w:val="none" w:sz="0" w:space="0" w:color="auto"/>
        <w:right w:val="none" w:sz="0" w:space="0" w:color="auto"/>
      </w:divBdr>
    </w:div>
    <w:div w:id="219170414">
      <w:bodyDiv w:val="1"/>
      <w:marLeft w:val="0"/>
      <w:marRight w:val="0"/>
      <w:marTop w:val="0"/>
      <w:marBottom w:val="0"/>
      <w:divBdr>
        <w:top w:val="none" w:sz="0" w:space="0" w:color="auto"/>
        <w:left w:val="none" w:sz="0" w:space="0" w:color="auto"/>
        <w:bottom w:val="none" w:sz="0" w:space="0" w:color="auto"/>
        <w:right w:val="none" w:sz="0" w:space="0" w:color="auto"/>
      </w:divBdr>
    </w:div>
    <w:div w:id="242960306">
      <w:bodyDiv w:val="1"/>
      <w:marLeft w:val="0"/>
      <w:marRight w:val="0"/>
      <w:marTop w:val="0"/>
      <w:marBottom w:val="0"/>
      <w:divBdr>
        <w:top w:val="none" w:sz="0" w:space="0" w:color="auto"/>
        <w:left w:val="none" w:sz="0" w:space="0" w:color="auto"/>
        <w:bottom w:val="none" w:sz="0" w:space="0" w:color="auto"/>
        <w:right w:val="none" w:sz="0" w:space="0" w:color="auto"/>
      </w:divBdr>
      <w:divsChild>
        <w:div w:id="241108906">
          <w:marLeft w:val="0"/>
          <w:marRight w:val="0"/>
          <w:marTop w:val="0"/>
          <w:marBottom w:val="0"/>
          <w:divBdr>
            <w:top w:val="none" w:sz="0" w:space="0" w:color="auto"/>
            <w:left w:val="none" w:sz="0" w:space="0" w:color="auto"/>
            <w:bottom w:val="none" w:sz="0" w:space="0" w:color="auto"/>
            <w:right w:val="none" w:sz="0" w:space="0" w:color="auto"/>
          </w:divBdr>
        </w:div>
      </w:divsChild>
    </w:div>
    <w:div w:id="251790081">
      <w:bodyDiv w:val="1"/>
      <w:marLeft w:val="0"/>
      <w:marRight w:val="0"/>
      <w:marTop w:val="0"/>
      <w:marBottom w:val="0"/>
      <w:divBdr>
        <w:top w:val="none" w:sz="0" w:space="0" w:color="auto"/>
        <w:left w:val="none" w:sz="0" w:space="0" w:color="auto"/>
        <w:bottom w:val="none" w:sz="0" w:space="0" w:color="auto"/>
        <w:right w:val="none" w:sz="0" w:space="0" w:color="auto"/>
      </w:divBdr>
    </w:div>
    <w:div w:id="261911948">
      <w:bodyDiv w:val="1"/>
      <w:marLeft w:val="0"/>
      <w:marRight w:val="0"/>
      <w:marTop w:val="0"/>
      <w:marBottom w:val="0"/>
      <w:divBdr>
        <w:top w:val="none" w:sz="0" w:space="0" w:color="auto"/>
        <w:left w:val="none" w:sz="0" w:space="0" w:color="auto"/>
        <w:bottom w:val="none" w:sz="0" w:space="0" w:color="auto"/>
        <w:right w:val="none" w:sz="0" w:space="0" w:color="auto"/>
      </w:divBdr>
      <w:divsChild>
        <w:div w:id="9836440">
          <w:marLeft w:val="0"/>
          <w:marRight w:val="0"/>
          <w:marTop w:val="0"/>
          <w:marBottom w:val="0"/>
          <w:divBdr>
            <w:top w:val="none" w:sz="0" w:space="0" w:color="auto"/>
            <w:left w:val="none" w:sz="0" w:space="0" w:color="auto"/>
            <w:bottom w:val="none" w:sz="0" w:space="0" w:color="auto"/>
            <w:right w:val="none" w:sz="0" w:space="0" w:color="auto"/>
          </w:divBdr>
        </w:div>
        <w:div w:id="30032241">
          <w:marLeft w:val="0"/>
          <w:marRight w:val="0"/>
          <w:marTop w:val="0"/>
          <w:marBottom w:val="0"/>
          <w:divBdr>
            <w:top w:val="none" w:sz="0" w:space="0" w:color="auto"/>
            <w:left w:val="none" w:sz="0" w:space="0" w:color="auto"/>
            <w:bottom w:val="none" w:sz="0" w:space="0" w:color="auto"/>
            <w:right w:val="none" w:sz="0" w:space="0" w:color="auto"/>
          </w:divBdr>
        </w:div>
        <w:div w:id="103576737">
          <w:marLeft w:val="0"/>
          <w:marRight w:val="0"/>
          <w:marTop w:val="0"/>
          <w:marBottom w:val="0"/>
          <w:divBdr>
            <w:top w:val="none" w:sz="0" w:space="0" w:color="auto"/>
            <w:left w:val="none" w:sz="0" w:space="0" w:color="auto"/>
            <w:bottom w:val="none" w:sz="0" w:space="0" w:color="auto"/>
            <w:right w:val="none" w:sz="0" w:space="0" w:color="auto"/>
          </w:divBdr>
        </w:div>
        <w:div w:id="256793000">
          <w:marLeft w:val="0"/>
          <w:marRight w:val="0"/>
          <w:marTop w:val="0"/>
          <w:marBottom w:val="0"/>
          <w:divBdr>
            <w:top w:val="none" w:sz="0" w:space="0" w:color="auto"/>
            <w:left w:val="none" w:sz="0" w:space="0" w:color="auto"/>
            <w:bottom w:val="none" w:sz="0" w:space="0" w:color="auto"/>
            <w:right w:val="none" w:sz="0" w:space="0" w:color="auto"/>
          </w:divBdr>
        </w:div>
        <w:div w:id="309795587">
          <w:marLeft w:val="0"/>
          <w:marRight w:val="0"/>
          <w:marTop w:val="0"/>
          <w:marBottom w:val="0"/>
          <w:divBdr>
            <w:top w:val="none" w:sz="0" w:space="0" w:color="auto"/>
            <w:left w:val="none" w:sz="0" w:space="0" w:color="auto"/>
            <w:bottom w:val="none" w:sz="0" w:space="0" w:color="auto"/>
            <w:right w:val="none" w:sz="0" w:space="0" w:color="auto"/>
          </w:divBdr>
        </w:div>
        <w:div w:id="434594925">
          <w:marLeft w:val="0"/>
          <w:marRight w:val="0"/>
          <w:marTop w:val="0"/>
          <w:marBottom w:val="0"/>
          <w:divBdr>
            <w:top w:val="none" w:sz="0" w:space="0" w:color="auto"/>
            <w:left w:val="none" w:sz="0" w:space="0" w:color="auto"/>
            <w:bottom w:val="none" w:sz="0" w:space="0" w:color="auto"/>
            <w:right w:val="none" w:sz="0" w:space="0" w:color="auto"/>
          </w:divBdr>
        </w:div>
        <w:div w:id="442696290">
          <w:marLeft w:val="0"/>
          <w:marRight w:val="0"/>
          <w:marTop w:val="0"/>
          <w:marBottom w:val="0"/>
          <w:divBdr>
            <w:top w:val="none" w:sz="0" w:space="0" w:color="auto"/>
            <w:left w:val="none" w:sz="0" w:space="0" w:color="auto"/>
            <w:bottom w:val="none" w:sz="0" w:space="0" w:color="auto"/>
            <w:right w:val="none" w:sz="0" w:space="0" w:color="auto"/>
          </w:divBdr>
        </w:div>
        <w:div w:id="449516651">
          <w:marLeft w:val="0"/>
          <w:marRight w:val="0"/>
          <w:marTop w:val="0"/>
          <w:marBottom w:val="0"/>
          <w:divBdr>
            <w:top w:val="none" w:sz="0" w:space="0" w:color="auto"/>
            <w:left w:val="none" w:sz="0" w:space="0" w:color="auto"/>
            <w:bottom w:val="none" w:sz="0" w:space="0" w:color="auto"/>
            <w:right w:val="none" w:sz="0" w:space="0" w:color="auto"/>
          </w:divBdr>
        </w:div>
        <w:div w:id="569578593">
          <w:marLeft w:val="0"/>
          <w:marRight w:val="0"/>
          <w:marTop w:val="0"/>
          <w:marBottom w:val="0"/>
          <w:divBdr>
            <w:top w:val="none" w:sz="0" w:space="0" w:color="auto"/>
            <w:left w:val="none" w:sz="0" w:space="0" w:color="auto"/>
            <w:bottom w:val="none" w:sz="0" w:space="0" w:color="auto"/>
            <w:right w:val="none" w:sz="0" w:space="0" w:color="auto"/>
          </w:divBdr>
        </w:div>
        <w:div w:id="664475503">
          <w:marLeft w:val="0"/>
          <w:marRight w:val="0"/>
          <w:marTop w:val="0"/>
          <w:marBottom w:val="0"/>
          <w:divBdr>
            <w:top w:val="none" w:sz="0" w:space="0" w:color="auto"/>
            <w:left w:val="none" w:sz="0" w:space="0" w:color="auto"/>
            <w:bottom w:val="none" w:sz="0" w:space="0" w:color="auto"/>
            <w:right w:val="none" w:sz="0" w:space="0" w:color="auto"/>
          </w:divBdr>
          <w:divsChild>
            <w:div w:id="1947468754">
              <w:marLeft w:val="0"/>
              <w:marRight w:val="0"/>
              <w:marTop w:val="0"/>
              <w:marBottom w:val="0"/>
              <w:divBdr>
                <w:top w:val="none" w:sz="0" w:space="0" w:color="auto"/>
                <w:left w:val="none" w:sz="0" w:space="0" w:color="auto"/>
                <w:bottom w:val="none" w:sz="0" w:space="0" w:color="auto"/>
                <w:right w:val="none" w:sz="0" w:space="0" w:color="auto"/>
              </w:divBdr>
            </w:div>
          </w:divsChild>
        </w:div>
        <w:div w:id="764417833">
          <w:marLeft w:val="0"/>
          <w:marRight w:val="0"/>
          <w:marTop w:val="0"/>
          <w:marBottom w:val="0"/>
          <w:divBdr>
            <w:top w:val="none" w:sz="0" w:space="0" w:color="auto"/>
            <w:left w:val="none" w:sz="0" w:space="0" w:color="auto"/>
            <w:bottom w:val="none" w:sz="0" w:space="0" w:color="auto"/>
            <w:right w:val="none" w:sz="0" w:space="0" w:color="auto"/>
          </w:divBdr>
          <w:divsChild>
            <w:div w:id="1339965876">
              <w:marLeft w:val="0"/>
              <w:marRight w:val="0"/>
              <w:marTop w:val="0"/>
              <w:marBottom w:val="0"/>
              <w:divBdr>
                <w:top w:val="none" w:sz="0" w:space="0" w:color="auto"/>
                <w:left w:val="none" w:sz="0" w:space="0" w:color="auto"/>
                <w:bottom w:val="none" w:sz="0" w:space="0" w:color="auto"/>
                <w:right w:val="none" w:sz="0" w:space="0" w:color="auto"/>
              </w:divBdr>
            </w:div>
          </w:divsChild>
        </w:div>
        <w:div w:id="870385267">
          <w:marLeft w:val="0"/>
          <w:marRight w:val="0"/>
          <w:marTop w:val="0"/>
          <w:marBottom w:val="0"/>
          <w:divBdr>
            <w:top w:val="none" w:sz="0" w:space="0" w:color="auto"/>
            <w:left w:val="none" w:sz="0" w:space="0" w:color="auto"/>
            <w:bottom w:val="none" w:sz="0" w:space="0" w:color="auto"/>
            <w:right w:val="none" w:sz="0" w:space="0" w:color="auto"/>
          </w:divBdr>
        </w:div>
        <w:div w:id="875002358">
          <w:marLeft w:val="0"/>
          <w:marRight w:val="0"/>
          <w:marTop w:val="0"/>
          <w:marBottom w:val="0"/>
          <w:divBdr>
            <w:top w:val="none" w:sz="0" w:space="0" w:color="auto"/>
            <w:left w:val="none" w:sz="0" w:space="0" w:color="auto"/>
            <w:bottom w:val="none" w:sz="0" w:space="0" w:color="auto"/>
            <w:right w:val="none" w:sz="0" w:space="0" w:color="auto"/>
          </w:divBdr>
        </w:div>
        <w:div w:id="953562292">
          <w:marLeft w:val="0"/>
          <w:marRight w:val="0"/>
          <w:marTop w:val="0"/>
          <w:marBottom w:val="0"/>
          <w:divBdr>
            <w:top w:val="none" w:sz="0" w:space="0" w:color="auto"/>
            <w:left w:val="none" w:sz="0" w:space="0" w:color="auto"/>
            <w:bottom w:val="none" w:sz="0" w:space="0" w:color="auto"/>
            <w:right w:val="none" w:sz="0" w:space="0" w:color="auto"/>
          </w:divBdr>
        </w:div>
        <w:div w:id="967927867">
          <w:marLeft w:val="0"/>
          <w:marRight w:val="0"/>
          <w:marTop w:val="0"/>
          <w:marBottom w:val="0"/>
          <w:divBdr>
            <w:top w:val="none" w:sz="0" w:space="0" w:color="auto"/>
            <w:left w:val="none" w:sz="0" w:space="0" w:color="auto"/>
            <w:bottom w:val="none" w:sz="0" w:space="0" w:color="auto"/>
            <w:right w:val="none" w:sz="0" w:space="0" w:color="auto"/>
          </w:divBdr>
        </w:div>
        <w:div w:id="992224260">
          <w:marLeft w:val="0"/>
          <w:marRight w:val="0"/>
          <w:marTop w:val="0"/>
          <w:marBottom w:val="0"/>
          <w:divBdr>
            <w:top w:val="none" w:sz="0" w:space="0" w:color="auto"/>
            <w:left w:val="none" w:sz="0" w:space="0" w:color="auto"/>
            <w:bottom w:val="none" w:sz="0" w:space="0" w:color="auto"/>
            <w:right w:val="none" w:sz="0" w:space="0" w:color="auto"/>
          </w:divBdr>
        </w:div>
        <w:div w:id="1262956844">
          <w:marLeft w:val="0"/>
          <w:marRight w:val="0"/>
          <w:marTop w:val="0"/>
          <w:marBottom w:val="0"/>
          <w:divBdr>
            <w:top w:val="none" w:sz="0" w:space="0" w:color="auto"/>
            <w:left w:val="none" w:sz="0" w:space="0" w:color="auto"/>
            <w:bottom w:val="none" w:sz="0" w:space="0" w:color="auto"/>
            <w:right w:val="none" w:sz="0" w:space="0" w:color="auto"/>
          </w:divBdr>
        </w:div>
        <w:div w:id="1273509309">
          <w:marLeft w:val="0"/>
          <w:marRight w:val="0"/>
          <w:marTop w:val="0"/>
          <w:marBottom w:val="0"/>
          <w:divBdr>
            <w:top w:val="none" w:sz="0" w:space="0" w:color="auto"/>
            <w:left w:val="none" w:sz="0" w:space="0" w:color="auto"/>
            <w:bottom w:val="none" w:sz="0" w:space="0" w:color="auto"/>
            <w:right w:val="none" w:sz="0" w:space="0" w:color="auto"/>
          </w:divBdr>
        </w:div>
        <w:div w:id="1337610398">
          <w:marLeft w:val="0"/>
          <w:marRight w:val="0"/>
          <w:marTop w:val="0"/>
          <w:marBottom w:val="0"/>
          <w:divBdr>
            <w:top w:val="none" w:sz="0" w:space="0" w:color="auto"/>
            <w:left w:val="none" w:sz="0" w:space="0" w:color="auto"/>
            <w:bottom w:val="none" w:sz="0" w:space="0" w:color="auto"/>
            <w:right w:val="none" w:sz="0" w:space="0" w:color="auto"/>
          </w:divBdr>
        </w:div>
        <w:div w:id="1364406580">
          <w:marLeft w:val="0"/>
          <w:marRight w:val="0"/>
          <w:marTop w:val="0"/>
          <w:marBottom w:val="0"/>
          <w:divBdr>
            <w:top w:val="none" w:sz="0" w:space="0" w:color="auto"/>
            <w:left w:val="none" w:sz="0" w:space="0" w:color="auto"/>
            <w:bottom w:val="none" w:sz="0" w:space="0" w:color="auto"/>
            <w:right w:val="none" w:sz="0" w:space="0" w:color="auto"/>
          </w:divBdr>
        </w:div>
        <w:div w:id="1506286858">
          <w:marLeft w:val="0"/>
          <w:marRight w:val="0"/>
          <w:marTop w:val="0"/>
          <w:marBottom w:val="0"/>
          <w:divBdr>
            <w:top w:val="none" w:sz="0" w:space="0" w:color="auto"/>
            <w:left w:val="none" w:sz="0" w:space="0" w:color="auto"/>
            <w:bottom w:val="none" w:sz="0" w:space="0" w:color="auto"/>
            <w:right w:val="none" w:sz="0" w:space="0" w:color="auto"/>
          </w:divBdr>
        </w:div>
        <w:div w:id="1563449088">
          <w:marLeft w:val="0"/>
          <w:marRight w:val="0"/>
          <w:marTop w:val="0"/>
          <w:marBottom w:val="0"/>
          <w:divBdr>
            <w:top w:val="none" w:sz="0" w:space="0" w:color="auto"/>
            <w:left w:val="none" w:sz="0" w:space="0" w:color="auto"/>
            <w:bottom w:val="none" w:sz="0" w:space="0" w:color="auto"/>
            <w:right w:val="none" w:sz="0" w:space="0" w:color="auto"/>
          </w:divBdr>
        </w:div>
        <w:div w:id="1605725862">
          <w:marLeft w:val="0"/>
          <w:marRight w:val="0"/>
          <w:marTop w:val="0"/>
          <w:marBottom w:val="0"/>
          <w:divBdr>
            <w:top w:val="none" w:sz="0" w:space="0" w:color="auto"/>
            <w:left w:val="none" w:sz="0" w:space="0" w:color="auto"/>
            <w:bottom w:val="none" w:sz="0" w:space="0" w:color="auto"/>
            <w:right w:val="none" w:sz="0" w:space="0" w:color="auto"/>
          </w:divBdr>
        </w:div>
        <w:div w:id="1612518990">
          <w:marLeft w:val="0"/>
          <w:marRight w:val="0"/>
          <w:marTop w:val="0"/>
          <w:marBottom w:val="0"/>
          <w:divBdr>
            <w:top w:val="none" w:sz="0" w:space="0" w:color="auto"/>
            <w:left w:val="none" w:sz="0" w:space="0" w:color="auto"/>
            <w:bottom w:val="none" w:sz="0" w:space="0" w:color="auto"/>
            <w:right w:val="none" w:sz="0" w:space="0" w:color="auto"/>
          </w:divBdr>
        </w:div>
        <w:div w:id="1804694444">
          <w:marLeft w:val="0"/>
          <w:marRight w:val="0"/>
          <w:marTop w:val="0"/>
          <w:marBottom w:val="0"/>
          <w:divBdr>
            <w:top w:val="none" w:sz="0" w:space="0" w:color="auto"/>
            <w:left w:val="none" w:sz="0" w:space="0" w:color="auto"/>
            <w:bottom w:val="none" w:sz="0" w:space="0" w:color="auto"/>
            <w:right w:val="none" w:sz="0" w:space="0" w:color="auto"/>
          </w:divBdr>
        </w:div>
        <w:div w:id="1814981135">
          <w:marLeft w:val="0"/>
          <w:marRight w:val="0"/>
          <w:marTop w:val="0"/>
          <w:marBottom w:val="0"/>
          <w:divBdr>
            <w:top w:val="none" w:sz="0" w:space="0" w:color="auto"/>
            <w:left w:val="none" w:sz="0" w:space="0" w:color="auto"/>
            <w:bottom w:val="none" w:sz="0" w:space="0" w:color="auto"/>
            <w:right w:val="none" w:sz="0" w:space="0" w:color="auto"/>
          </w:divBdr>
        </w:div>
        <w:div w:id="1910075862">
          <w:marLeft w:val="0"/>
          <w:marRight w:val="0"/>
          <w:marTop w:val="0"/>
          <w:marBottom w:val="0"/>
          <w:divBdr>
            <w:top w:val="none" w:sz="0" w:space="0" w:color="auto"/>
            <w:left w:val="none" w:sz="0" w:space="0" w:color="auto"/>
            <w:bottom w:val="none" w:sz="0" w:space="0" w:color="auto"/>
            <w:right w:val="none" w:sz="0" w:space="0" w:color="auto"/>
          </w:divBdr>
        </w:div>
        <w:div w:id="2021735295">
          <w:marLeft w:val="0"/>
          <w:marRight w:val="0"/>
          <w:marTop w:val="0"/>
          <w:marBottom w:val="0"/>
          <w:divBdr>
            <w:top w:val="none" w:sz="0" w:space="0" w:color="auto"/>
            <w:left w:val="none" w:sz="0" w:space="0" w:color="auto"/>
            <w:bottom w:val="none" w:sz="0" w:space="0" w:color="auto"/>
            <w:right w:val="none" w:sz="0" w:space="0" w:color="auto"/>
          </w:divBdr>
        </w:div>
        <w:div w:id="2027712563">
          <w:marLeft w:val="0"/>
          <w:marRight w:val="0"/>
          <w:marTop w:val="0"/>
          <w:marBottom w:val="0"/>
          <w:divBdr>
            <w:top w:val="none" w:sz="0" w:space="0" w:color="auto"/>
            <w:left w:val="none" w:sz="0" w:space="0" w:color="auto"/>
            <w:bottom w:val="none" w:sz="0" w:space="0" w:color="auto"/>
            <w:right w:val="none" w:sz="0" w:space="0" w:color="auto"/>
          </w:divBdr>
        </w:div>
        <w:div w:id="2104572927">
          <w:marLeft w:val="0"/>
          <w:marRight w:val="0"/>
          <w:marTop w:val="0"/>
          <w:marBottom w:val="0"/>
          <w:divBdr>
            <w:top w:val="none" w:sz="0" w:space="0" w:color="auto"/>
            <w:left w:val="none" w:sz="0" w:space="0" w:color="auto"/>
            <w:bottom w:val="none" w:sz="0" w:space="0" w:color="auto"/>
            <w:right w:val="none" w:sz="0" w:space="0" w:color="auto"/>
          </w:divBdr>
        </w:div>
      </w:divsChild>
    </w:div>
    <w:div w:id="285280101">
      <w:bodyDiv w:val="1"/>
      <w:marLeft w:val="0"/>
      <w:marRight w:val="0"/>
      <w:marTop w:val="0"/>
      <w:marBottom w:val="0"/>
      <w:divBdr>
        <w:top w:val="none" w:sz="0" w:space="0" w:color="auto"/>
        <w:left w:val="none" w:sz="0" w:space="0" w:color="auto"/>
        <w:bottom w:val="none" w:sz="0" w:space="0" w:color="auto"/>
        <w:right w:val="none" w:sz="0" w:space="0" w:color="auto"/>
      </w:divBdr>
    </w:div>
    <w:div w:id="301039506">
      <w:bodyDiv w:val="1"/>
      <w:marLeft w:val="0"/>
      <w:marRight w:val="0"/>
      <w:marTop w:val="0"/>
      <w:marBottom w:val="0"/>
      <w:divBdr>
        <w:top w:val="none" w:sz="0" w:space="0" w:color="auto"/>
        <w:left w:val="none" w:sz="0" w:space="0" w:color="auto"/>
        <w:bottom w:val="none" w:sz="0" w:space="0" w:color="auto"/>
        <w:right w:val="none" w:sz="0" w:space="0" w:color="auto"/>
      </w:divBdr>
    </w:div>
    <w:div w:id="310989785">
      <w:bodyDiv w:val="1"/>
      <w:marLeft w:val="0"/>
      <w:marRight w:val="0"/>
      <w:marTop w:val="0"/>
      <w:marBottom w:val="0"/>
      <w:divBdr>
        <w:top w:val="none" w:sz="0" w:space="0" w:color="auto"/>
        <w:left w:val="none" w:sz="0" w:space="0" w:color="auto"/>
        <w:bottom w:val="none" w:sz="0" w:space="0" w:color="auto"/>
        <w:right w:val="none" w:sz="0" w:space="0" w:color="auto"/>
      </w:divBdr>
    </w:div>
    <w:div w:id="353532192">
      <w:bodyDiv w:val="1"/>
      <w:marLeft w:val="0"/>
      <w:marRight w:val="0"/>
      <w:marTop w:val="0"/>
      <w:marBottom w:val="0"/>
      <w:divBdr>
        <w:top w:val="none" w:sz="0" w:space="0" w:color="auto"/>
        <w:left w:val="none" w:sz="0" w:space="0" w:color="auto"/>
        <w:bottom w:val="none" w:sz="0" w:space="0" w:color="auto"/>
        <w:right w:val="none" w:sz="0" w:space="0" w:color="auto"/>
      </w:divBdr>
    </w:div>
    <w:div w:id="564796481">
      <w:bodyDiv w:val="1"/>
      <w:marLeft w:val="0"/>
      <w:marRight w:val="0"/>
      <w:marTop w:val="0"/>
      <w:marBottom w:val="0"/>
      <w:divBdr>
        <w:top w:val="none" w:sz="0" w:space="0" w:color="auto"/>
        <w:left w:val="none" w:sz="0" w:space="0" w:color="auto"/>
        <w:bottom w:val="none" w:sz="0" w:space="0" w:color="auto"/>
        <w:right w:val="none" w:sz="0" w:space="0" w:color="auto"/>
      </w:divBdr>
    </w:div>
    <w:div w:id="798845068">
      <w:bodyDiv w:val="1"/>
      <w:marLeft w:val="0"/>
      <w:marRight w:val="0"/>
      <w:marTop w:val="0"/>
      <w:marBottom w:val="0"/>
      <w:divBdr>
        <w:top w:val="none" w:sz="0" w:space="0" w:color="auto"/>
        <w:left w:val="none" w:sz="0" w:space="0" w:color="auto"/>
        <w:bottom w:val="none" w:sz="0" w:space="0" w:color="auto"/>
        <w:right w:val="none" w:sz="0" w:space="0" w:color="auto"/>
      </w:divBdr>
    </w:div>
    <w:div w:id="842475314">
      <w:bodyDiv w:val="1"/>
      <w:marLeft w:val="0"/>
      <w:marRight w:val="0"/>
      <w:marTop w:val="0"/>
      <w:marBottom w:val="0"/>
      <w:divBdr>
        <w:top w:val="none" w:sz="0" w:space="0" w:color="auto"/>
        <w:left w:val="none" w:sz="0" w:space="0" w:color="auto"/>
        <w:bottom w:val="none" w:sz="0" w:space="0" w:color="auto"/>
        <w:right w:val="none" w:sz="0" w:space="0" w:color="auto"/>
      </w:divBdr>
    </w:div>
    <w:div w:id="860820679">
      <w:bodyDiv w:val="1"/>
      <w:marLeft w:val="0"/>
      <w:marRight w:val="0"/>
      <w:marTop w:val="0"/>
      <w:marBottom w:val="0"/>
      <w:divBdr>
        <w:top w:val="none" w:sz="0" w:space="0" w:color="auto"/>
        <w:left w:val="none" w:sz="0" w:space="0" w:color="auto"/>
        <w:bottom w:val="none" w:sz="0" w:space="0" w:color="auto"/>
        <w:right w:val="none" w:sz="0" w:space="0" w:color="auto"/>
      </w:divBdr>
    </w:div>
    <w:div w:id="1019235852">
      <w:bodyDiv w:val="1"/>
      <w:marLeft w:val="0"/>
      <w:marRight w:val="0"/>
      <w:marTop w:val="0"/>
      <w:marBottom w:val="0"/>
      <w:divBdr>
        <w:top w:val="none" w:sz="0" w:space="0" w:color="auto"/>
        <w:left w:val="none" w:sz="0" w:space="0" w:color="auto"/>
        <w:bottom w:val="none" w:sz="0" w:space="0" w:color="auto"/>
        <w:right w:val="none" w:sz="0" w:space="0" w:color="auto"/>
      </w:divBdr>
      <w:divsChild>
        <w:div w:id="15987070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58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4963">
      <w:bodyDiv w:val="1"/>
      <w:marLeft w:val="0"/>
      <w:marRight w:val="0"/>
      <w:marTop w:val="0"/>
      <w:marBottom w:val="0"/>
      <w:divBdr>
        <w:top w:val="none" w:sz="0" w:space="0" w:color="auto"/>
        <w:left w:val="none" w:sz="0" w:space="0" w:color="auto"/>
        <w:bottom w:val="none" w:sz="0" w:space="0" w:color="auto"/>
        <w:right w:val="none" w:sz="0" w:space="0" w:color="auto"/>
      </w:divBdr>
    </w:div>
    <w:div w:id="1229267842">
      <w:bodyDiv w:val="1"/>
      <w:marLeft w:val="0"/>
      <w:marRight w:val="0"/>
      <w:marTop w:val="0"/>
      <w:marBottom w:val="0"/>
      <w:divBdr>
        <w:top w:val="none" w:sz="0" w:space="0" w:color="auto"/>
        <w:left w:val="none" w:sz="0" w:space="0" w:color="auto"/>
        <w:bottom w:val="none" w:sz="0" w:space="0" w:color="auto"/>
        <w:right w:val="none" w:sz="0" w:space="0" w:color="auto"/>
      </w:divBdr>
      <w:divsChild>
        <w:div w:id="1566254011">
          <w:marLeft w:val="0"/>
          <w:marRight w:val="0"/>
          <w:marTop w:val="0"/>
          <w:marBottom w:val="0"/>
          <w:divBdr>
            <w:top w:val="none" w:sz="0" w:space="0" w:color="auto"/>
            <w:left w:val="none" w:sz="0" w:space="0" w:color="auto"/>
            <w:bottom w:val="none" w:sz="0" w:space="0" w:color="auto"/>
            <w:right w:val="none" w:sz="0" w:space="0" w:color="auto"/>
          </w:divBdr>
          <w:divsChild>
            <w:div w:id="1131365523">
              <w:marLeft w:val="0"/>
              <w:marRight w:val="0"/>
              <w:marTop w:val="0"/>
              <w:marBottom w:val="0"/>
              <w:divBdr>
                <w:top w:val="none" w:sz="0" w:space="0" w:color="auto"/>
                <w:left w:val="none" w:sz="0" w:space="0" w:color="auto"/>
                <w:bottom w:val="none" w:sz="0" w:space="0" w:color="auto"/>
                <w:right w:val="none" w:sz="0" w:space="0" w:color="auto"/>
              </w:divBdr>
              <w:divsChild>
                <w:div w:id="7805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02265">
      <w:bodyDiv w:val="1"/>
      <w:marLeft w:val="0"/>
      <w:marRight w:val="0"/>
      <w:marTop w:val="0"/>
      <w:marBottom w:val="0"/>
      <w:divBdr>
        <w:top w:val="none" w:sz="0" w:space="0" w:color="auto"/>
        <w:left w:val="none" w:sz="0" w:space="0" w:color="auto"/>
        <w:bottom w:val="none" w:sz="0" w:space="0" w:color="auto"/>
        <w:right w:val="none" w:sz="0" w:space="0" w:color="auto"/>
      </w:divBdr>
    </w:div>
    <w:div w:id="1263106582">
      <w:bodyDiv w:val="1"/>
      <w:marLeft w:val="0"/>
      <w:marRight w:val="0"/>
      <w:marTop w:val="0"/>
      <w:marBottom w:val="0"/>
      <w:divBdr>
        <w:top w:val="none" w:sz="0" w:space="0" w:color="auto"/>
        <w:left w:val="none" w:sz="0" w:space="0" w:color="auto"/>
        <w:bottom w:val="none" w:sz="0" w:space="0" w:color="auto"/>
        <w:right w:val="none" w:sz="0" w:space="0" w:color="auto"/>
      </w:divBdr>
    </w:div>
    <w:div w:id="1265190470">
      <w:bodyDiv w:val="1"/>
      <w:marLeft w:val="0"/>
      <w:marRight w:val="0"/>
      <w:marTop w:val="0"/>
      <w:marBottom w:val="0"/>
      <w:divBdr>
        <w:top w:val="none" w:sz="0" w:space="0" w:color="auto"/>
        <w:left w:val="none" w:sz="0" w:space="0" w:color="auto"/>
        <w:bottom w:val="none" w:sz="0" w:space="0" w:color="auto"/>
        <w:right w:val="none" w:sz="0" w:space="0" w:color="auto"/>
      </w:divBdr>
    </w:div>
    <w:div w:id="1300191578">
      <w:bodyDiv w:val="1"/>
      <w:marLeft w:val="0"/>
      <w:marRight w:val="0"/>
      <w:marTop w:val="0"/>
      <w:marBottom w:val="0"/>
      <w:divBdr>
        <w:top w:val="none" w:sz="0" w:space="0" w:color="auto"/>
        <w:left w:val="none" w:sz="0" w:space="0" w:color="auto"/>
        <w:bottom w:val="none" w:sz="0" w:space="0" w:color="auto"/>
        <w:right w:val="none" w:sz="0" w:space="0" w:color="auto"/>
      </w:divBdr>
    </w:div>
    <w:div w:id="1328940798">
      <w:bodyDiv w:val="1"/>
      <w:marLeft w:val="0"/>
      <w:marRight w:val="0"/>
      <w:marTop w:val="0"/>
      <w:marBottom w:val="0"/>
      <w:divBdr>
        <w:top w:val="none" w:sz="0" w:space="0" w:color="auto"/>
        <w:left w:val="none" w:sz="0" w:space="0" w:color="auto"/>
        <w:bottom w:val="none" w:sz="0" w:space="0" w:color="auto"/>
        <w:right w:val="none" w:sz="0" w:space="0" w:color="auto"/>
      </w:divBdr>
    </w:div>
    <w:div w:id="1340885738">
      <w:bodyDiv w:val="1"/>
      <w:marLeft w:val="0"/>
      <w:marRight w:val="0"/>
      <w:marTop w:val="0"/>
      <w:marBottom w:val="0"/>
      <w:divBdr>
        <w:top w:val="none" w:sz="0" w:space="0" w:color="auto"/>
        <w:left w:val="none" w:sz="0" w:space="0" w:color="auto"/>
        <w:bottom w:val="none" w:sz="0" w:space="0" w:color="auto"/>
        <w:right w:val="none" w:sz="0" w:space="0" w:color="auto"/>
      </w:divBdr>
    </w:div>
    <w:div w:id="1463502098">
      <w:bodyDiv w:val="1"/>
      <w:marLeft w:val="0"/>
      <w:marRight w:val="0"/>
      <w:marTop w:val="0"/>
      <w:marBottom w:val="0"/>
      <w:divBdr>
        <w:top w:val="none" w:sz="0" w:space="0" w:color="auto"/>
        <w:left w:val="none" w:sz="0" w:space="0" w:color="auto"/>
        <w:bottom w:val="none" w:sz="0" w:space="0" w:color="auto"/>
        <w:right w:val="none" w:sz="0" w:space="0" w:color="auto"/>
      </w:divBdr>
    </w:div>
    <w:div w:id="1519462131">
      <w:bodyDiv w:val="1"/>
      <w:marLeft w:val="0"/>
      <w:marRight w:val="0"/>
      <w:marTop w:val="0"/>
      <w:marBottom w:val="0"/>
      <w:divBdr>
        <w:top w:val="none" w:sz="0" w:space="0" w:color="auto"/>
        <w:left w:val="none" w:sz="0" w:space="0" w:color="auto"/>
        <w:bottom w:val="none" w:sz="0" w:space="0" w:color="auto"/>
        <w:right w:val="none" w:sz="0" w:space="0" w:color="auto"/>
      </w:divBdr>
    </w:div>
    <w:div w:id="1654140686">
      <w:bodyDiv w:val="1"/>
      <w:marLeft w:val="0"/>
      <w:marRight w:val="0"/>
      <w:marTop w:val="0"/>
      <w:marBottom w:val="0"/>
      <w:divBdr>
        <w:top w:val="none" w:sz="0" w:space="0" w:color="auto"/>
        <w:left w:val="none" w:sz="0" w:space="0" w:color="auto"/>
        <w:bottom w:val="none" w:sz="0" w:space="0" w:color="auto"/>
        <w:right w:val="none" w:sz="0" w:space="0" w:color="auto"/>
      </w:divBdr>
      <w:divsChild>
        <w:div w:id="1298342316">
          <w:marLeft w:val="0"/>
          <w:marRight w:val="0"/>
          <w:marTop w:val="0"/>
          <w:marBottom w:val="0"/>
          <w:divBdr>
            <w:top w:val="none" w:sz="0" w:space="0" w:color="auto"/>
            <w:left w:val="none" w:sz="0" w:space="0" w:color="auto"/>
            <w:bottom w:val="none" w:sz="0" w:space="0" w:color="auto"/>
            <w:right w:val="none" w:sz="0" w:space="0" w:color="auto"/>
          </w:divBdr>
        </w:div>
      </w:divsChild>
    </w:div>
    <w:div w:id="1738285296">
      <w:bodyDiv w:val="1"/>
      <w:marLeft w:val="0"/>
      <w:marRight w:val="0"/>
      <w:marTop w:val="0"/>
      <w:marBottom w:val="0"/>
      <w:divBdr>
        <w:top w:val="none" w:sz="0" w:space="0" w:color="auto"/>
        <w:left w:val="none" w:sz="0" w:space="0" w:color="auto"/>
        <w:bottom w:val="none" w:sz="0" w:space="0" w:color="auto"/>
        <w:right w:val="none" w:sz="0" w:space="0" w:color="auto"/>
      </w:divBdr>
    </w:div>
    <w:div w:id="1740715153">
      <w:bodyDiv w:val="1"/>
      <w:marLeft w:val="0"/>
      <w:marRight w:val="0"/>
      <w:marTop w:val="0"/>
      <w:marBottom w:val="0"/>
      <w:divBdr>
        <w:top w:val="none" w:sz="0" w:space="0" w:color="auto"/>
        <w:left w:val="none" w:sz="0" w:space="0" w:color="auto"/>
        <w:bottom w:val="none" w:sz="0" w:space="0" w:color="auto"/>
        <w:right w:val="none" w:sz="0" w:space="0" w:color="auto"/>
      </w:divBdr>
    </w:div>
    <w:div w:id="1848591996">
      <w:bodyDiv w:val="1"/>
      <w:marLeft w:val="0"/>
      <w:marRight w:val="0"/>
      <w:marTop w:val="0"/>
      <w:marBottom w:val="0"/>
      <w:divBdr>
        <w:top w:val="none" w:sz="0" w:space="0" w:color="auto"/>
        <w:left w:val="none" w:sz="0" w:space="0" w:color="auto"/>
        <w:bottom w:val="none" w:sz="0" w:space="0" w:color="auto"/>
        <w:right w:val="none" w:sz="0" w:space="0" w:color="auto"/>
      </w:divBdr>
      <w:divsChild>
        <w:div w:id="1401558651">
          <w:marLeft w:val="0"/>
          <w:marRight w:val="0"/>
          <w:marTop w:val="0"/>
          <w:marBottom w:val="0"/>
          <w:divBdr>
            <w:top w:val="none" w:sz="0" w:space="0" w:color="auto"/>
            <w:left w:val="none" w:sz="0" w:space="0" w:color="auto"/>
            <w:bottom w:val="none" w:sz="0" w:space="0" w:color="auto"/>
            <w:right w:val="none" w:sz="0" w:space="0" w:color="auto"/>
          </w:divBdr>
          <w:divsChild>
            <w:div w:id="1230774403">
              <w:marLeft w:val="0"/>
              <w:marRight w:val="0"/>
              <w:marTop w:val="0"/>
              <w:marBottom w:val="0"/>
              <w:divBdr>
                <w:top w:val="none" w:sz="0" w:space="0" w:color="auto"/>
                <w:left w:val="none" w:sz="0" w:space="0" w:color="auto"/>
                <w:bottom w:val="none" w:sz="0" w:space="0" w:color="auto"/>
                <w:right w:val="none" w:sz="0" w:space="0" w:color="auto"/>
              </w:divBdr>
              <w:divsChild>
                <w:div w:id="3110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4856">
      <w:bodyDiv w:val="1"/>
      <w:marLeft w:val="0"/>
      <w:marRight w:val="0"/>
      <w:marTop w:val="0"/>
      <w:marBottom w:val="0"/>
      <w:divBdr>
        <w:top w:val="none" w:sz="0" w:space="0" w:color="auto"/>
        <w:left w:val="none" w:sz="0" w:space="0" w:color="auto"/>
        <w:bottom w:val="none" w:sz="0" w:space="0" w:color="auto"/>
        <w:right w:val="none" w:sz="0" w:space="0" w:color="auto"/>
      </w:divBdr>
    </w:div>
    <w:div w:id="1911034028">
      <w:bodyDiv w:val="1"/>
      <w:marLeft w:val="0"/>
      <w:marRight w:val="0"/>
      <w:marTop w:val="0"/>
      <w:marBottom w:val="0"/>
      <w:divBdr>
        <w:top w:val="none" w:sz="0" w:space="0" w:color="auto"/>
        <w:left w:val="none" w:sz="0" w:space="0" w:color="auto"/>
        <w:bottom w:val="none" w:sz="0" w:space="0" w:color="auto"/>
        <w:right w:val="none" w:sz="0" w:space="0" w:color="auto"/>
      </w:divBdr>
    </w:div>
    <w:div w:id="1922517828">
      <w:bodyDiv w:val="1"/>
      <w:marLeft w:val="0"/>
      <w:marRight w:val="0"/>
      <w:marTop w:val="0"/>
      <w:marBottom w:val="0"/>
      <w:divBdr>
        <w:top w:val="none" w:sz="0" w:space="0" w:color="auto"/>
        <w:left w:val="none" w:sz="0" w:space="0" w:color="auto"/>
        <w:bottom w:val="none" w:sz="0" w:space="0" w:color="auto"/>
        <w:right w:val="none" w:sz="0" w:space="0" w:color="auto"/>
      </w:divBdr>
    </w:div>
    <w:div w:id="1986742559">
      <w:bodyDiv w:val="1"/>
      <w:marLeft w:val="0"/>
      <w:marRight w:val="0"/>
      <w:marTop w:val="0"/>
      <w:marBottom w:val="0"/>
      <w:divBdr>
        <w:top w:val="none" w:sz="0" w:space="0" w:color="auto"/>
        <w:left w:val="none" w:sz="0" w:space="0" w:color="auto"/>
        <w:bottom w:val="none" w:sz="0" w:space="0" w:color="auto"/>
        <w:right w:val="none" w:sz="0" w:space="0" w:color="auto"/>
      </w:divBdr>
    </w:div>
    <w:div w:id="2020349920">
      <w:bodyDiv w:val="1"/>
      <w:marLeft w:val="0"/>
      <w:marRight w:val="0"/>
      <w:marTop w:val="0"/>
      <w:marBottom w:val="0"/>
      <w:divBdr>
        <w:top w:val="none" w:sz="0" w:space="0" w:color="auto"/>
        <w:left w:val="none" w:sz="0" w:space="0" w:color="auto"/>
        <w:bottom w:val="none" w:sz="0" w:space="0" w:color="auto"/>
        <w:right w:val="none" w:sz="0" w:space="0" w:color="auto"/>
      </w:divBdr>
      <w:divsChild>
        <w:div w:id="1051685395">
          <w:marLeft w:val="0"/>
          <w:marRight w:val="0"/>
          <w:marTop w:val="0"/>
          <w:marBottom w:val="0"/>
          <w:divBdr>
            <w:top w:val="none" w:sz="0" w:space="0" w:color="auto"/>
            <w:left w:val="none" w:sz="0" w:space="0" w:color="auto"/>
            <w:bottom w:val="none" w:sz="0" w:space="0" w:color="auto"/>
            <w:right w:val="none" w:sz="0" w:space="0" w:color="auto"/>
          </w:divBdr>
          <w:divsChild>
            <w:div w:id="292174894">
              <w:marLeft w:val="0"/>
              <w:marRight w:val="0"/>
              <w:marTop w:val="0"/>
              <w:marBottom w:val="0"/>
              <w:divBdr>
                <w:top w:val="none" w:sz="0" w:space="0" w:color="auto"/>
                <w:left w:val="none" w:sz="0" w:space="0" w:color="auto"/>
                <w:bottom w:val="none" w:sz="0" w:space="0" w:color="auto"/>
                <w:right w:val="none" w:sz="0" w:space="0" w:color="auto"/>
              </w:divBdr>
              <w:divsChild>
                <w:div w:id="2308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47012">
      <w:bodyDiv w:val="1"/>
      <w:marLeft w:val="0"/>
      <w:marRight w:val="0"/>
      <w:marTop w:val="0"/>
      <w:marBottom w:val="0"/>
      <w:divBdr>
        <w:top w:val="none" w:sz="0" w:space="0" w:color="auto"/>
        <w:left w:val="none" w:sz="0" w:space="0" w:color="auto"/>
        <w:bottom w:val="none" w:sz="0" w:space="0" w:color="auto"/>
        <w:right w:val="none" w:sz="0" w:space="0" w:color="auto"/>
      </w:divBdr>
    </w:div>
    <w:div w:id="2062240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tch-model.org/" TargetMode="Externa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oi.org/10.5281/zenodo.7228323" TargetMode="Externa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Clipper1</b:Tag>
    <b:SourceType>Report</b:SourceType>
    <b:Guid>{E0870AC7-A8CC-47B9-9289-89C6AEA8D862}</b:Guid>
    <b:Author>
      <b:Author>
        <b:NameList>
          <b:Person>
            <b:Last>Mikhail</b:Last>
            <b:First>Amir</b:First>
          </b:Person>
        </b:NameList>
      </b:Author>
    </b:Author>
    <b:Title>Distributed Generation Drivetrain for High‐Torque Wind Turbine Applications</b:Title>
    <b:Year>2005</b:Year>
    <b:Publisher>California Energy Commission, PIER Renewable Energy Technologies Program.</b:Publisher>
    <b:StandardNumber>CEC‐500‐2011‐002</b:StandardNumber>
    <b:RefOrder>19</b:RefOrder>
  </b:Source>
  <b:Source>
    <b:Tag>Clipper2</b:Tag>
    <b:SourceType>DocumentFromInternetSite</b:SourceType>
    <b:Guid>{53692DF3-1653-4CC8-8CBC-1395B77EC72F}</b:Guid>
    <b:Title>Power Curve Files - Clipper</b:Title>
    <b:YearAccessed>2014</b:YearAccessed>
    <b:MonthAccessed>November</b:MonthAccessed>
    <b:DayAccessed>5</b:DayAccessed>
    <b:URL>https://inlportal.inl.gov/portal/server.pt?open=512&amp;objID=424&amp;PageID=3993&amp;cached=true&amp;mode=2&amp;userID=1829</b:URL>
    <b:Author>
      <b:Author>
        <b:Corporate>Idaho National Laboratory</b:Corporate>
      </b:Author>
    </b:Author>
    <b:InternetSiteTitle>Idaho National Laboratory</b:InternetSiteTitle>
    <b:RefOrder>20</b:RefOrder>
  </b:Source>
  <b:Source>
    <b:Tag>HECO_IRP1</b:Tag>
    <b:SourceType>Report</b:SourceType>
    <b:Guid>{0712ABA7-A2B1-4D80-B09B-1458642F78EC}</b:Guid>
    <b:Title>2013 Integrated Resource Planning Report</b:Title>
    <b:Year>2013</b:Year>
    <b:StandardNumber>Docket No. 2012-0036</b:StandardNumber>
    <b:Author>
      <b:Author>
        <b:Corporate>Hawaiian Electric Companies</b:Corporate>
      </b:Author>
    </b:Author>
    <b:Publisher>Hawaiian Electric Companies</b:Publisher>
    <b:RefOrder>3</b:RefOrder>
  </b:Source>
</b:Sources>
</file>

<file path=customXml/itemProps1.xml><?xml version="1.0" encoding="utf-8"?>
<ds:datastoreItem xmlns:ds="http://schemas.openxmlformats.org/officeDocument/2006/customXml" ds:itemID="{BEC2C95F-5459-1541-90AB-38FAF43EE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8</Pages>
  <Words>8061</Words>
  <Characters>45954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53908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Fripp</dc:creator>
  <cp:keywords/>
  <dc:description/>
  <cp:lastModifiedBy>Matthias Fripp</cp:lastModifiedBy>
  <cp:revision>37</cp:revision>
  <cp:lastPrinted>2017-08-09T20:46:00Z</cp:lastPrinted>
  <dcterms:created xsi:type="dcterms:W3CDTF">2019-11-25T23:10:00Z</dcterms:created>
  <dcterms:modified xsi:type="dcterms:W3CDTF">2023-02-03T21:50:00Z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id="MiMPWSYh"/&gt;&lt;style id="http://www.zotero.org/styles/chicago-author-date" locale="en-US" hasBibliography="1" bibliographyStyleHasBeenSet="1"/&gt;&lt;prefs&gt;&lt;pref name="fieldType" value="Field"/&gt;&lt;pref name</vt:lpwstr>
  </property>
  <property fmtid="{D5CDD505-2E9C-101B-9397-08002B2CF9AE}" pid="3" name="ZOTERO_PREF_2">
    <vt:lpwstr>="storeReferences" value="true"/&gt;&lt;/prefs&gt;&lt;/data&gt;</vt:lpwstr>
  </property>
  <property fmtid="{D5CDD505-2E9C-101B-9397-08002B2CF9AE}" pid="4" name="MTMacEqns">
    <vt:bool>true</vt:bool>
  </property>
</Properties>
</file>