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92B88" w14:textId="262B2007" w:rsidR="00175D27" w:rsidRDefault="009C31E1" w:rsidP="00C93296">
      <w:pPr>
        <w:pStyle w:val="BodyText"/>
      </w:pPr>
      <w:r>
        <w:rPr>
          <w:b/>
          <w:bCs/>
        </w:rPr>
        <w:t>Introduction.</w:t>
      </w:r>
      <w:r w:rsidRPr="00275E7A">
        <w:t xml:space="preserve"> </w:t>
      </w:r>
      <w:r w:rsidR="00275E7A" w:rsidRPr="00275E7A">
        <w:t>This document describes how the Switch-Oahu model</w:t>
      </w:r>
      <w:r w:rsidR="00275E7A">
        <w:t xml:space="preserve"> was configured to choose a long-term generation plan for the “</w:t>
      </w:r>
      <w:proofErr w:type="spellStart"/>
      <w:r w:rsidR="00275E7A">
        <w:t>Ulupono</w:t>
      </w:r>
      <w:proofErr w:type="spellEnd"/>
      <w:r w:rsidR="00275E7A">
        <w:t xml:space="preserve"> #1” scenario for the RIST tool. </w:t>
      </w:r>
      <w:r w:rsidR="00175D27">
        <w:t xml:space="preserve">Switch is </w:t>
      </w:r>
      <w:r w:rsidR="00275E7A">
        <w:t xml:space="preserve">an electricity capacity </w:t>
      </w:r>
      <w:r w:rsidR="00175D27">
        <w:t xml:space="preserve">planning model </w:t>
      </w:r>
      <w:r w:rsidR="00E12870">
        <w:t xml:space="preserve">that chooses a </w:t>
      </w:r>
      <w:r w:rsidR="008520BB">
        <w:t>cost-minimizing</w:t>
      </w:r>
      <w:r w:rsidR="00E12870">
        <w:t xml:space="preserve"> portfolio of generation assets </w:t>
      </w:r>
      <w:r w:rsidR="00175D27">
        <w:t xml:space="preserve">for power systems with large shares of renewable energy. </w:t>
      </w:r>
      <w:r w:rsidR="00E12870">
        <w:t>D</w:t>
      </w:r>
      <w:r w:rsidR="00175D27">
        <w:t xml:space="preserve">etails are given in </w:t>
      </w:r>
      <w:r w:rsidR="0007727D">
        <w:t xml:space="preserve">Johnson et al. </w:t>
      </w:r>
      <w:r w:rsidR="00175D27">
        <w:fldChar w:fldCharType="begin"/>
      </w:r>
      <w:r w:rsidR="000524EB">
        <w:instrText xml:space="preserve"> ADDIN ZOTERO_ITEM CSL_CITATION {"citationID":"hSPxXjRM","properties":{"formattedCitation":"(2018)","plainCitation":"(2018)","noteIndex":0},"citationItems":[{"id":1730,"uris":["http://zotero.org/users/1686015/items/MKBUQPG8"],"uri":["http://zotero.org/users/1686015/items/MKBUQPG8"],"itemData":{"id":1730,"type":"report","publisher":"Preprint","title":"Switch 2.0: a modern platform for planning high-renewable power systems","URL":"https://arxiv.org/abs/1804.05481","author":[{"family":"Johnston","given":"Josiah"},{"family":"Henríquez","given":"Rodrigo"},{"family":"Maluenda","given":"Benjamín"},{"family":"Fripp","given":"Matthias"}],"issued":{"date-parts":[["2018"]]}},"suppress-author":true}],"schema":"https://github.com/citation-style-language/schema/raw/master/csl-citation.json"} </w:instrText>
      </w:r>
      <w:r w:rsidR="00175D27">
        <w:fldChar w:fldCharType="separate"/>
      </w:r>
      <w:r w:rsidR="0007727D">
        <w:rPr>
          <w:rFonts w:cs="Times New Roman"/>
        </w:rPr>
        <w:t>(2018)</w:t>
      </w:r>
      <w:r w:rsidR="00175D27">
        <w:fldChar w:fldCharType="end"/>
      </w:r>
      <w:r w:rsidR="00175D27">
        <w:t>.</w:t>
      </w:r>
      <w:r w:rsidR="0007727D">
        <w:t xml:space="preserve"> Switch software and tutorials can be downloaded from </w:t>
      </w:r>
      <w:hyperlink r:id="rId8" w:history="1">
        <w:r w:rsidR="0007727D" w:rsidRPr="0007727D">
          <w:rPr>
            <w:rStyle w:val="Hyperlink"/>
          </w:rPr>
          <w:t>http://switch-model.org/</w:t>
        </w:r>
      </w:hyperlink>
      <w:r w:rsidR="0007727D">
        <w:t>.</w:t>
      </w:r>
      <w:r>
        <w:t xml:space="preserve"> This </w:t>
      </w:r>
      <w:r w:rsidR="00275E7A">
        <w:t xml:space="preserve">document </w:t>
      </w:r>
      <w:r>
        <w:t xml:space="preserve">describes how Switch </w:t>
      </w:r>
      <w:r w:rsidR="0007727D">
        <w:t xml:space="preserve">was run to create the </w:t>
      </w:r>
      <w:proofErr w:type="spellStart"/>
      <w:r>
        <w:t>Ulupono</w:t>
      </w:r>
      <w:proofErr w:type="spellEnd"/>
      <w:r>
        <w:t xml:space="preserve"> #1 scenario</w:t>
      </w:r>
      <w:r w:rsidR="0007727D">
        <w:t xml:space="preserve"> on Dec. </w:t>
      </w:r>
      <w:r w:rsidR="00C41F1A">
        <w:t>1</w:t>
      </w:r>
      <w:r w:rsidR="00453215">
        <w:t>4</w:t>
      </w:r>
      <w:bookmarkStart w:id="0" w:name="_GoBack"/>
      <w:bookmarkEnd w:id="0"/>
      <w:r w:rsidR="0007727D">
        <w:t>, 2019</w:t>
      </w:r>
      <w:r>
        <w:t>.</w:t>
      </w:r>
      <w:r w:rsidR="009B22B8">
        <w:t xml:space="preserve"> Inputs and outputs for this scenario are available from</w:t>
      </w:r>
      <w:r w:rsidR="00D1469A">
        <w:t xml:space="preserve"> </w:t>
      </w:r>
      <w:hyperlink r:id="rId9" w:history="1">
        <w:r w:rsidR="00D1469A" w:rsidRPr="00D1469A">
          <w:rPr>
            <w:rStyle w:val="Hyperlink"/>
          </w:rPr>
          <w:t>https://github.com/switch-hawaii/ulupono_scenario_1</w:t>
        </w:r>
      </w:hyperlink>
      <w:r w:rsidR="00E84A15">
        <w:t>. The scenario used Switch version 2.0.6</w:t>
      </w:r>
      <w:r w:rsidR="009B22B8">
        <w:t>.</w:t>
      </w:r>
    </w:p>
    <w:p w14:paraId="623DDA42" w14:textId="77777777" w:rsidR="0007727D" w:rsidRDefault="00E12870" w:rsidP="005E5F75">
      <w:pPr>
        <w:pStyle w:val="BodyText"/>
      </w:pPr>
      <w:r>
        <w:rPr>
          <w:b/>
          <w:bCs/>
        </w:rPr>
        <w:t xml:space="preserve">Geography and calendar. </w:t>
      </w:r>
      <w:r>
        <w:t xml:space="preserve">For this scenario, </w:t>
      </w:r>
      <w:r w:rsidR="00CA30EC">
        <w:t xml:space="preserve">Oahu </w:t>
      </w:r>
      <w:r w:rsidR="00CA1A05">
        <w:t>is</w:t>
      </w:r>
      <w:r>
        <w:t xml:space="preserve"> modeled </w:t>
      </w:r>
      <w:r w:rsidR="00CA30EC">
        <w:t xml:space="preserve">as a single zone with </w:t>
      </w:r>
      <w:r>
        <w:t xml:space="preserve">adequate internal transmission and </w:t>
      </w:r>
      <w:r w:rsidR="00CA30EC">
        <w:t>no connection to neighbor islands</w:t>
      </w:r>
      <w:r>
        <w:t xml:space="preserve">. The generation portfolio </w:t>
      </w:r>
      <w:r w:rsidR="00CA1A05">
        <w:t xml:space="preserve">is </w:t>
      </w:r>
      <w:r>
        <w:t xml:space="preserve">optimized over </w:t>
      </w:r>
      <w:r w:rsidR="00CA30EC">
        <w:t xml:space="preserve">the </w:t>
      </w:r>
      <w:r>
        <w:t xml:space="preserve">period of </w:t>
      </w:r>
      <w:r w:rsidR="00CA30EC">
        <w:t>2020–20</w:t>
      </w:r>
      <w:r w:rsidR="0007727D">
        <w:t>49</w:t>
      </w:r>
      <w:r w:rsidR="00CA30EC">
        <w:t xml:space="preserve">. </w:t>
      </w:r>
      <w:r>
        <w:t>W</w:t>
      </w:r>
      <w:r w:rsidR="00CA30EC">
        <w:t xml:space="preserve">eather </w:t>
      </w:r>
      <w:r>
        <w:t xml:space="preserve">and loads </w:t>
      </w:r>
      <w:r w:rsidR="00CA30EC">
        <w:t xml:space="preserve">during each </w:t>
      </w:r>
      <w:r w:rsidR="0007727D">
        <w:t xml:space="preserve">year </w:t>
      </w:r>
      <w:r>
        <w:t xml:space="preserve">are represented by 13 </w:t>
      </w:r>
      <w:r w:rsidR="00CA30EC">
        <w:t>one-day timeseries, with 12 two-hour timesteps on each sample day</w:t>
      </w:r>
      <w:r>
        <w:t xml:space="preserve">. </w:t>
      </w:r>
      <w:r w:rsidR="00CA30EC">
        <w:t xml:space="preserve">Decisions about generator commitment, output, storage and demand response are made during each of these timesteps. </w:t>
      </w:r>
      <w:r>
        <w:t xml:space="preserve">These weather days </w:t>
      </w:r>
      <w:r w:rsidR="0002552A">
        <w:t xml:space="preserve">were selected and weighted to match </w:t>
      </w:r>
      <w:r>
        <w:t>historical conditions in 2007–08</w:t>
      </w:r>
      <w:r w:rsidR="0002552A">
        <w:t xml:space="preserve"> as accurately as possible, including the single most difficult </w:t>
      </w:r>
      <w:r>
        <w:t>weather day</w:t>
      </w:r>
      <w:r w:rsidR="0002552A">
        <w:t xml:space="preserve"> </w:t>
      </w:r>
      <w:r>
        <w:t>(low wind and sun and high loads)</w:t>
      </w:r>
      <w:r w:rsidR="0002552A">
        <w:t>.</w:t>
      </w:r>
      <w:r w:rsidR="009C31E1">
        <w:t xml:space="preserve"> </w:t>
      </w:r>
    </w:p>
    <w:p w14:paraId="096065A1" w14:textId="451848C4" w:rsidR="0002552A" w:rsidRDefault="0007727D" w:rsidP="0007727D">
      <w:pPr>
        <w:pStyle w:val="BodyText"/>
      </w:pPr>
      <w:r>
        <w:t xml:space="preserve">The model is run in two phases. Initially, the generation portfolio is optimized with new investments allowed in 2020, 2022, 2025, 2030, 2035, 2040 and 2045. </w:t>
      </w:r>
      <w:r w:rsidR="005E5F75" w:rsidRPr="005E5F75">
        <w:t xml:space="preserve">After the portfolio is selected, </w:t>
      </w:r>
      <w:r>
        <w:t xml:space="preserve">construction of new renewable generation and batteries in each of these periods are spread equally over the years between the preceding period and the current period. The construction plan is then frozen, and </w:t>
      </w:r>
      <w:r w:rsidR="005E5F75" w:rsidRPr="005E5F75">
        <w:t>Switch is run in production-cost mode to evaluate performance during each year between 2020 and 20</w:t>
      </w:r>
      <w:r>
        <w:t>45</w:t>
      </w:r>
      <w:r w:rsidR="005E5F75" w:rsidRPr="005E5F75">
        <w:t xml:space="preserve"> (2020, 2021, 2022, 2023, etc.)</w:t>
      </w:r>
      <w:r>
        <w:t>. Only data for 2020–38 are used in RIST.</w:t>
      </w:r>
    </w:p>
    <w:p w14:paraId="0C277ED9" w14:textId="78DE7A65" w:rsidR="00D9301A" w:rsidRPr="00D9301A" w:rsidRDefault="00D9301A" w:rsidP="0002552A">
      <w:pPr>
        <w:pStyle w:val="BodyText"/>
      </w:pPr>
      <w:r>
        <w:rPr>
          <w:b/>
          <w:bCs/>
        </w:rPr>
        <w:t xml:space="preserve">Financial assumptions. </w:t>
      </w:r>
      <w:r>
        <w:t xml:space="preserve">All costs </w:t>
      </w:r>
      <w:r w:rsidR="009B22B8">
        <w:t xml:space="preserve">input into Switch and reported from Switch are </w:t>
      </w:r>
      <w:r>
        <w:t xml:space="preserve">in 2020 real dollars. </w:t>
      </w:r>
      <w:r w:rsidR="009B22B8">
        <w:t xml:space="preserve">Switch </w:t>
      </w:r>
      <w:r>
        <w:t>minimizes costs on an NPV basis, using a 3% discount rate. Capital costs are assumed to be financed with an annual payment over the life of the asset that is constant in real dollars, i.e., escalating with inflation. The cost of capital for this amortization is assumed to be 6% real (~8% nominal).</w:t>
      </w:r>
      <w:r w:rsidR="009B22B8">
        <w:t xml:space="preserve"> Real-dollar costs are converted to nominal dollars before use in RIST.</w:t>
      </w:r>
    </w:p>
    <w:p w14:paraId="0F49F628" w14:textId="7A25CDDE" w:rsidR="0002552A" w:rsidRDefault="0002552A" w:rsidP="00936904">
      <w:pPr>
        <w:pStyle w:val="BodyText"/>
      </w:pPr>
      <w:r>
        <w:rPr>
          <w:b/>
          <w:bCs/>
        </w:rPr>
        <w:t>Electricity demand</w:t>
      </w:r>
      <w:r>
        <w:t xml:space="preserve">. </w:t>
      </w:r>
      <w:bookmarkStart w:id="1" w:name="_Ref525411584"/>
      <w:r>
        <w:t>We first calculat</w:t>
      </w:r>
      <w:r w:rsidR="00E137E7">
        <w:t>e</w:t>
      </w:r>
      <w:r>
        <w:t xml:space="preserve"> “nominal” electricity demand—hourly loads that would be expected if there is no effort to reschedule loads to better times of day—and then allow a portion of the demand to be rescheduled to other hours. These loads are gross loads at the customer premises, including self-supply by distributed generation (DG)</w:t>
      </w:r>
      <w:r w:rsidR="00936904">
        <w:t>. F</w:t>
      </w:r>
      <w:r>
        <w:t xml:space="preserve">or </w:t>
      </w:r>
      <w:r w:rsidR="00936904">
        <w:t xml:space="preserve">use in </w:t>
      </w:r>
      <w:r>
        <w:t xml:space="preserve">RIST, DG is then subtracted to produce net loads. Nominal demand </w:t>
      </w:r>
      <w:r w:rsidR="00E137E7">
        <w:t>is</w:t>
      </w:r>
      <w:r>
        <w:t xml:space="preserve"> based on hourly Oahu electricity loads in 2007–08, rescaled to have the same peak and average values as forecast for 2020–45. We currently use forecasts from the 2016 PSIP, increased in all years to make the </w:t>
      </w:r>
      <w:r w:rsidR="009B22B8">
        <w:t xml:space="preserve">peak and average </w:t>
      </w:r>
      <w:r>
        <w:t xml:space="preserve">forecast </w:t>
      </w:r>
      <w:r w:rsidR="009B22B8">
        <w:t xml:space="preserve">for 2018 </w:t>
      </w:r>
      <w:r>
        <w:t xml:space="preserve">match actual load in 2018. Peak and average loads for </w:t>
      </w:r>
      <w:r w:rsidR="00936904">
        <w:t>2016</w:t>
      </w:r>
      <w:r>
        <w:t xml:space="preserve">–45 are shown in </w:t>
      </w:r>
      <w:r w:rsidR="009A1416">
        <w:fldChar w:fldCharType="begin"/>
      </w:r>
      <w:r w:rsidR="009A1416">
        <w:instrText xml:space="preserve"> REF _Ref525420349 </w:instrText>
      </w:r>
      <w:r w:rsidR="009A1416">
        <w:fldChar w:fldCharType="separate"/>
      </w:r>
      <w:r>
        <w:t xml:space="preserve">Figure </w:t>
      </w:r>
      <w:r>
        <w:rPr>
          <w:noProof/>
        </w:rPr>
        <w:t>3</w:t>
      </w:r>
      <w:r w:rsidR="009A1416">
        <w:rPr>
          <w:noProof/>
        </w:rPr>
        <w:fldChar w:fldCharType="end"/>
      </w:r>
      <w:r>
        <w:t>.</w:t>
      </w:r>
      <w:r w:rsidR="00E137E7">
        <w:t xml:space="preserve"> </w:t>
      </w:r>
    </w:p>
    <w:p w14:paraId="23751CD2" w14:textId="42A26B1C" w:rsidR="0002552A" w:rsidRDefault="0002552A" w:rsidP="0002552A">
      <w:pPr>
        <w:pStyle w:val="Figure"/>
      </w:pPr>
    </w:p>
    <w:p w14:paraId="1C86A4A1" w14:textId="5DA8B401" w:rsidR="009C29AE" w:rsidRDefault="009C29AE" w:rsidP="0002552A">
      <w:pPr>
        <w:pStyle w:val="Figure"/>
      </w:pPr>
      <w:r>
        <w:drawing>
          <wp:inline distT="0" distB="0" distL="0" distR="0" wp14:anchorId="2C0E6C85" wp14:editId="40660235">
            <wp:extent cx="53340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1701800"/>
                    </a:xfrm>
                    <a:prstGeom prst="rect">
                      <a:avLst/>
                    </a:prstGeom>
                  </pic:spPr>
                </pic:pic>
              </a:graphicData>
            </a:graphic>
          </wp:inline>
        </w:drawing>
      </w:r>
    </w:p>
    <w:p w14:paraId="5EDF7848" w14:textId="5EEB9A47" w:rsidR="0002552A" w:rsidRDefault="0002552A" w:rsidP="0002552A">
      <w:pPr>
        <w:pStyle w:val="Caption"/>
        <w:jc w:val="center"/>
      </w:pPr>
      <w:bookmarkStart w:id="2" w:name="_Ref525420349"/>
      <w:bookmarkStart w:id="3" w:name="_Ref525420311"/>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
      <w:r>
        <w:t xml:space="preserve">. Peak and average nominal load </w:t>
      </w:r>
      <w:r w:rsidR="009C29AE">
        <w:t xml:space="preserve">forecasted </w:t>
      </w:r>
      <w:r>
        <w:t>for Oahu in 20</w:t>
      </w:r>
      <w:r w:rsidR="009C29AE">
        <w:t>16</w:t>
      </w:r>
      <w:r>
        <w:t>–45</w:t>
      </w:r>
      <w:bookmarkEnd w:id="3"/>
    </w:p>
    <w:bookmarkEnd w:id="1"/>
    <w:p w14:paraId="227762CF" w14:textId="58E2D0B5" w:rsidR="00E137E7" w:rsidRDefault="00E137E7" w:rsidP="00E137E7">
      <w:pPr>
        <w:pStyle w:val="BodyText"/>
      </w:pPr>
      <w:r>
        <w:t xml:space="preserve">We assume that 10% of each hour’s nominal load can be rescheduled to a different hour of the day, but that the loads in each hour cannot be increased by more than 80%. We assume that this flexible demand </w:t>
      </w:r>
      <w:r w:rsidR="00936904">
        <w:t>can</w:t>
      </w:r>
      <w:r>
        <w:t>not be used to provide operating reserves to compensate for forecast errors.</w:t>
      </w:r>
    </w:p>
    <w:p w14:paraId="48E46338" w14:textId="06A1C86F" w:rsidR="00E137E7" w:rsidRDefault="00E137E7" w:rsidP="00E137E7">
      <w:pPr>
        <w:pStyle w:val="BodyText"/>
      </w:pPr>
      <w:r>
        <w:rPr>
          <w:b/>
          <w:bCs/>
        </w:rPr>
        <w:t>Electric vehicles (EVs).</w:t>
      </w:r>
      <w:r>
        <w:t xml:space="preserve"> For light-duty vehicles, we use the EV adoption forecast in HECO’s Electrification of Transport study, reaching 55% by 2045. We assume the heavy-duty vehicle fleet (buses and trucks) is electrified at the same rate. For light-duty EVs, we use the </w:t>
      </w:r>
      <w:r w:rsidR="00AC0D99">
        <w:t xml:space="preserve">time-of-day </w:t>
      </w:r>
      <w:r>
        <w:t xml:space="preserve">charging pattern that HECO reported for the </w:t>
      </w:r>
      <w:r w:rsidR="00FA751D">
        <w:t>Electrification of Transport</w:t>
      </w:r>
      <w:r>
        <w:t xml:space="preserve"> study: 50% following a residential business-as-usual charging profile (provided by HECO 11/20/19) and 50% being charged at optimal times. Charging patterns for heavy-duty vehicles are as follows: 50% of buses charge quasi-continuously while on route, between 6 am and 10 pm; 50% of buses charge</w:t>
      </w:r>
      <w:r w:rsidR="00577E35">
        <w:t xml:space="preserve"> off-route</w:t>
      </w:r>
      <w:r>
        <w:t xml:space="preserve"> </w:t>
      </w:r>
      <w:r w:rsidR="00577E35">
        <w:t>at least-cost times between 10 pm and 6 am. Freight vehicles and non-bus diesel passenger vehicles charge at least-cost times while off duty</w:t>
      </w:r>
      <w:r w:rsidR="00AC0D99">
        <w:t>. O</w:t>
      </w:r>
      <w:r w:rsidR="00577E35">
        <w:t xml:space="preserve">ff-duty windows for individual vehicles begin at times scattered between 4 and 10 pm and end at times scattered between 5 and 8 am. Energy requirements </w:t>
      </w:r>
      <w:r w:rsidR="00AC0D99">
        <w:t xml:space="preserve">for vehicle fleet are </w:t>
      </w:r>
      <w:r w:rsidR="00577E35">
        <w:t xml:space="preserve">derived from DBEDT Monthly Energy Trends report and </w:t>
      </w:r>
      <w:r w:rsidR="00AC0D99">
        <w:t xml:space="preserve">FTA </w:t>
      </w:r>
      <w:r w:rsidR="00AC0D99" w:rsidRPr="00AC0D99">
        <w:t>National Transit Database</w:t>
      </w:r>
      <w:r w:rsidR="00AC0D99">
        <w:t>. EVs are assumed to require 3–5 times less energy than gasoline vehicles based on standard test cycles in 2017–18.</w:t>
      </w:r>
    </w:p>
    <w:p w14:paraId="0792FFE7" w14:textId="77777777" w:rsidR="005723EA" w:rsidRDefault="005723EA" w:rsidP="00E137E7">
      <w:pPr>
        <w:pStyle w:val="BodyText"/>
      </w:pPr>
    </w:p>
    <w:p w14:paraId="07755913" w14:textId="77777777" w:rsidR="005723EA" w:rsidRDefault="005723EA" w:rsidP="005723EA">
      <w:pPr>
        <w:pStyle w:val="Figure"/>
      </w:pPr>
      <w:r>
        <w:lastRenderedPageBreak/>
        <w:drawing>
          <wp:inline distT="0" distB="0" distL="0" distR="0" wp14:anchorId="217E2DA4" wp14:editId="00A9A168">
            <wp:extent cx="3657600" cy="2587674"/>
            <wp:effectExtent l="0" t="0" r="0" b="317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resource map hybrid.png"/>
                    <pic:cNvPicPr/>
                  </pic:nvPicPr>
                  <pic:blipFill>
                    <a:blip r:embed="rId11"/>
                    <a:stretch>
                      <a:fillRect/>
                    </a:stretch>
                  </pic:blipFill>
                  <pic:spPr>
                    <a:xfrm>
                      <a:off x="0" y="0"/>
                      <a:ext cx="3676312" cy="2600912"/>
                    </a:xfrm>
                    <a:prstGeom prst="rect">
                      <a:avLst/>
                    </a:prstGeom>
                  </pic:spPr>
                </pic:pic>
              </a:graphicData>
            </a:graphic>
          </wp:inline>
        </w:drawing>
      </w:r>
    </w:p>
    <w:p w14:paraId="1F620AC8" w14:textId="2D6FFB06" w:rsidR="005723EA" w:rsidRDefault="005723EA" w:rsidP="005723EA">
      <w:pPr>
        <w:pStyle w:val="Caption"/>
      </w:pPr>
      <w:bookmarkStart w:id="4" w:name="_Ref525314413"/>
      <w:bookmarkStart w:id="5" w:name="_Ref525314407"/>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4"/>
      <w:r>
        <w:t>. Location of potential renewable resources on Oahu: large solar (gold), rooftop solar (red), onshore wind turbines (black dots) and offshore wind farms (stars in inset)</w:t>
      </w:r>
      <w:bookmarkEnd w:id="5"/>
    </w:p>
    <w:p w14:paraId="6F1CE79D" w14:textId="46DE20DB" w:rsidR="005723EA" w:rsidRDefault="005723EA" w:rsidP="005723EA">
      <w:pPr>
        <w:pStyle w:val="BodyText"/>
      </w:pPr>
      <w:r>
        <w:rPr>
          <w:b/>
          <w:bCs/>
        </w:rPr>
        <w:t>Onshore wind farm potential and performance.</w:t>
      </w:r>
      <w:r w:rsidRPr="005723EA">
        <w:t xml:space="preserve"> We a</w:t>
      </w:r>
      <w:r>
        <w:t>llow wind development on land that meets all of the</w:t>
      </w:r>
      <w:r w:rsidR="005C576B">
        <w:t xml:space="preserve"> </w:t>
      </w:r>
      <w:r>
        <w:t>following criteria: zoned for “country” or “agricultural” use, slopes of 20% or less, not within 300 m</w:t>
      </w:r>
      <w:r w:rsidR="00A27CC5">
        <w:t>eters</w:t>
      </w:r>
      <w:r>
        <w:t xml:space="preserve"> of edge of allowed zone, not on narrow ridge, turbines at least 600 meters apart. Turbine locations are shown as black dots in </w:t>
      </w:r>
      <w:r w:rsidR="009A1416">
        <w:fldChar w:fldCharType="begin"/>
      </w:r>
      <w:r w:rsidR="009A1416">
        <w:instrText xml:space="preserve"> REF _Ref525314413 </w:instrText>
      </w:r>
      <w:r w:rsidR="009A1416">
        <w:fldChar w:fldCharType="separate"/>
      </w:r>
      <w:r>
        <w:t xml:space="preserve">Figure </w:t>
      </w:r>
      <w:r>
        <w:rPr>
          <w:noProof/>
        </w:rPr>
        <w:t>2</w:t>
      </w:r>
      <w:r w:rsidR="009A1416">
        <w:rPr>
          <w:noProof/>
        </w:rPr>
        <w:fldChar w:fldCharType="end"/>
      </w:r>
      <w:r>
        <w:t xml:space="preserve">. Hourly production for each turbine is calculated from gridded data prepared for the OWITS study </w:t>
      </w:r>
      <w:r>
        <w:fldChar w:fldCharType="begin"/>
      </w:r>
      <w:r w:rsidR="000524EB">
        <w:instrText xml:space="preserve"> ADDIN ZOTERO_ITEM CSL_CITATION {"citationID":"FmAbkMoG","properties":{"formattedCitation":"(Corbus et al. 2010; Manobianco et al. 2010)","plainCitation":"(Corbus et al. 2010; Manobianco et al. 2010)","noteIndex":0},"citationItems":[{"id":136,"uris":["http://zotero.org/users/1686015/items/6U8ZTZ4E"],"uri":["http://zotero.org/users/1686015/items/6U8ZTZ4E"],"itemData":{"id":136,"type":"report","event-place":"Golden, Colorado","note":"NREL/TP-5500-48632","page":"http://www.nrel.gov/docs/fy11osti/48632.pdf","publisher":"National Renewable Energy Laboratory","publisher-place":"Golden, Colorado","title":"Oahu Wind Integration and Transmission Study: Summary Report","title-short":"Oahu Wind Integration and Transmission Study: Summary Report","URL":"http://www.nrel.gov/docs/fy11osti/48632.pdf","author":[{"family":"Corbus","given":"Dave"},{"family":"Schuerger","given":"Matt"},{"family":"Roose","given":"Leon"},{"family":"Strickler","given":"Josh"},{"family":"Surles","given":"Terry"},{"family":"Manz","given":"Devon"},{"family":"Burlingame","given":"Dave"},{"family":"Woodford","given":"Dennis"}],"issued":{"date-parts":[["2010",11]]}}},{"id":130,"uris":["http://zotero.org/users/1686015/items/6QQFC28Z"],"uri":["http://zotero.org/users/1686015/items/6QQFC28Z"],"itemData":{"id":130,"type":"report","note":"NREL/SR-550-48680","number":"NREL/SR-550-48680","publisher":"AWS Truepower LLC for the National Renewable Energy Laboratory","title":"Development of Regional Wind Resource and Wind Plant Output Datasets for the Hawaiian Islands","title-short":"Development of Regional Wind Resource and Wind Plant Output Datasets for the Hawaiian Islands","URL":"http://www.nrel.gov/docs/fy10osti/48680.pdf","author":[{"family":"Manobianco","given":"John"},{"family":"Alonge","given":"Charles"},{"family":"Frank","given":"Jaclyn"},{"family":"Brower","given":"Michael"}],"issued":{"date-parts":[["2010",7]]}}}],"schema":"https://github.com/citation-style-language/schema/raw/master/csl-citation.json"} </w:instrText>
      </w:r>
      <w:r>
        <w:fldChar w:fldCharType="separate"/>
      </w:r>
      <w:r w:rsidR="00244790">
        <w:rPr>
          <w:rFonts w:cs="Times New Roman"/>
        </w:rPr>
        <w:t>(Corbus et al. 2010; Manobianco et al. 2010)</w:t>
      </w:r>
      <w:r>
        <w:fldChar w:fldCharType="end"/>
      </w:r>
      <w:r>
        <w:t xml:space="preserve"> and earlier 200-meter wind maps</w:t>
      </w:r>
      <w:r>
        <w:fldChar w:fldCharType="begin"/>
      </w:r>
      <w:r w:rsidR="000524EB">
        <w:instrText xml:space="preserve"> ADDIN ZOTERO_ITEM CSL_CITATION {"citationID":"pJ52NxW6","properties":{"formattedCitation":"(AWS Truewind 2004a; 2004b)","plainCitation":"(AWS Truewind 2004a; 2004b)","noteIndex":0},"citationItems":[{"id":2276,"uris":["http://zotero.org/users/1686015/items/FS4UFRVM"],"uri":["http://zotero.org/users/1686015/items/FS4UFRVM"],"itemData":{"id":2276,"type":"report","event-place":"Honolulu, Hawaii","publisher":"AWS Truewind for Hawaii Department of Business, Economic Development","publisher-place":"Honolulu, Hawaii","title":"Wind Energy Resource Maps of Hawaii","URL":"http://energy.hawaii.gov/wp-content/uploads/2011/10/WindEnergyResourceMapsHawaii_AWSTruewind_2004.pdf","author":[{"literal":"AWS Truewind"}],"accessed":{"date-parts":[["2018",9,20]]},"issued":{"date-parts":[["2004",6,30]]}}},{"id":2275,"uris":["http://zotero.org/users/1686015/items/E545X42C"],"uri":["http://zotero.org/users/1686015/items/E545X42C"],"itemData":{"id":2275,"type":"report","event-place":"Honolulu, Hawaii","publisher":"AWS Truewind for Hawaii Department of Business, Economic Development","publisher-place":"Honolulu, Hawaii","title":"Wind Speed Map of Hawaii at 70 Meters","URL":"http://energy.hawaii.gov/wp-content/uploads/2011/10/Hawaii_FINAL_SPD70m_26July04.pdf","author":[{"literal":"AWS Truewind"}],"accessed":{"date-parts":[["2018",9,20]]},"issued":{"date-parts":[["2004",7,26]]}}}],"schema":"https://github.com/citation-style-language/schema/raw/master/csl-citation.json"} </w:instrText>
      </w:r>
      <w:r>
        <w:fldChar w:fldCharType="separate"/>
      </w:r>
      <w:r w:rsidR="00244790">
        <w:rPr>
          <w:rFonts w:cs="Times New Roman"/>
        </w:rPr>
        <w:t>(AWS Truewind 2004a; 2004b)</w:t>
      </w:r>
      <w:r>
        <w:fldChar w:fldCharType="end"/>
      </w:r>
      <w:r>
        <w:t xml:space="preserve">, using </w:t>
      </w:r>
      <w:r w:rsidRPr="005626CA">
        <w:t>Clipper Liberty 2.5 MW wind turbine</w:t>
      </w:r>
      <w:r>
        <w:t xml:space="preserve"> model </w:t>
      </w:r>
      <w:r w:rsidR="005C576B">
        <w:t xml:space="preserve">C89, C93 or C99, selected for each </w:t>
      </w:r>
      <w:r>
        <w:t>site based on its annual average wind speed.</w:t>
      </w:r>
      <w:r w:rsidR="005C576B">
        <w:t xml:space="preserve"> Losses are assumed to be 12.53% based on 2013 HECO IRP</w:t>
      </w:r>
      <w:r>
        <w:t xml:space="preserve"> </w:t>
      </w:r>
      <w:r>
        <w:fldChar w:fldCharType="begin"/>
      </w:r>
      <w:r w:rsidR="000524EB">
        <w:instrText xml:space="preserve"> ADDIN ZOTERO_ITEM CSL_CITATION {"citationID":"5mr5aNTr","properties":{"formattedCitation":"(HECO 2013)","plainCitation":"(HECO 2013)","noteIndex":0},"citationItems":[{"id":42,"uris":["http://zotero.org/users/1686015/items/36AVUC9K"],"uri":["http://zotero.org/users/1686015/items/36AVUC9K"],"itemData":{"id":42,"type":"report","event-place":"Honolulu, Hawaii","publisher":"Hawaiian Electric Company","publisher-place":"Honolulu, Hawaii","title":"2013 Integrated Resource Planning Report","URL":"http://www.heco.com/heco/Clean-Energy/Integrated-Resource-Planning","author":[{"literal":"HECO"}],"accessed":{"date-parts":[["2014",1,9]]},"issued":{"date-parts":[["2013",6,28]]}}}],"schema":"https://github.com/citation-style-language/schema/raw/master/csl-citation.json"} </w:instrText>
      </w:r>
      <w:r>
        <w:fldChar w:fldCharType="separate"/>
      </w:r>
      <w:r w:rsidR="00244790">
        <w:rPr>
          <w:rFonts w:cs="Times New Roman"/>
        </w:rPr>
        <w:t>(HECO 2013)</w:t>
      </w:r>
      <w:r>
        <w:fldChar w:fldCharType="end"/>
      </w:r>
      <w:r w:rsidRPr="007161E2">
        <w:t>.</w:t>
      </w:r>
    </w:p>
    <w:p w14:paraId="5A6C5FB0" w14:textId="0859313A" w:rsidR="005723EA" w:rsidRDefault="005C576B" w:rsidP="005723EA">
      <w:pPr>
        <w:pStyle w:val="BodyText"/>
      </w:pPr>
      <w:r>
        <w:rPr>
          <w:b/>
          <w:bCs/>
        </w:rPr>
        <w:t>Offshore wind farm potential and performance.</w:t>
      </w:r>
      <w:r>
        <w:t xml:space="preserve"> </w:t>
      </w:r>
      <w:r w:rsidR="005723EA">
        <w:t xml:space="preserve">We define a single, generic offshore wind farm, representing the average of potential production at three proposed offshore wind farms near Oahu </w:t>
      </w:r>
      <w:r w:rsidR="005723EA">
        <w:fldChar w:fldCharType="begin"/>
      </w:r>
      <w:r w:rsidR="000524EB">
        <w:instrText xml:space="preserve"> ADDIN ZOTERO_ITEM CSL_CITATION {"citationID":"zT9e1LoD","properties":{"formattedCitation":"(BOEM 2016)","plainCitation":"(BOEM 2016)","noteIndex":0},"citationItems":[{"id":2279,"uris":["http://zotero.org/users/1686015/items/ZL4GMNY2"],"uri":["http://zotero.org/users/1686015/items/ZL4GMNY2"],"itemData":{"id":2279,"type":"report","event-place":"Washington, D.C.","publisher":"U.S. Bureau of Ocean Energy Management","publisher-place":"Washington, D.C.","title":"Atlantic and Pacific OCS Wind Planning Areas and Wind Energy Areas","URL":"http://www.boem.gov/Renewable-Energy-GIS-Data/","author":[{"literal":"BOEM"}],"accessed":{"date-parts":[["2016",4,7]]},"issued":{"date-parts":[["2016"]]}}}],"schema":"https://github.com/citation-style-language/schema/raw/master/csl-citation.json"} </w:instrText>
      </w:r>
      <w:r w:rsidR="005723EA">
        <w:fldChar w:fldCharType="separate"/>
      </w:r>
      <w:r w:rsidR="00244790">
        <w:rPr>
          <w:rFonts w:cs="Times New Roman"/>
        </w:rPr>
        <w:t>(BOEM 2016)</w:t>
      </w:r>
      <w:r w:rsidR="005723EA">
        <w:fldChar w:fldCharType="end"/>
      </w:r>
      <w:r w:rsidR="005723EA">
        <w:t xml:space="preserve">. We use hourly wind speeds for 2007–08 from AWS </w:t>
      </w:r>
      <w:proofErr w:type="spellStart"/>
      <w:r w:rsidR="005723EA">
        <w:t>Truepower</w:t>
      </w:r>
      <w:proofErr w:type="spellEnd"/>
      <w:r w:rsidR="005723EA">
        <w:t xml:space="preserve"> </w:t>
      </w:r>
      <w:r w:rsidR="005723EA">
        <w:fldChar w:fldCharType="begin"/>
      </w:r>
      <w:r w:rsidR="000524EB">
        <w:instrText xml:space="preserve"> ADDIN ZOTERO_ITEM CSL_CITATION {"citationID":"5dMmk5jF","properties":{"formattedCitation":"(Corbus et al. 2010; Manobianco et al. 2010)","plainCitation":"(Corbus et al. 2010; Manobianco et al. 2010)","noteIndex":0},"citationItems":[{"id":136,"uris":["http://zotero.org/users/1686015/items/6U8ZTZ4E"],"uri":["http://zotero.org/users/1686015/items/6U8ZTZ4E"],"itemData":{"id":136,"type":"report","event-place":"Golden, Colorado","note":"NREL/TP-5500-48632","page":"http://www.nrel.gov/docs/fy11osti/48632.pdf","publisher":"National Renewable Energy Laboratory","publisher-place":"Golden, Colorado","title":"Oahu Wind Integration and Transmission Study: Summary Report","title-short":"Oahu Wind Integration and Transmission Study: Summary Report","URL":"http://www.nrel.gov/docs/fy11osti/48632.pdf","author":[{"family":"Corbus","given":"Dave"},{"family":"Schuerger","given":"Matt"},{"family":"Roose","given":"Leon"},{"family":"Strickler","given":"Josh"},{"family":"Surles","given":"Terry"},{"family":"Manz","given":"Devon"},{"family":"Burlingame","given":"Dave"},{"family":"Woodford","given":"Dennis"}],"issued":{"date-parts":[["2010",11]]}}},{"id":130,"uris":["http://zotero.org/users/1686015/items/6QQFC28Z"],"uri":["http://zotero.org/users/1686015/items/6QQFC28Z"],"itemData":{"id":130,"type":"report","note":"NREL/SR-550-48680","number":"NREL/SR-550-48680","publisher":"AWS Truepower LLC for the National Renewable Energy Laboratory","title":"Development of Regional Wind Resource and Wind Plant Output Datasets for the Hawaiian Islands","title-short":"Development of Regional Wind Resource and Wind Plant Output Datasets for the Hawaiian Islands","URL":"http://www.nrel.gov/docs/fy10osti/48680.pdf","author":[{"family":"Manobianco","given":"John"},{"family":"Alonge","given":"Charles"},{"family":"Frank","given":"Jaclyn"},{"family":"Brower","given":"Michael"}],"issued":{"date-parts":[["2010",7]]}}}],"schema":"https://github.com/citation-style-language/schema/raw/master/csl-citation.json"} </w:instrText>
      </w:r>
      <w:r w:rsidR="005723EA">
        <w:fldChar w:fldCharType="separate"/>
      </w:r>
      <w:r w:rsidR="00244790">
        <w:rPr>
          <w:rFonts w:cs="Times New Roman"/>
        </w:rPr>
        <w:t>(</w:t>
      </w:r>
      <w:proofErr w:type="spellStart"/>
      <w:r w:rsidR="00244790">
        <w:rPr>
          <w:rFonts w:cs="Times New Roman"/>
        </w:rPr>
        <w:t>Corbus</w:t>
      </w:r>
      <w:proofErr w:type="spellEnd"/>
      <w:r w:rsidR="00244790">
        <w:rPr>
          <w:rFonts w:cs="Times New Roman"/>
        </w:rPr>
        <w:t xml:space="preserve"> et al. 2010; Manobianco et al. 2010)</w:t>
      </w:r>
      <w:r w:rsidR="005723EA">
        <w:fldChar w:fldCharType="end"/>
      </w:r>
      <w:r w:rsidR="005723EA">
        <w:t xml:space="preserve">, for the center of each farm at 100 meter elevation. We calculate hourly power production from these using a generic offshore wind turbine power curve, with the operating range extended to 30 m/s to match the Repower 6M </w:t>
      </w:r>
      <w:r w:rsidR="005723EA">
        <w:fldChar w:fldCharType="begin"/>
      </w:r>
      <w:r w:rsidR="000524EB">
        <w:instrText xml:space="preserve"> ADDIN ZOTERO_ITEM CSL_CITATION {"citationID":"tgNAVDe0","properties":{"formattedCitation":"(King, Clifton, and Hodge 2014)","plainCitation":"(King, Clifton, and Hodge 2014)","noteIndex":0},"citationItems":[{"id":2278,"uris":["http://zotero.org/users/1686015/items/ACXQG3IE"],"uri":["http://zotero.org/users/1686015/items/ACXQG3IE"],"itemData":{"id":2278,"type":"report","language":"en","number":"NREL/TP-5D00-61714","title":"Validation of Power Output for the WIND Toolkit","URL":"http://dx.doi.org/10.2172/1159354","author":[{"family":"King","given":"J."},{"family":"Clifton","given":"A."},{"family":"Hodge","given":"B.-M."}],"accessed":{"date-parts":[["2018",9,21]]},"issued":{"date-parts":[["2014",9]]}}}],"schema":"https://github.com/citation-style-language/schema/raw/master/csl-citation.json"} </w:instrText>
      </w:r>
      <w:r w:rsidR="005723EA">
        <w:fldChar w:fldCharType="separate"/>
      </w:r>
      <w:r w:rsidR="00244790">
        <w:rPr>
          <w:rFonts w:cs="Times New Roman"/>
        </w:rPr>
        <w:t>(King, Clifton, and Hodge 2014)</w:t>
      </w:r>
      <w:r w:rsidR="005723EA">
        <w:fldChar w:fldCharType="end"/>
      </w:r>
      <w:r w:rsidR="005723EA">
        <w:t xml:space="preserve">. We assume 12.53% losses, matching the onshore wind projects. The generic project was assigned a maximum size of 2,400 MW (three times larger than current proposals) to reflect the large resources available. The centers of the three proposed wind farms are shown as stars in the inset map in </w:t>
      </w:r>
      <w:r w:rsidR="009A1416">
        <w:fldChar w:fldCharType="begin"/>
      </w:r>
      <w:r w:rsidR="009A1416">
        <w:instrText xml:space="preserve"> REF _Ref525314413 </w:instrText>
      </w:r>
      <w:r w:rsidR="009A1416">
        <w:fldChar w:fldCharType="separate"/>
      </w:r>
      <w:r w:rsidR="005723EA">
        <w:t xml:space="preserve">Figure </w:t>
      </w:r>
      <w:r w:rsidR="005723EA">
        <w:rPr>
          <w:noProof/>
        </w:rPr>
        <w:t>2</w:t>
      </w:r>
      <w:r w:rsidR="009A1416">
        <w:rPr>
          <w:noProof/>
        </w:rPr>
        <w:fldChar w:fldCharType="end"/>
      </w:r>
      <w:r w:rsidR="005723EA">
        <w:t>.</w:t>
      </w:r>
    </w:p>
    <w:p w14:paraId="2F988190" w14:textId="21BA5094" w:rsidR="005723EA" w:rsidRDefault="005C576B" w:rsidP="005C576B">
      <w:pPr>
        <w:pStyle w:val="BodyText"/>
      </w:pPr>
      <w:r>
        <w:rPr>
          <w:b/>
          <w:bCs/>
        </w:rPr>
        <w:t xml:space="preserve">Utility scale solar potential and performance. </w:t>
      </w:r>
      <w:r w:rsidRPr="005723EA">
        <w:t>We a</w:t>
      </w:r>
      <w:r>
        <w:t xml:space="preserve">llow solar development on Oahu land that meets all of the following criteria: </w:t>
      </w:r>
      <w:r w:rsidR="005723EA">
        <w:t>zoned for “country” or “agricultural” use</w:t>
      </w:r>
      <w:r>
        <w:t xml:space="preserve">; </w:t>
      </w:r>
      <w:r w:rsidR="005723EA">
        <w:t>slope below 10%</w:t>
      </w:r>
      <w:r>
        <w:t xml:space="preserve">; not </w:t>
      </w:r>
      <w:r w:rsidR="005723EA">
        <w:t>designated as Class A agricultural land</w:t>
      </w:r>
      <w:r>
        <w:t xml:space="preserve"> </w:t>
      </w:r>
      <w:r w:rsidR="005723EA">
        <w:t>or “Important Agricultural Lands”</w:t>
      </w:r>
      <w:r>
        <w:t xml:space="preserve">; not </w:t>
      </w:r>
      <w:r w:rsidR="005723EA">
        <w:t>within 30 meters of the centerline of roads (</w:t>
      </w:r>
      <w:r>
        <w:t xml:space="preserve">i.e., </w:t>
      </w:r>
      <w:r w:rsidR="005723EA">
        <w:t xml:space="preserve">roads and </w:t>
      </w:r>
      <w:r>
        <w:t xml:space="preserve">urban </w:t>
      </w:r>
      <w:r w:rsidR="005723EA">
        <w:t>areas)</w:t>
      </w:r>
      <w:r>
        <w:t xml:space="preserve">; parcel larger than a </w:t>
      </w:r>
      <w:r w:rsidR="005723EA">
        <w:t>60-meter dis</w:t>
      </w:r>
      <w:r>
        <w:t>k</w:t>
      </w:r>
      <w:r w:rsidR="005723EA">
        <w:t xml:space="preserve">. Land available for large-scale solar is shown as gold in </w:t>
      </w:r>
      <w:r w:rsidR="009A1416">
        <w:fldChar w:fldCharType="begin"/>
      </w:r>
      <w:r w:rsidR="009A1416">
        <w:instrText xml:space="preserve"> REF _Ref525314413 </w:instrText>
      </w:r>
      <w:r w:rsidR="009A1416">
        <w:fldChar w:fldCharType="separate"/>
      </w:r>
      <w:r w:rsidR="005723EA">
        <w:t xml:space="preserve">Figure </w:t>
      </w:r>
      <w:r w:rsidR="005723EA">
        <w:rPr>
          <w:noProof/>
        </w:rPr>
        <w:t>2</w:t>
      </w:r>
      <w:r w:rsidR="009A1416">
        <w:rPr>
          <w:noProof/>
        </w:rPr>
        <w:fldChar w:fldCharType="end"/>
      </w:r>
      <w:r w:rsidR="005723EA">
        <w:rPr>
          <w:noProof/>
        </w:rPr>
        <w:t>.</w:t>
      </w:r>
      <w:r>
        <w:rPr>
          <w:noProof/>
        </w:rPr>
        <w:t xml:space="preserve"> </w:t>
      </w:r>
      <w:r w:rsidR="00BF289F">
        <w:t xml:space="preserve">We assume land use of 7.5 acres per </w:t>
      </w:r>
      <w:r w:rsidR="00BF289F" w:rsidRPr="00687BC7">
        <w:t>MW</w:t>
      </w:r>
      <w:r w:rsidR="00BF289F">
        <w:t xml:space="preserve"> of PV capacity, which is 15% higher than the 6.5 acres/MW reported by Oahu developers for recent projects. PV systems are modeled as single-axis solar trackers using parameters from the 2019 ATB </w:t>
      </w:r>
      <w:r w:rsidR="00BF289F">
        <w:fldChar w:fldCharType="begin"/>
      </w:r>
      <w:r w:rsidR="000524EB">
        <w:instrText xml:space="preserve"> ADDIN ZOTERO_ITEM CSL_CITATION {"citationID":"a1jrobu31g0","properties":{"formattedCitation":"(NREL 2019)","plainCitation":"(NREL 2019)","noteIndex":0},"citationItems":[{"id":2441,"uris":["http://zotero.org/users/1686015/items/PVYKBJ2D"],"uri":["http://zotero.org/users/1686015/items/PVYKBJ2D"],"itemData":{"id":2441,"type":"report","event-place":"Golden, Colorado","publisher":"National Renewable Energy Laboratory","publisher-place":"Golden, Colorado","title":"2019 Annual Technology Baseline","URL":"https://atb.nrel.gov/electricity/2019/","author":[{"literal":"NREL"}],"issued":{"date-parts":[["2019"]]}}}],"schema":"https://github.com/citation-style-language/schema/raw/master/csl-citation.json"} </w:instrText>
      </w:r>
      <w:r w:rsidR="00BF289F">
        <w:fldChar w:fldCharType="separate"/>
      </w:r>
      <w:r w:rsidR="00244790" w:rsidRPr="00244790">
        <w:rPr>
          <w:rFonts w:cs="Times New Roman"/>
        </w:rPr>
        <w:t>(NREL 2019)</w:t>
      </w:r>
      <w:r w:rsidR="00BF289F">
        <w:fldChar w:fldCharType="end"/>
      </w:r>
      <w:r w:rsidR="00BF289F">
        <w:t>, using solar data from NREL’s National Solar Radiation Database for 2007–08</w:t>
      </w:r>
      <w:r w:rsidR="005723EA">
        <w:t xml:space="preserve"> </w:t>
      </w:r>
      <w:r w:rsidR="005723EA">
        <w:fldChar w:fldCharType="begin"/>
      </w:r>
      <w:r w:rsidR="000524EB">
        <w:instrText xml:space="preserve"> ADDIN ZOTERO_ITEM CSL_CITATION {"citationID":"VbAJz3W3","properties":{"formattedCitation":"(NREL 2016; 2018)","plainCitation":"(NREL 2016; 2018)","noteIndex":0},"citationItems":[{"id":1690,"uris":["http://zotero.org/users/1686015/items/E8QJCV56"],"uri":["http://zotero.org/users/1686015/items/E8QJCV56"],"itemData":{"id":1690,"type":"report","event-place":"Golden, Colorado","publisher":"National Renewable Energy Laboratory","publisher-place":"Golden, Colorado","title":"National Solar Radiation Database version 2.0.1","URL":"https://nsrdb.nrel.gov","author":[{"literal":"NREL"}],"issued":{"date-parts":[["2016"]]}}},{"id":2287,"uris":["http://zotero.org/users/1686015/items/MMWMFDVZ"],"uri":["http://zotero.org/users/1686015/items/MMWMFDVZ"],"itemData":{"id":2287,"type":"report","event-place":"Golden, Colorado","publisher":"National Renewable Energy Laboratory","publisher-place":"Golden, Colorado","title":"SAM Simulation Core SDK","URL":"https://sam.nrel.gov/sdk","author":[{"literal":"NREL"}],"issued":{"date-parts":[["2018",11,11]]}}}],"schema":"https://github.com/citation-style-language/schema/raw/master/csl-citation.json"} </w:instrText>
      </w:r>
      <w:r w:rsidR="005723EA">
        <w:fldChar w:fldCharType="separate"/>
      </w:r>
      <w:r w:rsidR="00244790">
        <w:rPr>
          <w:rFonts w:cs="Times New Roman"/>
        </w:rPr>
        <w:t>(NREL 2016; 2018)</w:t>
      </w:r>
      <w:r w:rsidR="005723EA">
        <w:fldChar w:fldCharType="end"/>
      </w:r>
      <w:r w:rsidR="005723EA" w:rsidRPr="00687BC7">
        <w:t>.</w:t>
      </w:r>
    </w:p>
    <w:p w14:paraId="7F0E30F1" w14:textId="6DA4A51C" w:rsidR="005723EA" w:rsidRDefault="005C576B" w:rsidP="00BF289F">
      <w:pPr>
        <w:pStyle w:val="BodyText"/>
      </w:pPr>
      <w:r>
        <w:rPr>
          <w:b/>
          <w:bCs/>
        </w:rPr>
        <w:lastRenderedPageBreak/>
        <w:t xml:space="preserve">Rooftop </w:t>
      </w:r>
      <w:r w:rsidR="00BF289F">
        <w:rPr>
          <w:b/>
          <w:bCs/>
        </w:rPr>
        <w:t>solar potential and performance.</w:t>
      </w:r>
      <w:r w:rsidR="00BF289F" w:rsidRPr="00BF289F">
        <w:t xml:space="preserve"> </w:t>
      </w:r>
      <w:r w:rsidR="00BF289F">
        <w:t xml:space="preserve">Rooftop locations are derived from </w:t>
      </w:r>
      <w:r w:rsidR="005723EA">
        <w:t xml:space="preserve">the Google Static Maps API </w:t>
      </w:r>
      <w:r w:rsidR="005723EA">
        <w:fldChar w:fldCharType="begin"/>
      </w:r>
      <w:r w:rsidR="0007727D">
        <w:instrText xml:space="preserve"> ADDIN ZOTERO_ITEM CSL_CITATION {"citationID":"L8dgajGs","properties":{"formattedCitation":"(Google Inc. 2016)","plainCitation":"(Google Inc. 2016)","noteIndex":0},"citationItems":[{"id":2290,"uris":["http://zotero.org/users/1686015/items/22LG3JQD"],"uri":["http://zotero.org/users/1686015/items/22LG3JQD"],"itemData":{"id":2290,"type":"webpage","title":"Google Static Maps API","URL":"https://developers.google.com/maps/documentation/maps-static/","author":[{"literal":"Google Inc."}],"issued":{"date-parts":[["2016"]]}}}],"schema":"https://github.com/citation-style-language/schema/raw/master/csl-citation.json"} </w:instrText>
      </w:r>
      <w:r w:rsidR="005723EA">
        <w:fldChar w:fldCharType="separate"/>
      </w:r>
      <w:r w:rsidR="00244790">
        <w:rPr>
          <w:rFonts w:cs="Times New Roman"/>
        </w:rPr>
        <w:t>(Google Inc. 2016)</w:t>
      </w:r>
      <w:r w:rsidR="005723EA">
        <w:fldChar w:fldCharType="end"/>
      </w:r>
      <w:r w:rsidR="00BF289F">
        <w:t xml:space="preserve"> and roof orientations and covered area are derived from the </w:t>
      </w:r>
      <w:r w:rsidR="005723EA">
        <w:t>Google Sunroof project</w:t>
      </w:r>
      <w:r w:rsidR="00BF289F">
        <w:t>. W</w:t>
      </w:r>
      <w:r w:rsidR="005723EA">
        <w:t xml:space="preserve">e assume that panels on sloped roofs </w:t>
      </w:r>
      <w:r w:rsidR="00BF289F">
        <w:t xml:space="preserve">are </w:t>
      </w:r>
      <w:r w:rsidR="005723EA">
        <w:t>tilt</w:t>
      </w:r>
      <w:r w:rsidR="00BF289F">
        <w:t>ed</w:t>
      </w:r>
      <w:r w:rsidR="005723EA">
        <w:t xml:space="preserve"> </w:t>
      </w:r>
      <w:r w:rsidR="00BF289F">
        <w:t xml:space="preserve">at </w:t>
      </w:r>
      <w:r w:rsidR="005723EA">
        <w:t>25 degrees</w:t>
      </w:r>
      <w:r w:rsidR="00BF289F">
        <w:t xml:space="preserve"> and panels on flat roofs are tilted at 5 degrees</w:t>
      </w:r>
      <w:r w:rsidR="005723EA">
        <w:t xml:space="preserve">, matching </w:t>
      </w:r>
      <w:r w:rsidR="008A63AB">
        <w:t xml:space="preserve">assumptions </w:t>
      </w:r>
      <w:r w:rsidR="005723EA">
        <w:t xml:space="preserve">in NREL’s 2019 ATB </w:t>
      </w:r>
      <w:r w:rsidR="005723EA">
        <w:fldChar w:fldCharType="begin"/>
      </w:r>
      <w:r w:rsidR="000524EB">
        <w:instrText xml:space="preserve"> ADDIN ZOTERO_ITEM CSL_CITATION {"citationID":"a1k3k8r3834","properties":{"formattedCitation":"(NREL 2019)","plainCitation":"(NREL 2019)","noteIndex":0},"citationItems":[{"id":2441,"uris":["http://zotero.org/users/1686015/items/PVYKBJ2D"],"uri":["http://zotero.org/users/1686015/items/PVYKBJ2D"],"itemData":{"id":2441,"type":"report","event-place":"Golden, Colorado","publisher":"National Renewable Energy Laboratory","publisher-place":"Golden, Colorado","title":"2019 Annual Technology Baseline","URL":"https://atb.nrel.gov/electricity/2019/","author":[{"literal":"NREL"}],"issued":{"date-parts":[["2019"]]}}}],"schema":"https://github.com/citation-style-language/schema/raw/master/csl-citation.json"} </w:instrText>
      </w:r>
      <w:r w:rsidR="005723EA">
        <w:fldChar w:fldCharType="separate"/>
      </w:r>
      <w:r w:rsidR="00244790">
        <w:rPr>
          <w:rFonts w:cs="Times New Roman"/>
        </w:rPr>
        <w:t>(NREL 2019)</w:t>
      </w:r>
      <w:r w:rsidR="005723EA">
        <w:fldChar w:fldCharType="end"/>
      </w:r>
      <w:r w:rsidR="00BF289F">
        <w:t xml:space="preserve">. </w:t>
      </w:r>
      <w:r w:rsidR="008A63AB">
        <w:t>PV systems are modeled using parameters from the 2019 ATB and solar data from the National Solar Radiation Database for 2007–08.</w:t>
      </w:r>
    </w:p>
    <w:p w14:paraId="45091EA8" w14:textId="22739253" w:rsidR="008A63AB" w:rsidRDefault="008A63AB" w:rsidP="008A63AB">
      <w:pPr>
        <w:pStyle w:val="BodyText"/>
      </w:pPr>
      <w:r w:rsidRPr="008A63AB">
        <w:rPr>
          <w:b/>
          <w:bCs/>
        </w:rPr>
        <w:t xml:space="preserve">Rooftop solar power adoption. </w:t>
      </w:r>
      <w:r w:rsidRPr="008A63AB">
        <w:t>We us</w:t>
      </w:r>
      <w:r>
        <w:t xml:space="preserve">e HECO’s forecast of distributed PV and storage adoption provided on 11/20/19, shown in </w:t>
      </w:r>
      <w:r w:rsidR="009A1416">
        <w:fldChar w:fldCharType="begin"/>
      </w:r>
      <w:r w:rsidR="009A1416">
        <w:instrText xml:space="preserve"> REF _Ref25329103 </w:instrText>
      </w:r>
      <w:r w:rsidR="009A1416">
        <w:fldChar w:fldCharType="separate"/>
      </w:r>
      <w:r>
        <w:t xml:space="preserve">Table </w:t>
      </w:r>
      <w:r>
        <w:rPr>
          <w:noProof/>
        </w:rPr>
        <w:t>2</w:t>
      </w:r>
      <w:r w:rsidR="009A1416">
        <w:rPr>
          <w:noProof/>
        </w:rPr>
        <w:fldChar w:fldCharType="end"/>
      </w:r>
      <w:r>
        <w:t>. Switch is not allowed to deviate from this total level of adoption, but it can prioritize more productive areas for development and can exceed 100% of demand on individual premises.</w:t>
      </w:r>
      <w:r w:rsidRPr="008A63AB">
        <w:t xml:space="preserve"> </w:t>
      </w:r>
      <w:r>
        <w:t>Switch does not consider avoided network costs during the optimization stage; these are added in RIST when evaluating the economic impact of the selected portfolio.</w:t>
      </w:r>
      <w:bookmarkStart w:id="6" w:name="_Ref20929337"/>
    </w:p>
    <w:p w14:paraId="364313A8" w14:textId="77777777" w:rsidR="008A63AB" w:rsidRDefault="008A63AB" w:rsidP="008A63AB">
      <w:pPr>
        <w:pStyle w:val="BodyText"/>
      </w:pPr>
    </w:p>
    <w:p w14:paraId="70540002" w14:textId="32E825E4" w:rsidR="005723EA" w:rsidRDefault="005723EA" w:rsidP="005723EA">
      <w:pPr>
        <w:pStyle w:val="Caption"/>
        <w:keepNext/>
      </w:pPr>
      <w:bookmarkStart w:id="7" w:name="_Ref25329103"/>
      <w:r>
        <w:t xml:space="preserve">Table </w:t>
      </w:r>
      <w:r w:rsidR="009A1416">
        <w:fldChar w:fldCharType="begin"/>
      </w:r>
      <w:r w:rsidR="009A1416">
        <w:instrText xml:space="preserve"> SEQ Table \* ARABIC </w:instrText>
      </w:r>
      <w:r w:rsidR="009A1416">
        <w:fldChar w:fldCharType="separate"/>
      </w:r>
      <w:r>
        <w:rPr>
          <w:noProof/>
        </w:rPr>
        <w:t>2</w:t>
      </w:r>
      <w:r w:rsidR="009A1416">
        <w:rPr>
          <w:noProof/>
        </w:rPr>
        <w:fldChar w:fldCharType="end"/>
      </w:r>
      <w:bookmarkEnd w:id="6"/>
      <w:bookmarkEnd w:id="7"/>
      <w:r>
        <w:t xml:space="preserve">. Adoption of distributed PV </w:t>
      </w:r>
      <w:r w:rsidR="009D7A4E">
        <w:t xml:space="preserve">and distributed storage </w:t>
      </w:r>
      <w:r>
        <w:t>in Switch-Oahu</w:t>
      </w:r>
    </w:p>
    <w:tbl>
      <w:tblPr>
        <w:tblStyle w:val="TableGrid"/>
        <w:tblW w:w="0" w:type="auto"/>
        <w:jc w:val="center"/>
        <w:tblBorders>
          <w:insideH w:val="none" w:sz="0" w:space="0" w:color="auto"/>
        </w:tblBorders>
        <w:tblLook w:val="04A0" w:firstRow="1" w:lastRow="0" w:firstColumn="1" w:lastColumn="0" w:noHBand="0" w:noVBand="1"/>
      </w:tblPr>
      <w:tblGrid>
        <w:gridCol w:w="1800"/>
        <w:gridCol w:w="1412"/>
        <w:gridCol w:w="1412"/>
      </w:tblGrid>
      <w:tr w:rsidR="005723EA" w:rsidRPr="00D273C3" w14:paraId="7191C9EF" w14:textId="77777777" w:rsidTr="000C452E">
        <w:trPr>
          <w:jc w:val="center"/>
        </w:trPr>
        <w:tc>
          <w:tcPr>
            <w:tcW w:w="1800" w:type="dxa"/>
            <w:tcBorders>
              <w:top w:val="single" w:sz="4" w:space="0" w:color="auto"/>
              <w:bottom w:val="single" w:sz="4" w:space="0" w:color="auto"/>
            </w:tcBorders>
          </w:tcPr>
          <w:p w14:paraId="61913C98" w14:textId="77777777" w:rsidR="005723EA" w:rsidRPr="00D273C3" w:rsidRDefault="005723EA" w:rsidP="000C452E">
            <w:pPr>
              <w:pStyle w:val="BodyText"/>
              <w:keepNext/>
              <w:spacing w:after="80"/>
              <w:ind w:firstLine="0"/>
              <w:jc w:val="center"/>
              <w:rPr>
                <w:rFonts w:ascii="Arial" w:hAnsi="Arial" w:cs="Arial"/>
                <w:b/>
                <w:bCs/>
                <w:sz w:val="22"/>
                <w:szCs w:val="22"/>
              </w:rPr>
            </w:pPr>
            <w:r w:rsidRPr="00D273C3">
              <w:rPr>
                <w:rFonts w:ascii="Arial" w:hAnsi="Arial" w:cs="Arial"/>
                <w:b/>
                <w:bCs/>
                <w:sz w:val="22"/>
                <w:szCs w:val="22"/>
              </w:rPr>
              <w:t>Year</w:t>
            </w:r>
          </w:p>
        </w:tc>
        <w:tc>
          <w:tcPr>
            <w:tcW w:w="1412" w:type="dxa"/>
            <w:tcBorders>
              <w:top w:val="single" w:sz="4" w:space="0" w:color="auto"/>
              <w:bottom w:val="single" w:sz="4" w:space="0" w:color="auto"/>
            </w:tcBorders>
          </w:tcPr>
          <w:p w14:paraId="1BCE7467" w14:textId="77777777" w:rsidR="005723EA" w:rsidRPr="00D273C3" w:rsidRDefault="005723EA" w:rsidP="000C452E">
            <w:pPr>
              <w:pStyle w:val="BodyText"/>
              <w:keepNext/>
              <w:spacing w:after="80"/>
              <w:ind w:firstLine="0"/>
              <w:jc w:val="center"/>
              <w:rPr>
                <w:rFonts w:ascii="Arial" w:hAnsi="Arial" w:cs="Arial"/>
                <w:b/>
                <w:bCs/>
                <w:sz w:val="22"/>
                <w:szCs w:val="22"/>
              </w:rPr>
            </w:pPr>
            <w:r>
              <w:rPr>
                <w:rFonts w:ascii="Arial" w:hAnsi="Arial" w:cs="Arial"/>
                <w:b/>
                <w:bCs/>
                <w:sz w:val="22"/>
                <w:szCs w:val="22"/>
              </w:rPr>
              <w:t>Total DGPV Capacity Online</w:t>
            </w:r>
          </w:p>
        </w:tc>
        <w:tc>
          <w:tcPr>
            <w:tcW w:w="1412" w:type="dxa"/>
            <w:tcBorders>
              <w:top w:val="single" w:sz="4" w:space="0" w:color="auto"/>
              <w:bottom w:val="single" w:sz="4" w:space="0" w:color="auto"/>
            </w:tcBorders>
          </w:tcPr>
          <w:p w14:paraId="5A545D72" w14:textId="77777777" w:rsidR="005723EA" w:rsidRDefault="005723EA" w:rsidP="000C452E">
            <w:pPr>
              <w:pStyle w:val="BodyText"/>
              <w:keepNext/>
              <w:spacing w:after="80"/>
              <w:ind w:firstLine="0"/>
              <w:jc w:val="center"/>
              <w:rPr>
                <w:rFonts w:ascii="Arial" w:hAnsi="Arial" w:cs="Arial"/>
                <w:b/>
                <w:bCs/>
                <w:sz w:val="22"/>
                <w:szCs w:val="22"/>
              </w:rPr>
            </w:pPr>
            <w:r>
              <w:rPr>
                <w:rFonts w:ascii="Arial" w:hAnsi="Arial" w:cs="Arial"/>
                <w:b/>
                <w:bCs/>
                <w:sz w:val="22"/>
                <w:szCs w:val="22"/>
              </w:rPr>
              <w:t>Total Distributed Storage Online</w:t>
            </w:r>
          </w:p>
        </w:tc>
      </w:tr>
      <w:tr w:rsidR="005723EA" w:rsidRPr="00D273C3" w14:paraId="32E14D2B" w14:textId="77777777" w:rsidTr="000C452E">
        <w:trPr>
          <w:jc w:val="center"/>
        </w:trPr>
        <w:tc>
          <w:tcPr>
            <w:tcW w:w="1800" w:type="dxa"/>
            <w:tcBorders>
              <w:top w:val="single" w:sz="4" w:space="0" w:color="auto"/>
            </w:tcBorders>
          </w:tcPr>
          <w:p w14:paraId="00FCC8C5" w14:textId="77777777" w:rsidR="005723EA" w:rsidRPr="00D273C3" w:rsidRDefault="005723EA" w:rsidP="000C452E">
            <w:pPr>
              <w:pStyle w:val="BodyText"/>
              <w:keepNext/>
              <w:spacing w:after="80"/>
              <w:ind w:firstLine="0"/>
              <w:jc w:val="center"/>
              <w:rPr>
                <w:rFonts w:ascii="Arial" w:hAnsi="Arial" w:cs="Arial"/>
                <w:sz w:val="22"/>
                <w:szCs w:val="22"/>
              </w:rPr>
            </w:pPr>
            <w:r w:rsidRPr="00D273C3">
              <w:rPr>
                <w:rFonts w:ascii="Arial" w:hAnsi="Arial" w:cs="Arial"/>
                <w:sz w:val="22"/>
                <w:szCs w:val="22"/>
              </w:rPr>
              <w:t>2020</w:t>
            </w:r>
          </w:p>
        </w:tc>
        <w:tc>
          <w:tcPr>
            <w:tcW w:w="1412" w:type="dxa"/>
            <w:tcBorders>
              <w:top w:val="single" w:sz="4" w:space="0" w:color="auto"/>
            </w:tcBorders>
          </w:tcPr>
          <w:p w14:paraId="7CAED341" w14:textId="53FE2AE9" w:rsidR="005723EA" w:rsidRPr="00D273C3"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562</w:t>
            </w:r>
            <w:r w:rsidR="005723EA">
              <w:rPr>
                <w:rFonts w:ascii="Arial" w:hAnsi="Arial" w:cs="Arial"/>
                <w:sz w:val="22"/>
                <w:szCs w:val="22"/>
              </w:rPr>
              <w:t xml:space="preserve"> MW</w:t>
            </w:r>
          </w:p>
        </w:tc>
        <w:tc>
          <w:tcPr>
            <w:tcW w:w="1412" w:type="dxa"/>
            <w:tcBorders>
              <w:top w:val="single" w:sz="4" w:space="0" w:color="auto"/>
            </w:tcBorders>
          </w:tcPr>
          <w:p w14:paraId="59EB4C77" w14:textId="16661EBD" w:rsidR="005723EA"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128</w:t>
            </w:r>
            <w:r w:rsidR="005723EA">
              <w:rPr>
                <w:rFonts w:ascii="Arial" w:hAnsi="Arial" w:cs="Arial"/>
                <w:sz w:val="22"/>
                <w:szCs w:val="22"/>
              </w:rPr>
              <w:t xml:space="preserve"> MWh</w:t>
            </w:r>
          </w:p>
        </w:tc>
      </w:tr>
      <w:tr w:rsidR="005723EA" w:rsidRPr="00D273C3" w14:paraId="244E64BA" w14:textId="77777777" w:rsidTr="000C452E">
        <w:trPr>
          <w:jc w:val="center"/>
        </w:trPr>
        <w:tc>
          <w:tcPr>
            <w:tcW w:w="1800" w:type="dxa"/>
          </w:tcPr>
          <w:p w14:paraId="085A3F98" w14:textId="77777777" w:rsidR="005723EA" w:rsidRPr="00D273C3" w:rsidRDefault="005723EA" w:rsidP="000C452E">
            <w:pPr>
              <w:pStyle w:val="BodyText"/>
              <w:keepNext/>
              <w:spacing w:after="80"/>
              <w:ind w:firstLine="0"/>
              <w:jc w:val="center"/>
              <w:rPr>
                <w:rFonts w:ascii="Arial" w:hAnsi="Arial" w:cs="Arial"/>
                <w:sz w:val="22"/>
                <w:szCs w:val="22"/>
              </w:rPr>
            </w:pPr>
            <w:r>
              <w:rPr>
                <w:rFonts w:ascii="Arial" w:hAnsi="Arial" w:cs="Arial"/>
                <w:sz w:val="22"/>
                <w:szCs w:val="22"/>
              </w:rPr>
              <w:t>2025</w:t>
            </w:r>
          </w:p>
        </w:tc>
        <w:tc>
          <w:tcPr>
            <w:tcW w:w="1412" w:type="dxa"/>
          </w:tcPr>
          <w:p w14:paraId="09465CF3" w14:textId="444A4EBB" w:rsidR="005723EA" w:rsidRPr="00D273C3"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681</w:t>
            </w:r>
            <w:r w:rsidR="005723EA">
              <w:rPr>
                <w:rFonts w:ascii="Arial" w:hAnsi="Arial" w:cs="Arial"/>
                <w:sz w:val="22"/>
                <w:szCs w:val="22"/>
              </w:rPr>
              <w:t xml:space="preserve"> MW</w:t>
            </w:r>
          </w:p>
        </w:tc>
        <w:tc>
          <w:tcPr>
            <w:tcW w:w="1412" w:type="dxa"/>
          </w:tcPr>
          <w:p w14:paraId="6B6888A0" w14:textId="75C0BBB6" w:rsidR="005723EA"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264</w:t>
            </w:r>
            <w:r w:rsidR="005723EA">
              <w:rPr>
                <w:rFonts w:ascii="Arial" w:hAnsi="Arial" w:cs="Arial"/>
                <w:sz w:val="22"/>
                <w:szCs w:val="22"/>
              </w:rPr>
              <w:t xml:space="preserve"> MWh</w:t>
            </w:r>
          </w:p>
        </w:tc>
      </w:tr>
      <w:tr w:rsidR="005723EA" w:rsidRPr="00D273C3" w14:paraId="79CF5D1A" w14:textId="77777777" w:rsidTr="000C452E">
        <w:trPr>
          <w:jc w:val="center"/>
        </w:trPr>
        <w:tc>
          <w:tcPr>
            <w:tcW w:w="1800" w:type="dxa"/>
          </w:tcPr>
          <w:p w14:paraId="6E7AFE1F" w14:textId="77777777" w:rsidR="005723EA" w:rsidRPr="00D273C3" w:rsidRDefault="005723EA" w:rsidP="000C452E">
            <w:pPr>
              <w:pStyle w:val="BodyText"/>
              <w:keepNext/>
              <w:spacing w:after="80"/>
              <w:ind w:firstLine="0"/>
              <w:jc w:val="center"/>
              <w:rPr>
                <w:rFonts w:ascii="Arial" w:hAnsi="Arial" w:cs="Arial"/>
                <w:sz w:val="22"/>
                <w:szCs w:val="22"/>
              </w:rPr>
            </w:pPr>
            <w:r>
              <w:rPr>
                <w:rFonts w:ascii="Arial" w:hAnsi="Arial" w:cs="Arial"/>
                <w:sz w:val="22"/>
                <w:szCs w:val="22"/>
              </w:rPr>
              <w:t>2030</w:t>
            </w:r>
          </w:p>
        </w:tc>
        <w:tc>
          <w:tcPr>
            <w:tcW w:w="1412" w:type="dxa"/>
          </w:tcPr>
          <w:p w14:paraId="7F73E132" w14:textId="0261F175" w:rsidR="005723EA" w:rsidRPr="00D273C3"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823</w:t>
            </w:r>
            <w:r w:rsidR="005723EA">
              <w:rPr>
                <w:rFonts w:ascii="Arial" w:hAnsi="Arial" w:cs="Arial"/>
                <w:sz w:val="22"/>
                <w:szCs w:val="22"/>
              </w:rPr>
              <w:t xml:space="preserve"> MW</w:t>
            </w:r>
          </w:p>
        </w:tc>
        <w:tc>
          <w:tcPr>
            <w:tcW w:w="1412" w:type="dxa"/>
          </w:tcPr>
          <w:p w14:paraId="1B9337C6" w14:textId="094CE437" w:rsidR="005723EA"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398</w:t>
            </w:r>
            <w:r w:rsidR="005723EA">
              <w:rPr>
                <w:rFonts w:ascii="Arial" w:hAnsi="Arial" w:cs="Arial"/>
                <w:sz w:val="22"/>
                <w:szCs w:val="22"/>
              </w:rPr>
              <w:t xml:space="preserve"> MWh</w:t>
            </w:r>
          </w:p>
        </w:tc>
      </w:tr>
      <w:tr w:rsidR="005723EA" w:rsidRPr="00D273C3" w14:paraId="0C2812AC" w14:textId="77777777" w:rsidTr="000C452E">
        <w:trPr>
          <w:jc w:val="center"/>
        </w:trPr>
        <w:tc>
          <w:tcPr>
            <w:tcW w:w="1800" w:type="dxa"/>
          </w:tcPr>
          <w:p w14:paraId="233394CD" w14:textId="77777777" w:rsidR="005723EA" w:rsidRDefault="005723EA" w:rsidP="000C452E">
            <w:pPr>
              <w:pStyle w:val="BodyText"/>
              <w:keepNext/>
              <w:spacing w:after="80"/>
              <w:ind w:firstLine="0"/>
              <w:jc w:val="center"/>
              <w:rPr>
                <w:rFonts w:ascii="Arial" w:hAnsi="Arial" w:cs="Arial"/>
                <w:sz w:val="22"/>
                <w:szCs w:val="22"/>
              </w:rPr>
            </w:pPr>
            <w:r>
              <w:rPr>
                <w:rFonts w:ascii="Arial" w:hAnsi="Arial" w:cs="Arial"/>
                <w:sz w:val="22"/>
                <w:szCs w:val="22"/>
              </w:rPr>
              <w:t>2035</w:t>
            </w:r>
          </w:p>
        </w:tc>
        <w:tc>
          <w:tcPr>
            <w:tcW w:w="1412" w:type="dxa"/>
          </w:tcPr>
          <w:p w14:paraId="0CE034BF" w14:textId="078D3854" w:rsidR="005723EA" w:rsidRPr="00D273C3"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985</w:t>
            </w:r>
            <w:r w:rsidR="005723EA">
              <w:rPr>
                <w:rFonts w:ascii="Arial" w:hAnsi="Arial" w:cs="Arial"/>
                <w:sz w:val="22"/>
                <w:szCs w:val="22"/>
              </w:rPr>
              <w:t xml:space="preserve"> MW</w:t>
            </w:r>
          </w:p>
        </w:tc>
        <w:tc>
          <w:tcPr>
            <w:tcW w:w="1412" w:type="dxa"/>
          </w:tcPr>
          <w:p w14:paraId="105446AD" w14:textId="4D1B4FE1" w:rsidR="005723EA" w:rsidRPr="000405BB"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577</w:t>
            </w:r>
            <w:r w:rsidR="005723EA">
              <w:rPr>
                <w:rFonts w:ascii="Arial" w:hAnsi="Arial" w:cs="Arial"/>
                <w:sz w:val="22"/>
                <w:szCs w:val="22"/>
              </w:rPr>
              <w:t xml:space="preserve"> MWh</w:t>
            </w:r>
          </w:p>
        </w:tc>
      </w:tr>
      <w:tr w:rsidR="005723EA" w:rsidRPr="00D273C3" w14:paraId="671F10BB" w14:textId="77777777" w:rsidTr="000C452E">
        <w:trPr>
          <w:jc w:val="center"/>
        </w:trPr>
        <w:tc>
          <w:tcPr>
            <w:tcW w:w="1800" w:type="dxa"/>
          </w:tcPr>
          <w:p w14:paraId="78611052" w14:textId="77777777" w:rsidR="005723EA" w:rsidRDefault="005723EA" w:rsidP="000C452E">
            <w:pPr>
              <w:pStyle w:val="BodyText"/>
              <w:keepNext/>
              <w:spacing w:after="80"/>
              <w:ind w:firstLine="0"/>
              <w:jc w:val="center"/>
              <w:rPr>
                <w:rFonts w:ascii="Arial" w:hAnsi="Arial" w:cs="Arial"/>
                <w:sz w:val="22"/>
                <w:szCs w:val="22"/>
              </w:rPr>
            </w:pPr>
            <w:r>
              <w:rPr>
                <w:rFonts w:ascii="Arial" w:hAnsi="Arial" w:cs="Arial"/>
                <w:sz w:val="22"/>
                <w:szCs w:val="22"/>
              </w:rPr>
              <w:t>2040</w:t>
            </w:r>
          </w:p>
        </w:tc>
        <w:tc>
          <w:tcPr>
            <w:tcW w:w="1412" w:type="dxa"/>
          </w:tcPr>
          <w:p w14:paraId="3EBC10B3" w14:textId="7735AD9C" w:rsidR="005723EA" w:rsidRPr="00D273C3"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1150</w:t>
            </w:r>
            <w:r w:rsidR="005723EA">
              <w:rPr>
                <w:rFonts w:ascii="Arial" w:hAnsi="Arial" w:cs="Arial"/>
                <w:sz w:val="22"/>
                <w:szCs w:val="22"/>
              </w:rPr>
              <w:t xml:space="preserve"> MW</w:t>
            </w:r>
          </w:p>
        </w:tc>
        <w:tc>
          <w:tcPr>
            <w:tcW w:w="1412" w:type="dxa"/>
          </w:tcPr>
          <w:p w14:paraId="4FD9870E" w14:textId="2AEEDB5E" w:rsidR="005723EA" w:rsidRDefault="009D7A4E" w:rsidP="000C452E">
            <w:pPr>
              <w:pStyle w:val="BodyText"/>
              <w:keepNext/>
              <w:spacing w:after="80"/>
              <w:ind w:firstLine="0"/>
              <w:jc w:val="center"/>
              <w:rPr>
                <w:rFonts w:ascii="Arial" w:hAnsi="Arial" w:cs="Arial"/>
                <w:sz w:val="22"/>
                <w:szCs w:val="22"/>
              </w:rPr>
            </w:pPr>
            <w:r>
              <w:rPr>
                <w:rFonts w:ascii="Arial" w:hAnsi="Arial" w:cs="Arial"/>
                <w:sz w:val="22"/>
                <w:szCs w:val="22"/>
              </w:rPr>
              <w:t>772</w:t>
            </w:r>
            <w:r w:rsidR="005723EA">
              <w:rPr>
                <w:rFonts w:ascii="Arial" w:hAnsi="Arial" w:cs="Arial"/>
                <w:sz w:val="22"/>
                <w:szCs w:val="22"/>
              </w:rPr>
              <w:t xml:space="preserve"> MWh</w:t>
            </w:r>
          </w:p>
        </w:tc>
      </w:tr>
      <w:tr w:rsidR="005723EA" w:rsidRPr="00D273C3" w14:paraId="349F21CE" w14:textId="77777777" w:rsidTr="000C452E">
        <w:trPr>
          <w:jc w:val="center"/>
        </w:trPr>
        <w:tc>
          <w:tcPr>
            <w:tcW w:w="1800" w:type="dxa"/>
          </w:tcPr>
          <w:p w14:paraId="2DD1BE4F" w14:textId="77777777" w:rsidR="005723EA" w:rsidRPr="00D273C3" w:rsidRDefault="005723EA" w:rsidP="000C452E">
            <w:pPr>
              <w:pStyle w:val="BodyText"/>
              <w:spacing w:after="80"/>
              <w:ind w:firstLine="0"/>
              <w:jc w:val="center"/>
              <w:rPr>
                <w:rFonts w:ascii="Arial" w:hAnsi="Arial" w:cs="Arial"/>
                <w:sz w:val="22"/>
                <w:szCs w:val="22"/>
              </w:rPr>
            </w:pPr>
            <w:r>
              <w:rPr>
                <w:rFonts w:ascii="Arial" w:hAnsi="Arial" w:cs="Arial"/>
                <w:sz w:val="22"/>
                <w:szCs w:val="22"/>
              </w:rPr>
              <w:t>2045</w:t>
            </w:r>
          </w:p>
        </w:tc>
        <w:tc>
          <w:tcPr>
            <w:tcW w:w="1412" w:type="dxa"/>
          </w:tcPr>
          <w:p w14:paraId="627EB783" w14:textId="139866CA" w:rsidR="005723EA" w:rsidRPr="00D273C3" w:rsidRDefault="009D7A4E" w:rsidP="000C452E">
            <w:pPr>
              <w:pStyle w:val="BodyText"/>
              <w:spacing w:after="80"/>
              <w:ind w:firstLine="0"/>
              <w:jc w:val="center"/>
              <w:rPr>
                <w:rFonts w:ascii="Arial" w:hAnsi="Arial" w:cs="Arial"/>
                <w:sz w:val="22"/>
                <w:szCs w:val="22"/>
              </w:rPr>
            </w:pPr>
            <w:r>
              <w:rPr>
                <w:rFonts w:ascii="Arial" w:hAnsi="Arial" w:cs="Arial"/>
                <w:sz w:val="22"/>
                <w:szCs w:val="22"/>
              </w:rPr>
              <w:t>1321</w:t>
            </w:r>
            <w:r w:rsidR="005723EA">
              <w:rPr>
                <w:rFonts w:ascii="Arial" w:hAnsi="Arial" w:cs="Arial"/>
                <w:sz w:val="22"/>
                <w:szCs w:val="22"/>
              </w:rPr>
              <w:t xml:space="preserve"> MW</w:t>
            </w:r>
          </w:p>
        </w:tc>
        <w:tc>
          <w:tcPr>
            <w:tcW w:w="1412" w:type="dxa"/>
          </w:tcPr>
          <w:p w14:paraId="3252FC20" w14:textId="0CD05666" w:rsidR="005723EA" w:rsidRDefault="009D7A4E" w:rsidP="000C452E">
            <w:pPr>
              <w:pStyle w:val="BodyText"/>
              <w:spacing w:after="80"/>
              <w:ind w:firstLine="0"/>
              <w:jc w:val="center"/>
              <w:rPr>
                <w:rFonts w:ascii="Arial" w:hAnsi="Arial" w:cs="Arial"/>
                <w:sz w:val="22"/>
                <w:szCs w:val="22"/>
              </w:rPr>
            </w:pPr>
            <w:r>
              <w:rPr>
                <w:rFonts w:ascii="Arial" w:hAnsi="Arial" w:cs="Arial"/>
                <w:sz w:val="22"/>
                <w:szCs w:val="22"/>
              </w:rPr>
              <w:t>977</w:t>
            </w:r>
            <w:r w:rsidR="005723EA">
              <w:rPr>
                <w:rFonts w:ascii="Arial" w:hAnsi="Arial" w:cs="Arial"/>
                <w:sz w:val="22"/>
                <w:szCs w:val="22"/>
              </w:rPr>
              <w:t xml:space="preserve"> MWh</w:t>
            </w:r>
          </w:p>
        </w:tc>
      </w:tr>
    </w:tbl>
    <w:p w14:paraId="57E0AEEE" w14:textId="77777777" w:rsidR="005723EA" w:rsidRDefault="005723EA" w:rsidP="005723EA">
      <w:pPr>
        <w:pStyle w:val="BodyText"/>
      </w:pPr>
    </w:p>
    <w:p w14:paraId="1D9FA507" w14:textId="64E0E457" w:rsidR="00300E2D" w:rsidRDefault="000E2F8C" w:rsidP="00164149">
      <w:pPr>
        <w:pStyle w:val="BodyText"/>
      </w:pPr>
      <w:r>
        <w:rPr>
          <w:b/>
          <w:bCs/>
        </w:rPr>
        <w:t>Renewable portfolio standard (RPS).</w:t>
      </w:r>
      <w:r w:rsidRPr="000E2F8C">
        <w:t xml:space="preserve"> The </w:t>
      </w:r>
      <w:r w:rsidR="00796B71">
        <w:t>selected portfolio</w:t>
      </w:r>
      <w:r>
        <w:t xml:space="preserve"> </w:t>
      </w:r>
      <w:r w:rsidR="00796B71">
        <w:t xml:space="preserve">must </w:t>
      </w:r>
      <w:r>
        <w:t xml:space="preserve">meet the following renewable energy targets: </w:t>
      </w:r>
      <w:r w:rsidR="00164149">
        <w:t>30% in 2020</w:t>
      </w:r>
      <w:r>
        <w:t>–29</w:t>
      </w:r>
      <w:r w:rsidR="00164149">
        <w:t>, 40% in 2030</w:t>
      </w:r>
      <w:r>
        <w:t>–39</w:t>
      </w:r>
      <w:r w:rsidR="00164149">
        <w:t>, 70% in 2040</w:t>
      </w:r>
      <w:r>
        <w:t>–49</w:t>
      </w:r>
      <w:r w:rsidR="00164149">
        <w:t xml:space="preserve"> and 100% in 2045</w:t>
      </w:r>
      <w:r>
        <w:t xml:space="preserve">–49. These targets are calculated as </w:t>
      </w:r>
      <w:r w:rsidR="00300E2D">
        <w:t xml:space="preserve">(all renewable production, including utility-scale renewables, biofuels and distributed generation) ÷ (all production, including distributed generation). This is different from the current RPS law, which </w:t>
      </w:r>
      <w:r w:rsidR="00164149">
        <w:t>omits distributed renewable generation from the denominator of this equation</w:t>
      </w:r>
      <w:r w:rsidR="00300E2D">
        <w:t>.</w:t>
      </w:r>
      <w:r w:rsidR="00796B71">
        <w:t xml:space="preserve"> This calculation includes HECO-owned generation, IPP-owned generation and distributed generation.</w:t>
      </w:r>
    </w:p>
    <w:p w14:paraId="6E4DCA26" w14:textId="4435BE17" w:rsidR="00300E2D" w:rsidRDefault="00300E2D" w:rsidP="00300E2D">
      <w:pPr>
        <w:pStyle w:val="BodyText"/>
      </w:pPr>
      <w:r>
        <w:rPr>
          <w:b/>
          <w:bCs/>
        </w:rPr>
        <w:t>Operating reserves.</w:t>
      </w:r>
      <w:r w:rsidRPr="00300E2D">
        <w:t xml:space="preserve"> </w:t>
      </w:r>
      <w:r>
        <w:t xml:space="preserve">The scenario must maintain regulating reserves equal to the lesser of 100% of production from each wind or solar site or 21.3% of the solar equipment rating or 21.6% of the wind equipment rating. These coefficients are based on regression analysis of safe envelopes recommended by GE Energy Consulting </w:t>
      </w:r>
      <w:r>
        <w:fldChar w:fldCharType="begin"/>
      </w:r>
      <w:r w:rsidR="000524EB">
        <w:instrText xml:space="preserve"> ADDIN ZOTERO_ITEM CSL_CITATION {"citationID":"aqt1607iee","properties":{"formattedCitation":"(GE Energy 2012, 37\\uc0\\u8211{}40; GE Energy Consulting 2015, 62; Piwko et al. 2012, 4\\uc0\\u8211{}6)","plainCitation":"(GE Energy 2012, 37–40; GE Energy Consulting 2015, 62; Piwko et al. 2012, 4–6)","noteIndex":0},"citationItems":[{"id":267,"uris":["http://zotero.org/users/1686015/items/BQTBBZJJ"],"uri":["http://zotero.org/users/1686015/items/BQTBBZJJ"],"itemData":{"id":267,"type":"report","event-place":"Honolulu, Hawaii","publisher":"Prepared for the National Renewable Energy Laboratory, Hawaii Natural Energy Institute, Hawaii Electric Company and Maui Electric Company","publisher-place":"Honolulu, Hawaii","title":"Hawaii Solar Integration Study: Final Technical Report for Oahu","URL":"https://www.hnei.hawaii.edu/sites/www.hnei.hawaii.edu/files/Hawaii%20Solar%20Integration%20Study%20-%20Oahu.pdf","author":[{"literal":"GE Energy"}],"issued":{"date-parts":[["2012",4]]}},"locator":"37-40"},{"id":1724,"uris":["http://zotero.org/users/1686015/items/94NVWX6N"],"uri":["http://zotero.org/users/1686015/items/94NVWX6N"],"itemData":{"id":1724,"type":"report","page":"http://www.hnei.hawaii.edu/projects/hawaii-rps-study","publisher":"Hawaii Natural Energy Institute and School of Ocean and Earth Science and Technology, University of Hawaii","source":"Google Scholar","title":"Hawaii Renewable Portfolio Standards Study","URL":"http://www.hnei.hawaii.edu/projects/hawaii-rps-study","author":[{"literal":"GE Energy Consulting"}],"accessed":{"date-parts":[["2017",2,22]]},"issued":{"date-parts":[["2015",6]]}},"locator":"62"},{"id":223,"uris":["http://zotero.org/users/1686015/items/A7TDUZGM"],"uri":["http://zotero.org/users/1686015/items/A7TDUZGM"],"itemData":{"id":223,"type":"report","event-place":"Golden, Colorado","note":"NREL/CP-5500-56311","publisher":"National Renewable Energy Laboratory","publisher-place":"Golden, Colorado","title":"Hawaii Solar Integration Study: Solar Modeling Developments and Study Results","title-short":"Hawaii Solar Integration Study: Solar Modeling Developments and Study Results","URL":"http://www.nrel.gov/docs/fy13osti/56311.pdf","author":[{"family":"Piwko","given":"Richard"},{"family":"Roose","given":"Leon"},{"family":"Orwig","given":"Kirsten"},{"family":"Matsuura","given":"Marc"},{"family":"Corbus","given":"David"},{"family":"Schuerger","given":"Matt"}],"issued":{"date-parts":[["2012",12]]}},"locator":"4-6"}],"schema":"https://github.com/citation-style-language/schema/raw/master/csl-citation.json"} </w:instrText>
      </w:r>
      <w:r>
        <w:fldChar w:fldCharType="separate"/>
      </w:r>
      <w:r w:rsidR="00244790" w:rsidRPr="00244790">
        <w:rPr>
          <w:rFonts w:cs="Times New Roman"/>
        </w:rPr>
        <w:t>(GE Energy 2012, 37–40; GE Energy Consulting 2015, 62; Piwko et al. 2012, 4–6)</w:t>
      </w:r>
      <w:r>
        <w:fldChar w:fldCharType="end"/>
      </w:r>
      <w:r>
        <w:t>. Switch also maintains upward contingency reserves equal to the largest individual generating unit online each hour and downward contingency reserves equal to 10% of load each hour. Operating reserves can be provided by dedicated contingency or regulating reserve batteries or by maintaining spare capacity in standard batteries or renewable, hydro or thermal generators. We do not allow the system to obtain reserves from flexible demand or EV charging.</w:t>
      </w:r>
    </w:p>
    <w:p w14:paraId="2EBA2271" w14:textId="5219D373" w:rsidR="004E082B" w:rsidRDefault="00300E2D" w:rsidP="00CA30EC">
      <w:pPr>
        <w:pStyle w:val="BodyText"/>
      </w:pPr>
      <w:r>
        <w:rPr>
          <w:b/>
          <w:bCs/>
        </w:rPr>
        <w:lastRenderedPageBreak/>
        <w:t>Tax credits and subsidies.</w:t>
      </w:r>
      <w:r>
        <w:t xml:space="preserve"> Federal tax credits are included in the </w:t>
      </w:r>
      <w:proofErr w:type="gramStart"/>
      <w:r>
        <w:t>optimization</w:t>
      </w:r>
      <w:proofErr w:type="gramEnd"/>
      <w:r>
        <w:t xml:space="preserve"> but state tax credits are ignored because </w:t>
      </w:r>
      <w:r w:rsidR="00893BFD">
        <w:t xml:space="preserve">they are not a net reduction in total expenditure by </w:t>
      </w:r>
      <w:r>
        <w:t xml:space="preserve">Hawaii residents. The rates in effect are shown in </w:t>
      </w:r>
      <w:r w:rsidR="009A1416">
        <w:fldChar w:fldCharType="begin"/>
      </w:r>
      <w:r w:rsidR="009A1416">
        <w:instrText xml:space="preserve"> REF _Ref20909977 </w:instrText>
      </w:r>
      <w:r w:rsidR="009A1416">
        <w:fldChar w:fldCharType="separate"/>
      </w:r>
      <w:r>
        <w:t xml:space="preserve">Table </w:t>
      </w:r>
      <w:r>
        <w:rPr>
          <w:noProof/>
        </w:rPr>
        <w:t>1</w:t>
      </w:r>
      <w:r w:rsidR="009A1416">
        <w:rPr>
          <w:noProof/>
        </w:rPr>
        <w:fldChar w:fldCharType="end"/>
      </w:r>
      <w:r>
        <w:t xml:space="preserve"> </w:t>
      </w:r>
      <w:r>
        <w:fldChar w:fldCharType="begin"/>
      </w:r>
      <w:r w:rsidR="000524EB">
        <w:instrText xml:space="preserve"> ADDIN ZOTERO_ITEM CSL_CITATION {"citationID":"a2di67qr9t8","properties":{"formattedCitation":"(DSIRE 2019b; 2019a)","plainCitation":"(DSIRE 2019b; 2019a)","noteIndex":0},"citationItems":[{"id":2442,"uris":["http://zotero.org/users/1686015/items/SZ8KQURA"],"uri":["http://zotero.org/users/1686015/items/SZ8KQURA"],"itemData":{"id":2442,"type":"report","publisher":"NC Clean Energy Technology Center","title":"Residential Renewable Energy Tax Credit","URL":"https://programs.dsireusa.org/system/program/detail/1235","author":[{"literal":"DSIRE"}],"accessed":{"date-parts":[["2019",10,2]]},"issued":{"date-parts":[["2019"]]}}},{"id":2444,"uris":["http://zotero.org/users/1686015/items/S33L7J9J"],"uri":["http://zotero.org/users/1686015/items/S33L7J9J"],"itemData":{"id":2444,"type":"report","publisher":"NC Clean Energy Technology Center","title":"Business Energy Investment Tax Credit (ITC)","URL":"https://programs.dsireusa.org/system/program/detail/658","author":[{"literal":"DSIRE"}],"accessed":{"date-parts":[["2019",10,2]]},"issued":{"date-parts":[["2019"]]}}}],"schema":"https://github.com/citation-style-language/schema/raw/master/csl-citation.json"} </w:instrText>
      </w:r>
      <w:r>
        <w:fldChar w:fldCharType="separate"/>
      </w:r>
      <w:r w:rsidR="00244790">
        <w:rPr>
          <w:rFonts w:cs="Times New Roman"/>
        </w:rPr>
        <w:t>(DSIRE 2019b; 2019a)</w:t>
      </w:r>
      <w:r>
        <w:fldChar w:fldCharType="end"/>
      </w:r>
      <w:r>
        <w:t>.</w:t>
      </w:r>
    </w:p>
    <w:p w14:paraId="3F4AC21A" w14:textId="77777777" w:rsidR="00300E2D" w:rsidRDefault="00300E2D" w:rsidP="00CA30EC">
      <w:pPr>
        <w:pStyle w:val="BodyText"/>
      </w:pPr>
    </w:p>
    <w:p w14:paraId="210FD34A" w14:textId="214CBC4F" w:rsidR="00A22D91" w:rsidRDefault="00A22D91" w:rsidP="00A22D91">
      <w:pPr>
        <w:pStyle w:val="Caption"/>
        <w:keepNext/>
      </w:pPr>
      <w:bookmarkStart w:id="8" w:name="_Ref20909977"/>
      <w:r>
        <w:t xml:space="preserve">Table </w:t>
      </w:r>
      <w:r w:rsidR="009A1416">
        <w:fldChar w:fldCharType="begin"/>
      </w:r>
      <w:r w:rsidR="009A1416">
        <w:instrText xml:space="preserve"> SEQ Table \* ARABIC </w:instrText>
      </w:r>
      <w:r w:rsidR="009A1416">
        <w:fldChar w:fldCharType="separate"/>
      </w:r>
      <w:r w:rsidR="0054057F">
        <w:rPr>
          <w:noProof/>
        </w:rPr>
        <w:t>1</w:t>
      </w:r>
      <w:r w:rsidR="009A1416">
        <w:rPr>
          <w:noProof/>
        </w:rPr>
        <w:fldChar w:fldCharType="end"/>
      </w:r>
      <w:bookmarkEnd w:id="8"/>
      <w:r>
        <w:t>. Investment tax credits applied in Switch-Oahu</w:t>
      </w:r>
    </w:p>
    <w:tbl>
      <w:tblPr>
        <w:tblStyle w:val="TableGrid"/>
        <w:tblW w:w="0" w:type="auto"/>
        <w:jc w:val="center"/>
        <w:tblBorders>
          <w:insideH w:val="none" w:sz="0" w:space="0" w:color="auto"/>
        </w:tblBorders>
        <w:tblLook w:val="04A0" w:firstRow="1" w:lastRow="0" w:firstColumn="1" w:lastColumn="0" w:noHBand="0" w:noVBand="1"/>
      </w:tblPr>
      <w:tblGrid>
        <w:gridCol w:w="2425"/>
        <w:gridCol w:w="1800"/>
        <w:gridCol w:w="1412"/>
      </w:tblGrid>
      <w:tr w:rsidR="00D273C3" w:rsidRPr="00D273C3" w14:paraId="4EDCF503" w14:textId="77777777" w:rsidTr="00D273C3">
        <w:trPr>
          <w:jc w:val="center"/>
        </w:trPr>
        <w:tc>
          <w:tcPr>
            <w:tcW w:w="2425" w:type="dxa"/>
            <w:tcBorders>
              <w:top w:val="single" w:sz="4" w:space="0" w:color="auto"/>
              <w:bottom w:val="single" w:sz="4" w:space="0" w:color="auto"/>
            </w:tcBorders>
          </w:tcPr>
          <w:p w14:paraId="009DCC30" w14:textId="13E98D49" w:rsidR="004E082B" w:rsidRPr="00D273C3" w:rsidRDefault="0008316F" w:rsidP="00D273C3">
            <w:pPr>
              <w:pStyle w:val="BodyText"/>
              <w:keepNext/>
              <w:spacing w:after="80"/>
              <w:ind w:firstLine="0"/>
              <w:rPr>
                <w:rFonts w:ascii="Arial" w:hAnsi="Arial" w:cs="Arial"/>
                <w:b/>
                <w:bCs/>
                <w:sz w:val="22"/>
                <w:szCs w:val="22"/>
              </w:rPr>
            </w:pPr>
            <w:r w:rsidRPr="00D273C3">
              <w:rPr>
                <w:rFonts w:ascii="Arial" w:hAnsi="Arial" w:cs="Arial"/>
                <w:b/>
                <w:bCs/>
                <w:sz w:val="22"/>
                <w:szCs w:val="22"/>
              </w:rPr>
              <w:t>Technology</w:t>
            </w:r>
          </w:p>
        </w:tc>
        <w:tc>
          <w:tcPr>
            <w:tcW w:w="1800" w:type="dxa"/>
            <w:tcBorders>
              <w:top w:val="single" w:sz="4" w:space="0" w:color="auto"/>
              <w:bottom w:val="single" w:sz="4" w:space="0" w:color="auto"/>
            </w:tcBorders>
          </w:tcPr>
          <w:p w14:paraId="40AEF54D" w14:textId="57BE0B6E" w:rsidR="004E082B" w:rsidRPr="00D273C3" w:rsidRDefault="004E082B" w:rsidP="00D273C3">
            <w:pPr>
              <w:pStyle w:val="BodyText"/>
              <w:keepNext/>
              <w:spacing w:after="80"/>
              <w:ind w:firstLine="0"/>
              <w:jc w:val="center"/>
              <w:rPr>
                <w:rFonts w:ascii="Arial" w:hAnsi="Arial" w:cs="Arial"/>
                <w:b/>
                <w:bCs/>
                <w:sz w:val="22"/>
                <w:szCs w:val="22"/>
              </w:rPr>
            </w:pPr>
            <w:r w:rsidRPr="00D273C3">
              <w:rPr>
                <w:rFonts w:ascii="Arial" w:hAnsi="Arial" w:cs="Arial"/>
                <w:b/>
                <w:bCs/>
                <w:sz w:val="22"/>
                <w:szCs w:val="22"/>
              </w:rPr>
              <w:t>Year(s)</w:t>
            </w:r>
          </w:p>
        </w:tc>
        <w:tc>
          <w:tcPr>
            <w:tcW w:w="1412" w:type="dxa"/>
            <w:tcBorders>
              <w:top w:val="single" w:sz="4" w:space="0" w:color="auto"/>
              <w:bottom w:val="single" w:sz="4" w:space="0" w:color="auto"/>
            </w:tcBorders>
          </w:tcPr>
          <w:p w14:paraId="130556BB" w14:textId="4A88D71D" w:rsidR="004E082B" w:rsidRPr="00D273C3" w:rsidRDefault="004E082B" w:rsidP="00D273C3">
            <w:pPr>
              <w:pStyle w:val="BodyText"/>
              <w:keepNext/>
              <w:spacing w:after="80"/>
              <w:ind w:firstLine="0"/>
              <w:jc w:val="right"/>
              <w:rPr>
                <w:rFonts w:ascii="Arial" w:hAnsi="Arial" w:cs="Arial"/>
                <w:b/>
                <w:bCs/>
                <w:sz w:val="22"/>
                <w:szCs w:val="22"/>
              </w:rPr>
            </w:pPr>
            <w:r w:rsidRPr="00D273C3">
              <w:rPr>
                <w:rFonts w:ascii="Arial" w:hAnsi="Arial" w:cs="Arial"/>
                <w:b/>
                <w:bCs/>
                <w:sz w:val="22"/>
                <w:szCs w:val="22"/>
              </w:rPr>
              <w:t xml:space="preserve">Investment </w:t>
            </w:r>
            <w:r w:rsidR="00A22D91" w:rsidRPr="00D273C3">
              <w:rPr>
                <w:rFonts w:ascii="Arial" w:hAnsi="Arial" w:cs="Arial"/>
                <w:b/>
                <w:bCs/>
                <w:sz w:val="22"/>
                <w:szCs w:val="22"/>
              </w:rPr>
              <w:br/>
            </w:r>
            <w:r w:rsidRPr="00D273C3">
              <w:rPr>
                <w:rFonts w:ascii="Arial" w:hAnsi="Arial" w:cs="Arial"/>
                <w:b/>
                <w:bCs/>
                <w:sz w:val="22"/>
                <w:szCs w:val="22"/>
              </w:rPr>
              <w:t>tax credit</w:t>
            </w:r>
          </w:p>
        </w:tc>
      </w:tr>
      <w:tr w:rsidR="00D273C3" w:rsidRPr="00D273C3" w14:paraId="0FCA9E9E" w14:textId="77777777" w:rsidTr="00D273C3">
        <w:trPr>
          <w:jc w:val="center"/>
        </w:trPr>
        <w:tc>
          <w:tcPr>
            <w:tcW w:w="2425" w:type="dxa"/>
            <w:tcBorders>
              <w:top w:val="single" w:sz="4" w:space="0" w:color="auto"/>
            </w:tcBorders>
          </w:tcPr>
          <w:p w14:paraId="0DB04CF5" w14:textId="2A38EC5C" w:rsidR="004E082B" w:rsidRPr="00D273C3" w:rsidRDefault="004E082B" w:rsidP="00D273C3">
            <w:pPr>
              <w:pStyle w:val="BodyText"/>
              <w:keepNext/>
              <w:spacing w:after="80"/>
              <w:ind w:firstLine="0"/>
              <w:rPr>
                <w:rFonts w:ascii="Arial" w:hAnsi="Arial" w:cs="Arial"/>
                <w:sz w:val="22"/>
                <w:szCs w:val="22"/>
              </w:rPr>
            </w:pPr>
            <w:r w:rsidRPr="00D273C3">
              <w:rPr>
                <w:rFonts w:ascii="Arial" w:hAnsi="Arial" w:cs="Arial"/>
                <w:sz w:val="22"/>
                <w:szCs w:val="22"/>
              </w:rPr>
              <w:t>Distributed PV</w:t>
            </w:r>
          </w:p>
        </w:tc>
        <w:tc>
          <w:tcPr>
            <w:tcW w:w="1800" w:type="dxa"/>
            <w:tcBorders>
              <w:top w:val="single" w:sz="4" w:space="0" w:color="auto"/>
            </w:tcBorders>
          </w:tcPr>
          <w:p w14:paraId="3F8516D0" w14:textId="1E33DED3" w:rsidR="004E082B" w:rsidRPr="00D273C3" w:rsidRDefault="004E082B" w:rsidP="00D273C3">
            <w:pPr>
              <w:pStyle w:val="BodyText"/>
              <w:keepNext/>
              <w:spacing w:after="80"/>
              <w:ind w:firstLine="0"/>
              <w:jc w:val="center"/>
              <w:rPr>
                <w:rFonts w:ascii="Arial" w:hAnsi="Arial" w:cs="Arial"/>
                <w:sz w:val="22"/>
                <w:szCs w:val="22"/>
              </w:rPr>
            </w:pPr>
            <w:r w:rsidRPr="00D273C3">
              <w:rPr>
                <w:rFonts w:ascii="Arial" w:hAnsi="Arial" w:cs="Arial"/>
                <w:sz w:val="22"/>
                <w:szCs w:val="22"/>
              </w:rPr>
              <w:t>2020</w:t>
            </w:r>
          </w:p>
        </w:tc>
        <w:tc>
          <w:tcPr>
            <w:tcW w:w="1412" w:type="dxa"/>
            <w:tcBorders>
              <w:top w:val="single" w:sz="4" w:space="0" w:color="auto"/>
            </w:tcBorders>
          </w:tcPr>
          <w:p w14:paraId="6FC91229" w14:textId="49011B80" w:rsidR="004E082B" w:rsidRPr="00D273C3" w:rsidRDefault="00A22D91" w:rsidP="00D273C3">
            <w:pPr>
              <w:pStyle w:val="BodyText"/>
              <w:keepNext/>
              <w:spacing w:after="80"/>
              <w:ind w:firstLine="0"/>
              <w:jc w:val="right"/>
              <w:rPr>
                <w:rFonts w:ascii="Arial" w:hAnsi="Arial" w:cs="Arial"/>
                <w:sz w:val="22"/>
                <w:szCs w:val="22"/>
              </w:rPr>
            </w:pPr>
            <w:r w:rsidRPr="00D273C3">
              <w:rPr>
                <w:rFonts w:ascii="Arial" w:hAnsi="Arial" w:cs="Arial"/>
                <w:sz w:val="22"/>
                <w:szCs w:val="22"/>
              </w:rPr>
              <w:t>30%</w:t>
            </w:r>
          </w:p>
        </w:tc>
      </w:tr>
      <w:tr w:rsidR="00D273C3" w:rsidRPr="00D273C3" w14:paraId="32F7B25D" w14:textId="77777777" w:rsidTr="00D273C3">
        <w:trPr>
          <w:jc w:val="center"/>
        </w:trPr>
        <w:tc>
          <w:tcPr>
            <w:tcW w:w="2425" w:type="dxa"/>
          </w:tcPr>
          <w:p w14:paraId="5BE096E2" w14:textId="5849FDB3" w:rsidR="004E082B" w:rsidRPr="00D273C3" w:rsidRDefault="0008316F" w:rsidP="00D273C3">
            <w:pPr>
              <w:pStyle w:val="BodyText"/>
              <w:keepNext/>
              <w:spacing w:after="80"/>
              <w:ind w:firstLine="0"/>
              <w:rPr>
                <w:rFonts w:ascii="Arial" w:hAnsi="Arial" w:cs="Arial"/>
                <w:sz w:val="22"/>
                <w:szCs w:val="22"/>
              </w:rPr>
            </w:pPr>
            <w:r w:rsidRPr="00D273C3">
              <w:rPr>
                <w:rFonts w:ascii="Arial" w:hAnsi="Arial" w:cs="Arial"/>
                <w:sz w:val="22"/>
                <w:szCs w:val="22"/>
              </w:rPr>
              <w:t>Utility-scale PV</w:t>
            </w:r>
          </w:p>
        </w:tc>
        <w:tc>
          <w:tcPr>
            <w:tcW w:w="1800" w:type="dxa"/>
          </w:tcPr>
          <w:p w14:paraId="52093305" w14:textId="6D802F8A" w:rsidR="004E082B" w:rsidRPr="00D273C3" w:rsidRDefault="005A07E4" w:rsidP="00D273C3">
            <w:pPr>
              <w:pStyle w:val="BodyText"/>
              <w:keepNext/>
              <w:spacing w:after="80"/>
              <w:ind w:firstLine="0"/>
              <w:jc w:val="center"/>
              <w:rPr>
                <w:rFonts w:ascii="Arial" w:hAnsi="Arial" w:cs="Arial"/>
                <w:sz w:val="22"/>
                <w:szCs w:val="22"/>
              </w:rPr>
            </w:pPr>
            <w:r w:rsidRPr="00D273C3">
              <w:rPr>
                <w:rFonts w:ascii="Arial" w:hAnsi="Arial" w:cs="Arial"/>
                <w:sz w:val="22"/>
                <w:szCs w:val="22"/>
              </w:rPr>
              <w:t>2020</w:t>
            </w:r>
          </w:p>
        </w:tc>
        <w:tc>
          <w:tcPr>
            <w:tcW w:w="1412" w:type="dxa"/>
          </w:tcPr>
          <w:p w14:paraId="45F71544" w14:textId="1F550C15" w:rsidR="005A07E4" w:rsidRPr="00D273C3" w:rsidRDefault="005A07E4" w:rsidP="00D273C3">
            <w:pPr>
              <w:pStyle w:val="BodyText"/>
              <w:keepNext/>
              <w:spacing w:after="80"/>
              <w:ind w:firstLine="0"/>
              <w:jc w:val="right"/>
              <w:rPr>
                <w:rFonts w:ascii="Arial" w:hAnsi="Arial" w:cs="Arial"/>
                <w:sz w:val="22"/>
                <w:szCs w:val="22"/>
              </w:rPr>
            </w:pPr>
            <w:r w:rsidRPr="00D273C3">
              <w:rPr>
                <w:rFonts w:ascii="Arial" w:hAnsi="Arial" w:cs="Arial"/>
                <w:sz w:val="22"/>
                <w:szCs w:val="22"/>
              </w:rPr>
              <w:t>26%</w:t>
            </w:r>
          </w:p>
        </w:tc>
      </w:tr>
      <w:tr w:rsidR="00D273C3" w:rsidRPr="00D273C3" w14:paraId="7C98D6C1" w14:textId="77777777" w:rsidTr="00D273C3">
        <w:trPr>
          <w:jc w:val="center"/>
        </w:trPr>
        <w:tc>
          <w:tcPr>
            <w:tcW w:w="2425" w:type="dxa"/>
          </w:tcPr>
          <w:p w14:paraId="63825966" w14:textId="02ADAE9B" w:rsidR="005A07E4" w:rsidRPr="00D273C3" w:rsidRDefault="005A07E4" w:rsidP="00D273C3">
            <w:pPr>
              <w:pStyle w:val="BodyText"/>
              <w:keepNext/>
              <w:spacing w:after="80"/>
              <w:ind w:firstLine="0"/>
              <w:rPr>
                <w:rFonts w:ascii="Arial" w:hAnsi="Arial" w:cs="Arial"/>
                <w:sz w:val="22"/>
                <w:szCs w:val="22"/>
              </w:rPr>
            </w:pPr>
            <w:r w:rsidRPr="00D273C3">
              <w:rPr>
                <w:rFonts w:ascii="Arial" w:hAnsi="Arial" w:cs="Arial"/>
                <w:sz w:val="22"/>
                <w:szCs w:val="22"/>
              </w:rPr>
              <w:t>Utility-scale PV</w:t>
            </w:r>
          </w:p>
        </w:tc>
        <w:tc>
          <w:tcPr>
            <w:tcW w:w="1800" w:type="dxa"/>
          </w:tcPr>
          <w:p w14:paraId="1AAC8010" w14:textId="68B52B67" w:rsidR="005A07E4" w:rsidRPr="00D273C3" w:rsidRDefault="005A07E4" w:rsidP="00D273C3">
            <w:pPr>
              <w:pStyle w:val="BodyText"/>
              <w:keepNext/>
              <w:spacing w:after="80"/>
              <w:ind w:firstLine="0"/>
              <w:jc w:val="center"/>
              <w:rPr>
                <w:rFonts w:ascii="Arial" w:hAnsi="Arial" w:cs="Arial"/>
                <w:sz w:val="22"/>
                <w:szCs w:val="22"/>
              </w:rPr>
            </w:pPr>
            <w:r w:rsidRPr="00D273C3">
              <w:rPr>
                <w:rFonts w:ascii="Arial" w:hAnsi="Arial" w:cs="Arial"/>
                <w:sz w:val="22"/>
                <w:szCs w:val="22"/>
              </w:rPr>
              <w:t>2025–2045</w:t>
            </w:r>
          </w:p>
        </w:tc>
        <w:tc>
          <w:tcPr>
            <w:tcW w:w="1412" w:type="dxa"/>
          </w:tcPr>
          <w:p w14:paraId="66B9AFC4" w14:textId="7ACAF538" w:rsidR="005A07E4" w:rsidRPr="00D273C3" w:rsidRDefault="005A07E4" w:rsidP="00D273C3">
            <w:pPr>
              <w:pStyle w:val="BodyText"/>
              <w:keepNext/>
              <w:spacing w:after="80"/>
              <w:ind w:firstLine="0"/>
              <w:jc w:val="right"/>
              <w:rPr>
                <w:rFonts w:ascii="Arial" w:hAnsi="Arial" w:cs="Arial"/>
                <w:sz w:val="22"/>
                <w:szCs w:val="22"/>
              </w:rPr>
            </w:pPr>
            <w:r w:rsidRPr="00D273C3">
              <w:rPr>
                <w:rFonts w:ascii="Arial" w:hAnsi="Arial" w:cs="Arial"/>
                <w:sz w:val="22"/>
                <w:szCs w:val="22"/>
              </w:rPr>
              <w:t>10%</w:t>
            </w:r>
          </w:p>
        </w:tc>
      </w:tr>
      <w:tr w:rsidR="00D273C3" w:rsidRPr="00D273C3" w14:paraId="042A0857" w14:textId="77777777" w:rsidTr="00D273C3">
        <w:trPr>
          <w:jc w:val="center"/>
        </w:trPr>
        <w:tc>
          <w:tcPr>
            <w:tcW w:w="2425" w:type="dxa"/>
          </w:tcPr>
          <w:p w14:paraId="0E73A12D" w14:textId="17707E1F" w:rsidR="005A07E4" w:rsidRPr="00D273C3" w:rsidRDefault="005A07E4" w:rsidP="00D273C3">
            <w:pPr>
              <w:pStyle w:val="BodyText"/>
              <w:spacing w:after="80"/>
              <w:ind w:firstLine="0"/>
              <w:rPr>
                <w:rFonts w:ascii="Arial" w:hAnsi="Arial" w:cs="Arial"/>
                <w:sz w:val="22"/>
                <w:szCs w:val="22"/>
              </w:rPr>
            </w:pPr>
            <w:r w:rsidRPr="00D273C3">
              <w:rPr>
                <w:rFonts w:ascii="Arial" w:hAnsi="Arial" w:cs="Arial"/>
                <w:sz w:val="22"/>
                <w:szCs w:val="22"/>
              </w:rPr>
              <w:t>All other technologies</w:t>
            </w:r>
          </w:p>
        </w:tc>
        <w:tc>
          <w:tcPr>
            <w:tcW w:w="1800" w:type="dxa"/>
          </w:tcPr>
          <w:p w14:paraId="04FB06F4" w14:textId="22728028" w:rsidR="005A07E4" w:rsidRPr="00D273C3" w:rsidRDefault="005A07E4" w:rsidP="00D273C3">
            <w:pPr>
              <w:pStyle w:val="BodyText"/>
              <w:spacing w:after="80"/>
              <w:ind w:firstLine="0"/>
              <w:jc w:val="center"/>
              <w:rPr>
                <w:rFonts w:ascii="Arial" w:hAnsi="Arial" w:cs="Arial"/>
                <w:sz w:val="22"/>
                <w:szCs w:val="22"/>
              </w:rPr>
            </w:pPr>
            <w:r w:rsidRPr="00D273C3">
              <w:rPr>
                <w:rFonts w:ascii="Arial" w:hAnsi="Arial" w:cs="Arial"/>
                <w:sz w:val="22"/>
                <w:szCs w:val="22"/>
              </w:rPr>
              <w:t>All other years</w:t>
            </w:r>
          </w:p>
        </w:tc>
        <w:tc>
          <w:tcPr>
            <w:tcW w:w="1412" w:type="dxa"/>
          </w:tcPr>
          <w:p w14:paraId="2D467CAF" w14:textId="4D791394" w:rsidR="005A07E4" w:rsidRPr="00D273C3" w:rsidRDefault="005A07E4" w:rsidP="00D273C3">
            <w:pPr>
              <w:pStyle w:val="BodyText"/>
              <w:spacing w:after="80"/>
              <w:ind w:firstLine="0"/>
              <w:jc w:val="right"/>
              <w:rPr>
                <w:rFonts w:ascii="Arial" w:hAnsi="Arial" w:cs="Arial"/>
                <w:sz w:val="22"/>
                <w:szCs w:val="22"/>
              </w:rPr>
            </w:pPr>
            <w:r w:rsidRPr="00D273C3">
              <w:rPr>
                <w:rFonts w:ascii="Arial" w:hAnsi="Arial" w:cs="Arial"/>
                <w:sz w:val="22"/>
                <w:szCs w:val="22"/>
              </w:rPr>
              <w:t>0%</w:t>
            </w:r>
          </w:p>
        </w:tc>
      </w:tr>
    </w:tbl>
    <w:p w14:paraId="7A6D7642" w14:textId="77777777" w:rsidR="00C840CE" w:rsidRDefault="00C840CE" w:rsidP="00CA30EC">
      <w:pPr>
        <w:pStyle w:val="BodyText"/>
        <w:rPr>
          <w:b/>
          <w:bCs/>
        </w:rPr>
      </w:pPr>
    </w:p>
    <w:p w14:paraId="57D96153" w14:textId="3EEBCF39" w:rsidR="00D9301A" w:rsidRDefault="00C840CE" w:rsidP="00CA30EC">
      <w:pPr>
        <w:pStyle w:val="BodyText"/>
      </w:pPr>
      <w:r>
        <w:rPr>
          <w:b/>
          <w:bCs/>
        </w:rPr>
        <w:t xml:space="preserve">Fuel price forecasts. </w:t>
      </w:r>
      <w:r w:rsidR="00D9301A">
        <w:t xml:space="preserve">Liquid fuel </w:t>
      </w:r>
      <w:r w:rsidR="00AD02DE">
        <w:t xml:space="preserve">price forecasts </w:t>
      </w:r>
      <w:r w:rsidR="00D9301A">
        <w:t xml:space="preserve">are </w:t>
      </w:r>
      <w:r w:rsidR="00AD02DE">
        <w:t xml:space="preserve">based on the Brent </w:t>
      </w:r>
      <w:r w:rsidR="008556FF">
        <w:t>c</w:t>
      </w:r>
      <w:r w:rsidR="00AD02DE">
        <w:t xml:space="preserve">rude forecast </w:t>
      </w:r>
      <w:r w:rsidR="008556FF">
        <w:t xml:space="preserve">reported by </w:t>
      </w:r>
      <w:r w:rsidR="00AD02DE">
        <w:t xml:space="preserve">the Energy Information Administration </w:t>
      </w:r>
      <w:r w:rsidR="008556FF">
        <w:t xml:space="preserve">in </w:t>
      </w:r>
      <w:r w:rsidR="00AD02DE">
        <w:t xml:space="preserve">the Annual Energy Outlook </w:t>
      </w:r>
      <w:r w:rsidR="0084552A">
        <w:t xml:space="preserve">(AEO) </w:t>
      </w:r>
      <w:r w:rsidR="00AD02DE">
        <w:t xml:space="preserve">2019. We </w:t>
      </w:r>
      <w:r w:rsidR="00D9301A">
        <w:t>add</w:t>
      </w:r>
      <w:r w:rsidR="00AD02DE">
        <w:t xml:space="preserve"> a fixed </w:t>
      </w:r>
      <w:r w:rsidR="000D5A8A">
        <w:t xml:space="preserve">offset </w:t>
      </w:r>
      <w:r w:rsidR="00AD02DE">
        <w:t xml:space="preserve">to </w:t>
      </w:r>
      <w:r w:rsidR="0084552A">
        <w:t xml:space="preserve">the </w:t>
      </w:r>
      <w:r w:rsidR="00D9301A">
        <w:t xml:space="preserve">EIA </w:t>
      </w:r>
      <w:r w:rsidR="0084552A">
        <w:t>forecast</w:t>
      </w:r>
      <w:r w:rsidR="00AD02DE">
        <w:t xml:space="preserve"> to obtain a cost for </w:t>
      </w:r>
      <w:r w:rsidR="00CA4D47">
        <w:t>low-sulfur fuel oil (LSFO)</w:t>
      </w:r>
      <w:r w:rsidR="00676A42">
        <w:t>, diesel or biodiesel</w:t>
      </w:r>
      <w:r w:rsidR="00CA4D47">
        <w:t xml:space="preserve"> delivered to power plants on Oahu. The adjustment factor </w:t>
      </w:r>
      <w:r>
        <w:t>is</w:t>
      </w:r>
      <w:r w:rsidR="00D9301A">
        <w:t xml:space="preserve"> –</w:t>
      </w:r>
      <w:r w:rsidR="00CA4D47">
        <w:t>$0.6</w:t>
      </w:r>
      <w:r w:rsidR="008167D6">
        <w:t>3</w:t>
      </w:r>
      <w:r w:rsidR="00CA4D47">
        <w:t>/MMBtu for LSFO (lower price than crude oil)</w:t>
      </w:r>
      <w:r w:rsidR="00676A42">
        <w:t xml:space="preserve">, </w:t>
      </w:r>
      <w:r w:rsidR="00CA4D47">
        <w:t>+$4.</w:t>
      </w:r>
      <w:r w:rsidR="00720BE8">
        <w:t>78</w:t>
      </w:r>
      <w:r w:rsidR="00CA4D47">
        <w:t>/MMBtu for diesel</w:t>
      </w:r>
      <w:r w:rsidR="00676A42">
        <w:t xml:space="preserve"> and +</w:t>
      </w:r>
      <w:r w:rsidR="00B82EED">
        <w:t>$1</w:t>
      </w:r>
      <w:r w:rsidR="00720BE8">
        <w:t>4.38</w:t>
      </w:r>
      <w:r w:rsidR="00D9301A">
        <w:t>/MMBtu</w:t>
      </w:r>
      <w:r w:rsidR="00B82EED">
        <w:t xml:space="preserve"> for biodiesel</w:t>
      </w:r>
      <w:r w:rsidR="00CA4D47">
        <w:t xml:space="preserve">. These factors were found by </w:t>
      </w:r>
      <w:r w:rsidR="00D9301A">
        <w:t xml:space="preserve">comparing </w:t>
      </w:r>
      <w:r w:rsidR="00CA4D47">
        <w:t xml:space="preserve">Oahu </w:t>
      </w:r>
      <w:r w:rsidR="00D9301A">
        <w:t xml:space="preserve">utility </w:t>
      </w:r>
      <w:r w:rsidR="00CA4D47">
        <w:t xml:space="preserve">prices for these fuels </w:t>
      </w:r>
      <w:r w:rsidR="00D9301A">
        <w:t>to</w:t>
      </w:r>
      <w:r w:rsidR="00CA4D47">
        <w:t xml:space="preserve"> Brent crude over 2006–1</w:t>
      </w:r>
      <w:r w:rsidR="00720BE8">
        <w:t>8</w:t>
      </w:r>
      <w:r w:rsidR="00B82EED">
        <w:t xml:space="preserve"> (2013–1</w:t>
      </w:r>
      <w:r w:rsidR="00720BE8">
        <w:t>8</w:t>
      </w:r>
      <w:r w:rsidR="00B82EED">
        <w:t xml:space="preserve"> for biodiesel)</w:t>
      </w:r>
      <w:r w:rsidR="00CA4D47">
        <w:t>.</w:t>
      </w:r>
      <w:r w:rsidR="00D9301A">
        <w:t xml:space="preserve"> Future variable costs for the AES coal plant are based on its power purchase agreement (we are awaiting details from HECO).</w:t>
      </w:r>
    </w:p>
    <w:p w14:paraId="6EE4F4E6" w14:textId="2E076671" w:rsidR="003C3F60" w:rsidRDefault="00D9301A" w:rsidP="00CA30EC">
      <w:pPr>
        <w:pStyle w:val="BodyText"/>
      </w:pPr>
      <w:bookmarkStart w:id="9" w:name="_Ref522975214"/>
      <w:r w:rsidRPr="00D9301A">
        <w:rPr>
          <w:b/>
          <w:bCs/>
        </w:rPr>
        <w:t>Cost of wind and solar projects</w:t>
      </w:r>
      <w:r w:rsidR="000C452E">
        <w:rPr>
          <w:b/>
          <w:bCs/>
        </w:rPr>
        <w:t xml:space="preserve"> and batteries</w:t>
      </w:r>
      <w:r w:rsidRPr="00D9301A">
        <w:rPr>
          <w:b/>
          <w:bCs/>
        </w:rPr>
        <w:t xml:space="preserve">. </w:t>
      </w:r>
      <w:r w:rsidRPr="00D9301A">
        <w:t>For new</w:t>
      </w:r>
      <w:r>
        <w:rPr>
          <w:b/>
          <w:bCs/>
        </w:rPr>
        <w:t xml:space="preserve"> </w:t>
      </w:r>
      <w:r>
        <w:t>wind and solar resources</w:t>
      </w:r>
      <w:r w:rsidR="000C452E">
        <w:t xml:space="preserve"> and batteries,</w:t>
      </w:r>
      <w:r>
        <w:t xml:space="preserve"> w</w:t>
      </w:r>
      <w:r w:rsidR="00CA30EC">
        <w:t>e use capital costs</w:t>
      </w:r>
      <w:r w:rsidR="003C3F60">
        <w:t xml:space="preserve"> (including construction finance and interconnect cost) and </w:t>
      </w:r>
      <w:r w:rsidR="00CA30EC">
        <w:t>O&amp;M costs and</w:t>
      </w:r>
      <w:r w:rsidR="00091328">
        <w:t xml:space="preserve"> project</w:t>
      </w:r>
      <w:r w:rsidR="00CA30EC">
        <w:t xml:space="preserve"> lifetimes from the NREL 2019 ATB </w:t>
      </w:r>
      <w:r w:rsidR="00CA30EC">
        <w:fldChar w:fldCharType="begin"/>
      </w:r>
      <w:r w:rsidR="000524EB">
        <w:instrText xml:space="preserve"> ADDIN ZOTERO_ITEM CSL_CITATION {"citationID":"LmW3ExbJ","properties":{"formattedCitation":"(NREL 2019)","plainCitation":"(NREL 2019)","noteIndex":0},"citationItems":[{"id":2441,"uris":["http://zotero.org/users/1686015/items/PVYKBJ2D"],"uri":["http://zotero.org/users/1686015/items/PVYKBJ2D"],"itemData":{"id":2441,"type":"report","event-place":"Golden, Colorado","publisher":"National Renewable Energy Laboratory","publisher-place":"Golden, Colorado","title":"2019 Annual Technology Baseline","URL":"https://atb.nrel.gov/electricity/2019/","author":[{"literal":"NREL"}],"issued":{"date-parts":[["2019"]]}}}],"schema":"https://github.com/citation-style-language/schema/raw/master/csl-citation.json"} </w:instrText>
      </w:r>
      <w:r w:rsidR="00CA30EC">
        <w:fldChar w:fldCharType="separate"/>
      </w:r>
      <w:r w:rsidR="00244790">
        <w:rPr>
          <w:rFonts w:cs="Times New Roman"/>
        </w:rPr>
        <w:t>(NREL 2019)</w:t>
      </w:r>
      <w:r w:rsidR="00CA30EC">
        <w:fldChar w:fldCharType="end"/>
      </w:r>
      <w:r w:rsidR="00CA30EC">
        <w:t>.</w:t>
      </w:r>
      <w:r w:rsidR="000C452E">
        <w:t xml:space="preserve"> </w:t>
      </w:r>
      <w:r w:rsidR="00CA30EC">
        <w:t xml:space="preserve">We adjust capital costs to Hawaii-specific values by applying adders from EIA reports on this subject </w:t>
      </w:r>
      <w:r w:rsidR="00CA30EC">
        <w:fldChar w:fldCharType="begin"/>
      </w:r>
      <w:r w:rsidR="000524EB">
        <w:instrText xml:space="preserve"> ADDIN ZOTERO_ITEM CSL_CITATION {"citationID":"oF3CWIOj","properties":{"formattedCitation":"(EIA 2017; 2016)","plainCitation":"(EIA 2017; 2016)","noteIndex":0},"citationItems":[{"id":2297,"uris":["http://zotero.org/users/1686015/items/ZTV89CSQ"],"uri":["http://zotero.org/users/1686015/items/ZTV89CSQ"],"itemData":{"id":2297,"type":"report","event-place":"Washington, D.C.","language":"en","publisher":"U.S. Energy Information Administration","publisher-place":"Washington, D.C.","source":"Zotero","title":"Addendum: Capital Cost Estimates for Additional Utility Scale Electric Generating Plants","URL":"https://www.eia.gov/analysis/studies/powerplants/capitalcost/pdf/beret_addendum_leidos.pdf","author":[{"literal":"EIA"}],"issued":{"date-parts":[["2017",4]]}}},{"id":2295,"uris":["http://zotero.org/users/1686015/items/58DHSIDU"],"uri":["http://zotero.org/users/1686015/items/58DHSIDU"],"itemData":{"id":2295,"type":"report","event-place":"Washington, D.C.","publisher":"U.S. Energy Information Administration","publisher-place":"Washington, D.C.","source":"Zotero","title":"Capital Cost Estimates for Utility Scale Electricity Generating Plants","URL":"https://www.eia.gov/analysis/studies/powerplants/capitalcost/pdf/capcost_assumption.pdf","author":[{"literal":"EIA"}],"issued":{"date-parts":[["2016",11]]}}}],"schema":"https://github.com/citation-style-language/schema/raw/master/csl-citation.json"} </w:instrText>
      </w:r>
      <w:r w:rsidR="00CA30EC">
        <w:fldChar w:fldCharType="separate"/>
      </w:r>
      <w:r w:rsidR="00244790">
        <w:rPr>
          <w:rFonts w:cs="Times New Roman"/>
        </w:rPr>
        <w:t>(EIA 2017; 2016)</w:t>
      </w:r>
      <w:r w:rsidR="00CA30EC">
        <w:fldChar w:fldCharType="end"/>
      </w:r>
      <w:r w:rsidR="00CA30EC">
        <w:t xml:space="preserve"> as recommended by the ATB. These are 35% for wind projects, 64% for large PV</w:t>
      </w:r>
      <w:r w:rsidR="000C452E">
        <w:t xml:space="preserve">, </w:t>
      </w:r>
      <w:r w:rsidR="00CA30EC">
        <w:t>62% for distributed PV</w:t>
      </w:r>
      <w:r w:rsidR="000C452E">
        <w:t xml:space="preserve"> and 28% for batteries</w:t>
      </w:r>
      <w:r w:rsidR="00CA30EC">
        <w:t xml:space="preserve">. </w:t>
      </w:r>
      <w:r w:rsidR="003C3F60">
        <w:t>We assume all of these systems (including DG PV) are dispatchable, i.e., they may be limited by available wind or sun, but can produce any amount of power below this limit.</w:t>
      </w:r>
      <w:r w:rsidR="000C452E" w:rsidRPr="000C452E">
        <w:t xml:space="preserve"> </w:t>
      </w:r>
      <w:r w:rsidR="000C452E">
        <w:t xml:space="preserve">We model reserve-only batteries </w:t>
      </w:r>
      <w:r w:rsidR="000C452E" w:rsidRPr="00541772">
        <w:t>as zero bulk energy storage, but with cost equivalent to</w:t>
      </w:r>
      <w:r w:rsidR="000C452E">
        <w:t xml:space="preserve"> 0.5–</w:t>
      </w:r>
      <w:r w:rsidR="000C452E" w:rsidRPr="00541772">
        <w:t xml:space="preserve">1 hour of energy storage, </w:t>
      </w:r>
      <w:r w:rsidR="000C452E">
        <w:t>as modeled in the</w:t>
      </w:r>
      <w:r w:rsidR="000C452E" w:rsidRPr="00541772">
        <w:t xml:space="preserve"> PSIP.</w:t>
      </w:r>
    </w:p>
    <w:p w14:paraId="020A7FCD" w14:textId="29582387" w:rsidR="007B0019" w:rsidRDefault="007B0019" w:rsidP="007B0019">
      <w:pPr>
        <w:pStyle w:val="BodyText"/>
      </w:pPr>
      <w:r>
        <w:t>We assume an additional cost of $1</w:t>
      </w:r>
      <w:r w:rsidR="009D7A4E">
        <w:t>000</w:t>
      </w:r>
      <w:r>
        <w:t xml:space="preserve"> per </w:t>
      </w:r>
      <w:r w:rsidR="009D7A4E">
        <w:t>M</w:t>
      </w:r>
      <w:r>
        <w:t>W-km for transmission upgrades required to carry power from utility-scale onshore wind and solar projects to the load center. The distances are calculated from the center of each cluster</w:t>
      </w:r>
      <w:r w:rsidRPr="006B2770">
        <w:t xml:space="preserve"> </w:t>
      </w:r>
      <w:r>
        <w:t>to the population-weighted center of Oahu. This produces upgrade costs in the range of $1</w:t>
      </w:r>
      <w:r w:rsidR="009D7A4E">
        <w:t>,000</w:t>
      </w:r>
      <w:r>
        <w:t>–36</w:t>
      </w:r>
      <w:r w:rsidR="009D7A4E">
        <w:t>,000</w:t>
      </w:r>
      <w:r>
        <w:t xml:space="preserve"> per </w:t>
      </w:r>
      <w:r w:rsidR="009D7A4E">
        <w:t>M</w:t>
      </w:r>
      <w:r>
        <w:t xml:space="preserve">W of capacity from these technologies. Tie-line costs for offshore wind are included in the NREL ATB costs reported in section </w:t>
      </w:r>
      <w:r w:rsidR="009A1416">
        <w:fldChar w:fldCharType="begin"/>
      </w:r>
      <w:r w:rsidR="009A1416">
        <w:instrText xml:space="preserve"> REF _Ref21094732 \r </w:instrText>
      </w:r>
      <w:r w:rsidR="009A1416">
        <w:fldChar w:fldCharType="separate"/>
      </w:r>
      <w:r>
        <w:t>5.2.1</w:t>
      </w:r>
      <w:r w:rsidR="009A1416">
        <w:fldChar w:fldCharType="end"/>
      </w:r>
      <w:r>
        <w:t>, and we assume these tie lines connect to a strong point on the transmission network, requiring no additional upgrades. We assume that distributed solar, batteries and thermal power plants use existing transmission capacity, so they also don’t require transmission upgrades to carry power to market.</w:t>
      </w:r>
    </w:p>
    <w:p w14:paraId="6C1F263A" w14:textId="77777777" w:rsidR="007B0019" w:rsidRDefault="007B0019" w:rsidP="00CA30EC">
      <w:pPr>
        <w:pStyle w:val="BodyText"/>
      </w:pPr>
    </w:p>
    <w:p w14:paraId="7ECF2294" w14:textId="5D60170A" w:rsidR="00FC1444" w:rsidRDefault="00FC1444" w:rsidP="00FC1444">
      <w:pPr>
        <w:pStyle w:val="Caption"/>
        <w:keepNext/>
      </w:pPr>
      <w:bookmarkStart w:id="10" w:name="_Ref21358454"/>
      <w:r>
        <w:lastRenderedPageBreak/>
        <w:t xml:space="preserve">Table </w:t>
      </w:r>
      <w:r w:rsidR="009A1416">
        <w:fldChar w:fldCharType="begin"/>
      </w:r>
      <w:r w:rsidR="009A1416">
        <w:instrText xml:space="preserve"> SEQ Table \* ARABIC </w:instrText>
      </w:r>
      <w:r w:rsidR="009A1416">
        <w:fldChar w:fldCharType="separate"/>
      </w:r>
      <w:r w:rsidR="0054057F">
        <w:rPr>
          <w:noProof/>
        </w:rPr>
        <w:t>3</w:t>
      </w:r>
      <w:r w:rsidR="009A1416">
        <w:rPr>
          <w:noProof/>
        </w:rPr>
        <w:fldChar w:fldCharType="end"/>
      </w:r>
      <w:bookmarkEnd w:id="10"/>
      <w:r>
        <w:t xml:space="preserve">. </w:t>
      </w:r>
      <w:r w:rsidR="0054057F">
        <w:t>Capital cost, O&amp;M and project lifetime for wind</w:t>
      </w:r>
      <w:r w:rsidR="00936904">
        <w:t xml:space="preserve"> farms, </w:t>
      </w:r>
      <w:r w:rsidR="0054057F">
        <w:t xml:space="preserve">solar </w:t>
      </w:r>
      <w:r w:rsidR="00936904">
        <w:t xml:space="preserve">arrays </w:t>
      </w:r>
      <w:r w:rsidR="000C452E">
        <w:t>and batteries</w:t>
      </w:r>
      <w:r w:rsidR="00936904">
        <w:t xml:space="preserve"> installed in 2020 or 2045</w:t>
      </w:r>
    </w:p>
    <w:tbl>
      <w:tblPr>
        <w:tblStyle w:val="TableGrid"/>
        <w:tblW w:w="0" w:type="auto"/>
        <w:jc w:val="center"/>
        <w:tblBorders>
          <w:insideH w:val="none" w:sz="0" w:space="0" w:color="auto"/>
        </w:tblBorders>
        <w:tblLook w:val="04A0" w:firstRow="1" w:lastRow="0" w:firstColumn="1" w:lastColumn="0" w:noHBand="0" w:noVBand="1"/>
      </w:tblPr>
      <w:tblGrid>
        <w:gridCol w:w="1190"/>
        <w:gridCol w:w="1745"/>
        <w:gridCol w:w="1393"/>
        <w:gridCol w:w="1211"/>
        <w:gridCol w:w="1211"/>
        <w:gridCol w:w="1289"/>
      </w:tblGrid>
      <w:tr w:rsidR="000C452E" w:rsidRPr="00D273C3" w14:paraId="1FCE1660" w14:textId="77777777" w:rsidTr="000C452E">
        <w:trPr>
          <w:jc w:val="center"/>
        </w:trPr>
        <w:tc>
          <w:tcPr>
            <w:tcW w:w="1190" w:type="dxa"/>
            <w:tcBorders>
              <w:top w:val="single" w:sz="4" w:space="0" w:color="auto"/>
              <w:bottom w:val="single" w:sz="4" w:space="0" w:color="auto"/>
            </w:tcBorders>
          </w:tcPr>
          <w:p w14:paraId="65831F34" w14:textId="47B57873"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Vintage</w:t>
            </w:r>
          </w:p>
        </w:tc>
        <w:tc>
          <w:tcPr>
            <w:tcW w:w="1745" w:type="dxa"/>
            <w:tcBorders>
              <w:top w:val="single" w:sz="4" w:space="0" w:color="auto"/>
              <w:bottom w:val="single" w:sz="4" w:space="0" w:color="auto"/>
            </w:tcBorders>
          </w:tcPr>
          <w:p w14:paraId="1D77130C" w14:textId="4E2C29C7"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Technology</w:t>
            </w:r>
          </w:p>
        </w:tc>
        <w:tc>
          <w:tcPr>
            <w:tcW w:w="1190" w:type="dxa"/>
            <w:tcBorders>
              <w:top w:val="single" w:sz="4" w:space="0" w:color="auto"/>
              <w:bottom w:val="single" w:sz="4" w:space="0" w:color="auto"/>
            </w:tcBorders>
          </w:tcPr>
          <w:p w14:paraId="57713574" w14:textId="56AECB59"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Capital cost (2020$ /kW)</w:t>
            </w:r>
          </w:p>
        </w:tc>
        <w:tc>
          <w:tcPr>
            <w:tcW w:w="1211" w:type="dxa"/>
            <w:tcBorders>
              <w:top w:val="single" w:sz="4" w:space="0" w:color="auto"/>
              <w:bottom w:val="single" w:sz="4" w:space="0" w:color="auto"/>
            </w:tcBorders>
          </w:tcPr>
          <w:p w14:paraId="612B8D60" w14:textId="5DAD9F5F"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Storage capital cost (2020$ /kWh)</w:t>
            </w:r>
          </w:p>
        </w:tc>
        <w:tc>
          <w:tcPr>
            <w:tcW w:w="1211" w:type="dxa"/>
            <w:tcBorders>
              <w:top w:val="single" w:sz="4" w:space="0" w:color="auto"/>
              <w:bottom w:val="single" w:sz="4" w:space="0" w:color="auto"/>
            </w:tcBorders>
          </w:tcPr>
          <w:p w14:paraId="4E66EC1C" w14:textId="569304CA" w:rsidR="000C452E"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Fixed O&amp;M</w:t>
            </w:r>
            <w:r>
              <w:rPr>
                <w:rFonts w:ascii="Arial" w:hAnsi="Arial" w:cs="Arial"/>
                <w:b/>
                <w:bCs/>
                <w:sz w:val="22"/>
                <w:szCs w:val="22"/>
              </w:rPr>
              <w:br/>
              <w:t>(2020$ /kW-</w:t>
            </w:r>
            <w:proofErr w:type="spellStart"/>
            <w:r>
              <w:rPr>
                <w:rFonts w:ascii="Arial" w:hAnsi="Arial" w:cs="Arial"/>
                <w:b/>
                <w:bCs/>
                <w:sz w:val="22"/>
                <w:szCs w:val="22"/>
              </w:rPr>
              <w:t>yr</w:t>
            </w:r>
            <w:proofErr w:type="spellEnd"/>
            <w:r>
              <w:rPr>
                <w:rFonts w:ascii="Arial" w:hAnsi="Arial" w:cs="Arial"/>
                <w:b/>
                <w:bCs/>
                <w:sz w:val="22"/>
                <w:szCs w:val="22"/>
              </w:rPr>
              <w:t>)</w:t>
            </w:r>
          </w:p>
        </w:tc>
        <w:tc>
          <w:tcPr>
            <w:tcW w:w="1289" w:type="dxa"/>
            <w:tcBorders>
              <w:top w:val="single" w:sz="4" w:space="0" w:color="auto"/>
              <w:bottom w:val="single" w:sz="4" w:space="0" w:color="auto"/>
            </w:tcBorders>
          </w:tcPr>
          <w:p w14:paraId="0A9F640E" w14:textId="2C42D25A" w:rsidR="000C452E" w:rsidRPr="00D273C3" w:rsidRDefault="000C452E" w:rsidP="000C452E">
            <w:pPr>
              <w:pStyle w:val="BodyText"/>
              <w:keepNext/>
              <w:spacing w:after="80"/>
              <w:ind w:firstLine="0"/>
              <w:jc w:val="right"/>
              <w:rPr>
                <w:rFonts w:ascii="Arial" w:hAnsi="Arial" w:cs="Arial"/>
                <w:b/>
                <w:bCs/>
                <w:sz w:val="22"/>
                <w:szCs w:val="22"/>
              </w:rPr>
            </w:pPr>
            <w:r>
              <w:rPr>
                <w:rFonts w:ascii="Arial" w:hAnsi="Arial" w:cs="Arial"/>
                <w:b/>
                <w:bCs/>
                <w:sz w:val="22"/>
                <w:szCs w:val="22"/>
              </w:rPr>
              <w:t>Asset life (years)</w:t>
            </w:r>
          </w:p>
        </w:tc>
      </w:tr>
      <w:tr w:rsidR="00351ADD" w:rsidRPr="00351ADD" w14:paraId="6D4BD126" w14:textId="77777777" w:rsidTr="000C452E">
        <w:trPr>
          <w:jc w:val="center"/>
        </w:trPr>
        <w:tc>
          <w:tcPr>
            <w:tcW w:w="1190" w:type="dxa"/>
            <w:tcBorders>
              <w:top w:val="single" w:sz="4" w:space="0" w:color="auto"/>
            </w:tcBorders>
          </w:tcPr>
          <w:p w14:paraId="259F6A79"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2020</w:t>
            </w:r>
          </w:p>
        </w:tc>
        <w:tc>
          <w:tcPr>
            <w:tcW w:w="1745" w:type="dxa"/>
            <w:tcBorders>
              <w:top w:val="single" w:sz="4" w:space="0" w:color="auto"/>
            </w:tcBorders>
          </w:tcPr>
          <w:p w14:paraId="6FC478EC"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Onshore wind</w:t>
            </w:r>
          </w:p>
        </w:tc>
        <w:tc>
          <w:tcPr>
            <w:tcW w:w="1190" w:type="dxa"/>
            <w:tcBorders>
              <w:top w:val="single" w:sz="4" w:space="0" w:color="auto"/>
            </w:tcBorders>
          </w:tcPr>
          <w:p w14:paraId="5F5FF530" w14:textId="405EE37F" w:rsidR="000C452E" w:rsidRPr="005F4CF5" w:rsidRDefault="00825C15" w:rsidP="00825C15">
            <w:pPr>
              <w:pStyle w:val="BodyText"/>
              <w:keepNext/>
              <w:spacing w:after="80"/>
              <w:rPr>
                <w:rFonts w:ascii="Arial" w:hAnsi="Arial" w:cs="Arial"/>
                <w:sz w:val="22"/>
                <w:szCs w:val="22"/>
              </w:rPr>
            </w:pPr>
            <w:r w:rsidRPr="005F4CF5">
              <w:rPr>
                <w:rFonts w:ascii="Arial" w:hAnsi="Arial" w:cs="Arial"/>
                <w:sz w:val="22"/>
                <w:szCs w:val="22"/>
              </w:rPr>
              <w:t>$2,</w:t>
            </w:r>
            <w:r w:rsidR="00351ADD" w:rsidRPr="005F4CF5">
              <w:rPr>
                <w:rFonts w:ascii="Arial" w:hAnsi="Arial" w:cs="Arial"/>
                <w:sz w:val="22"/>
                <w:szCs w:val="22"/>
              </w:rPr>
              <w:t>188</w:t>
            </w:r>
          </w:p>
        </w:tc>
        <w:tc>
          <w:tcPr>
            <w:tcW w:w="1211" w:type="dxa"/>
            <w:tcBorders>
              <w:top w:val="single" w:sz="4" w:space="0" w:color="auto"/>
            </w:tcBorders>
          </w:tcPr>
          <w:p w14:paraId="27CEF628" w14:textId="68C7E3D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Borders>
              <w:top w:val="single" w:sz="4" w:space="0" w:color="auto"/>
            </w:tcBorders>
          </w:tcPr>
          <w:p w14:paraId="7F4E0B39" w14:textId="277AB28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w:t>
            </w:r>
            <w:r w:rsidR="00351ADD" w:rsidRPr="005F4CF5">
              <w:rPr>
                <w:rFonts w:ascii="Arial" w:hAnsi="Arial" w:cs="Arial"/>
                <w:sz w:val="22"/>
                <w:szCs w:val="22"/>
              </w:rPr>
              <w:t>5</w:t>
            </w:r>
          </w:p>
        </w:tc>
        <w:tc>
          <w:tcPr>
            <w:tcW w:w="1289" w:type="dxa"/>
            <w:tcBorders>
              <w:top w:val="single" w:sz="4" w:space="0" w:color="auto"/>
            </w:tcBorders>
            <w:vAlign w:val="bottom"/>
          </w:tcPr>
          <w:p w14:paraId="70119346"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0CAAC1F8" w14:textId="77777777" w:rsidTr="000C452E">
        <w:trPr>
          <w:jc w:val="center"/>
        </w:trPr>
        <w:tc>
          <w:tcPr>
            <w:tcW w:w="1190" w:type="dxa"/>
          </w:tcPr>
          <w:p w14:paraId="10A38E3A"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D93FE71"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Offshore wind</w:t>
            </w:r>
          </w:p>
        </w:tc>
        <w:tc>
          <w:tcPr>
            <w:tcW w:w="1190" w:type="dxa"/>
          </w:tcPr>
          <w:p w14:paraId="619517CE" w14:textId="35E6C440"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$7,</w:t>
            </w:r>
            <w:r w:rsidR="00351ADD" w:rsidRPr="005F4CF5">
              <w:rPr>
                <w:rFonts w:ascii="Arial" w:hAnsi="Arial" w:cs="Arial"/>
                <w:sz w:val="22"/>
                <w:szCs w:val="22"/>
              </w:rPr>
              <w:t>105</w:t>
            </w:r>
          </w:p>
        </w:tc>
        <w:tc>
          <w:tcPr>
            <w:tcW w:w="1211" w:type="dxa"/>
          </w:tcPr>
          <w:p w14:paraId="53C1D073" w14:textId="577C914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FBF2343" w14:textId="34936D03"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$8</w:t>
            </w:r>
            <w:r w:rsidR="00351ADD" w:rsidRPr="005F4CF5">
              <w:rPr>
                <w:rFonts w:ascii="Arial" w:hAnsi="Arial" w:cs="Arial"/>
                <w:sz w:val="22"/>
                <w:szCs w:val="22"/>
              </w:rPr>
              <w:t>5</w:t>
            </w:r>
          </w:p>
        </w:tc>
        <w:tc>
          <w:tcPr>
            <w:tcW w:w="1289" w:type="dxa"/>
            <w:vAlign w:val="bottom"/>
          </w:tcPr>
          <w:p w14:paraId="52B88A9E"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0C452E" w:rsidRPr="00D273C3" w14:paraId="436FD22C" w14:textId="77777777" w:rsidTr="000C452E">
        <w:trPr>
          <w:jc w:val="center"/>
        </w:trPr>
        <w:tc>
          <w:tcPr>
            <w:tcW w:w="1190" w:type="dxa"/>
          </w:tcPr>
          <w:p w14:paraId="0DDFF028"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30CF6AF"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Utility-scale PV</w:t>
            </w:r>
          </w:p>
        </w:tc>
        <w:tc>
          <w:tcPr>
            <w:tcW w:w="1190" w:type="dxa"/>
          </w:tcPr>
          <w:p w14:paraId="036094B5" w14:textId="2445608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$1,8</w:t>
            </w:r>
            <w:r w:rsidR="00351ADD" w:rsidRPr="005F4CF5">
              <w:rPr>
                <w:rFonts w:ascii="Arial" w:hAnsi="Arial" w:cs="Arial"/>
                <w:sz w:val="22"/>
                <w:szCs w:val="22"/>
              </w:rPr>
              <w:t>79</w:t>
            </w:r>
          </w:p>
        </w:tc>
        <w:tc>
          <w:tcPr>
            <w:tcW w:w="1211" w:type="dxa"/>
          </w:tcPr>
          <w:p w14:paraId="78FD2CC3" w14:textId="60DD8F3B"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B35A445" w14:textId="3FCBAF4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w:t>
            </w:r>
            <w:r w:rsidR="00351ADD" w:rsidRPr="005F4CF5">
              <w:rPr>
                <w:rFonts w:ascii="Arial" w:hAnsi="Arial" w:cs="Arial"/>
                <w:sz w:val="22"/>
                <w:szCs w:val="22"/>
              </w:rPr>
              <w:t>3</w:t>
            </w:r>
          </w:p>
        </w:tc>
        <w:tc>
          <w:tcPr>
            <w:tcW w:w="1289" w:type="dxa"/>
            <w:vAlign w:val="bottom"/>
          </w:tcPr>
          <w:p w14:paraId="43EBAD9A"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19FFD95B" w14:textId="77777777" w:rsidTr="000C452E">
        <w:trPr>
          <w:jc w:val="center"/>
        </w:trPr>
        <w:tc>
          <w:tcPr>
            <w:tcW w:w="1190" w:type="dxa"/>
          </w:tcPr>
          <w:p w14:paraId="33DECB09"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51FE513"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Sloped-roof PV</w:t>
            </w:r>
          </w:p>
        </w:tc>
        <w:tc>
          <w:tcPr>
            <w:tcW w:w="1190" w:type="dxa"/>
          </w:tcPr>
          <w:p w14:paraId="33A3C459" w14:textId="21EE64A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$4,3</w:t>
            </w:r>
            <w:r w:rsidR="00351ADD" w:rsidRPr="005F4CF5">
              <w:rPr>
                <w:rFonts w:ascii="Arial" w:hAnsi="Arial" w:cs="Arial"/>
                <w:sz w:val="22"/>
                <w:szCs w:val="22"/>
              </w:rPr>
              <w:t>17</w:t>
            </w:r>
          </w:p>
        </w:tc>
        <w:tc>
          <w:tcPr>
            <w:tcW w:w="1211" w:type="dxa"/>
          </w:tcPr>
          <w:p w14:paraId="782D6F30" w14:textId="2ECCA6BF"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2CB057E2" w14:textId="5503E95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$2</w:t>
            </w:r>
            <w:r w:rsidR="00351ADD" w:rsidRPr="005F4CF5">
              <w:rPr>
                <w:rFonts w:ascii="Arial" w:hAnsi="Arial" w:cs="Arial"/>
                <w:sz w:val="22"/>
                <w:szCs w:val="22"/>
              </w:rPr>
              <w:t>1</w:t>
            </w:r>
          </w:p>
        </w:tc>
        <w:tc>
          <w:tcPr>
            <w:tcW w:w="1289" w:type="dxa"/>
            <w:vAlign w:val="bottom"/>
          </w:tcPr>
          <w:p w14:paraId="042852DF"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3C4AFE8F" w14:textId="77777777" w:rsidTr="000C452E">
        <w:trPr>
          <w:jc w:val="center"/>
        </w:trPr>
        <w:tc>
          <w:tcPr>
            <w:tcW w:w="1190" w:type="dxa"/>
          </w:tcPr>
          <w:p w14:paraId="08F24D9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5296E255" w14:textId="77777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Flat-roof PV</w:t>
            </w:r>
          </w:p>
        </w:tc>
        <w:tc>
          <w:tcPr>
            <w:tcW w:w="1190" w:type="dxa"/>
          </w:tcPr>
          <w:p w14:paraId="0175C03B" w14:textId="6CB0A409"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$2,</w:t>
            </w:r>
            <w:r w:rsidR="00351ADD" w:rsidRPr="005F4CF5">
              <w:rPr>
                <w:rFonts w:ascii="Arial" w:hAnsi="Arial" w:cs="Arial"/>
                <w:sz w:val="22"/>
                <w:szCs w:val="22"/>
              </w:rPr>
              <w:t>790</w:t>
            </w:r>
          </w:p>
        </w:tc>
        <w:tc>
          <w:tcPr>
            <w:tcW w:w="1211" w:type="dxa"/>
          </w:tcPr>
          <w:p w14:paraId="1D5C59BF"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7AEBC4B5" w14:textId="2DADD26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r w:rsidR="00351ADD" w:rsidRPr="005F4CF5">
              <w:rPr>
                <w:rFonts w:ascii="Arial" w:hAnsi="Arial" w:cs="Arial"/>
                <w:sz w:val="22"/>
                <w:szCs w:val="22"/>
              </w:rPr>
              <w:t>13</w:t>
            </w:r>
          </w:p>
        </w:tc>
        <w:tc>
          <w:tcPr>
            <w:tcW w:w="1289" w:type="dxa"/>
            <w:vAlign w:val="bottom"/>
          </w:tcPr>
          <w:p w14:paraId="41E654AB"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0C452E" w:rsidRPr="00D273C3" w14:paraId="6947AD40" w14:textId="77777777" w:rsidTr="000C452E">
        <w:trPr>
          <w:jc w:val="center"/>
        </w:trPr>
        <w:tc>
          <w:tcPr>
            <w:tcW w:w="1190" w:type="dxa"/>
          </w:tcPr>
          <w:p w14:paraId="07422F36"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1119D21C" w14:textId="2420BEF0"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Batteries</w:t>
            </w:r>
          </w:p>
        </w:tc>
        <w:tc>
          <w:tcPr>
            <w:tcW w:w="1190" w:type="dxa"/>
          </w:tcPr>
          <w:p w14:paraId="269E2516" w14:textId="08E54692"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$7</w:t>
            </w:r>
            <w:r w:rsidR="00351ADD" w:rsidRPr="005F4CF5">
              <w:rPr>
                <w:rFonts w:ascii="Arial" w:hAnsi="Arial" w:cs="Arial"/>
                <w:sz w:val="22"/>
                <w:szCs w:val="22"/>
              </w:rPr>
              <w:t>85</w:t>
            </w:r>
          </w:p>
        </w:tc>
        <w:tc>
          <w:tcPr>
            <w:tcW w:w="1211" w:type="dxa"/>
          </w:tcPr>
          <w:p w14:paraId="28017DAB" w14:textId="7EE0D656"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$226</w:t>
            </w:r>
          </w:p>
        </w:tc>
        <w:tc>
          <w:tcPr>
            <w:tcW w:w="1211" w:type="dxa"/>
          </w:tcPr>
          <w:p w14:paraId="1C017737" w14:textId="15DE36A9"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w:t>
            </w:r>
            <w:r w:rsidR="00351ADD" w:rsidRPr="005F4CF5">
              <w:rPr>
                <w:rFonts w:ascii="Arial" w:hAnsi="Arial" w:cs="Arial"/>
                <w:sz w:val="22"/>
                <w:szCs w:val="22"/>
              </w:rPr>
              <w:t>4</w:t>
            </w:r>
          </w:p>
        </w:tc>
        <w:tc>
          <w:tcPr>
            <w:tcW w:w="1289" w:type="dxa"/>
            <w:vAlign w:val="bottom"/>
          </w:tcPr>
          <w:p w14:paraId="7F47319F" w14:textId="5970DC08"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p>
        </w:tc>
      </w:tr>
      <w:tr w:rsidR="005F4CF5" w:rsidRPr="005F4CF5" w14:paraId="54C9C2D6" w14:textId="77777777" w:rsidTr="000C452E">
        <w:trPr>
          <w:jc w:val="center"/>
        </w:trPr>
        <w:tc>
          <w:tcPr>
            <w:tcW w:w="1190" w:type="dxa"/>
            <w:tcBorders>
              <w:top w:val="single" w:sz="4" w:space="0" w:color="auto"/>
            </w:tcBorders>
          </w:tcPr>
          <w:p w14:paraId="2A09A6BB" w14:textId="251323B8"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2045</w:t>
            </w:r>
          </w:p>
        </w:tc>
        <w:tc>
          <w:tcPr>
            <w:tcW w:w="1745" w:type="dxa"/>
            <w:tcBorders>
              <w:top w:val="single" w:sz="4" w:space="0" w:color="auto"/>
            </w:tcBorders>
          </w:tcPr>
          <w:p w14:paraId="51FA8CF2" w14:textId="6C174475"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Onshore wind</w:t>
            </w:r>
          </w:p>
        </w:tc>
        <w:tc>
          <w:tcPr>
            <w:tcW w:w="1190" w:type="dxa"/>
            <w:tcBorders>
              <w:top w:val="single" w:sz="4" w:space="0" w:color="auto"/>
            </w:tcBorders>
          </w:tcPr>
          <w:p w14:paraId="39C5516A" w14:textId="26E487AF"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r w:rsidR="005F4CF5" w:rsidRPr="005F4CF5">
              <w:rPr>
                <w:rFonts w:ascii="Arial" w:hAnsi="Arial" w:cs="Arial"/>
                <w:sz w:val="22"/>
                <w:szCs w:val="22"/>
              </w:rPr>
              <w:t>00</w:t>
            </w:r>
          </w:p>
        </w:tc>
        <w:tc>
          <w:tcPr>
            <w:tcW w:w="1211" w:type="dxa"/>
            <w:tcBorders>
              <w:top w:val="single" w:sz="4" w:space="0" w:color="auto"/>
            </w:tcBorders>
          </w:tcPr>
          <w:p w14:paraId="72FD86E5" w14:textId="4F16DC3A"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Borders>
              <w:top w:val="single" w:sz="4" w:space="0" w:color="auto"/>
            </w:tcBorders>
          </w:tcPr>
          <w:p w14:paraId="16909296" w14:textId="28CC010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$37</w:t>
            </w:r>
          </w:p>
        </w:tc>
        <w:tc>
          <w:tcPr>
            <w:tcW w:w="1289" w:type="dxa"/>
            <w:tcBorders>
              <w:top w:val="single" w:sz="4" w:space="0" w:color="auto"/>
            </w:tcBorders>
            <w:vAlign w:val="bottom"/>
          </w:tcPr>
          <w:p w14:paraId="02BE2CCF" w14:textId="1F67BFE9"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0CA5999A" w14:textId="77777777" w:rsidTr="000C452E">
        <w:trPr>
          <w:jc w:val="center"/>
        </w:trPr>
        <w:tc>
          <w:tcPr>
            <w:tcW w:w="1190" w:type="dxa"/>
          </w:tcPr>
          <w:p w14:paraId="00F4C802"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FA2C6F7" w14:textId="6AE7900C"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Offshore wind</w:t>
            </w:r>
          </w:p>
        </w:tc>
        <w:tc>
          <w:tcPr>
            <w:tcW w:w="1190" w:type="dxa"/>
          </w:tcPr>
          <w:p w14:paraId="3103A34E" w14:textId="6A139C77"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$3,</w:t>
            </w:r>
            <w:r w:rsidR="005F4CF5" w:rsidRPr="005F4CF5">
              <w:rPr>
                <w:rFonts w:ascii="Arial" w:hAnsi="Arial" w:cs="Arial"/>
                <w:sz w:val="22"/>
                <w:szCs w:val="22"/>
              </w:rPr>
              <w:t>083</w:t>
            </w:r>
          </w:p>
        </w:tc>
        <w:tc>
          <w:tcPr>
            <w:tcW w:w="1211" w:type="dxa"/>
          </w:tcPr>
          <w:p w14:paraId="6D1E3C2A" w14:textId="3B0B77CF"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0FEE628A" w14:textId="22D3F22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$42</w:t>
            </w:r>
          </w:p>
        </w:tc>
        <w:tc>
          <w:tcPr>
            <w:tcW w:w="1289" w:type="dxa"/>
            <w:vAlign w:val="bottom"/>
          </w:tcPr>
          <w:p w14:paraId="6AA6660B" w14:textId="505ABC2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6167609D" w14:textId="77777777" w:rsidTr="000C452E">
        <w:trPr>
          <w:jc w:val="center"/>
        </w:trPr>
        <w:tc>
          <w:tcPr>
            <w:tcW w:w="1190" w:type="dxa"/>
          </w:tcPr>
          <w:p w14:paraId="0CC9230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8D404BE" w14:textId="29B74740"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Utility-scale PV</w:t>
            </w:r>
          </w:p>
        </w:tc>
        <w:tc>
          <w:tcPr>
            <w:tcW w:w="1190" w:type="dxa"/>
          </w:tcPr>
          <w:p w14:paraId="5F47118B" w14:textId="3413C2F2"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$1,2</w:t>
            </w:r>
            <w:r w:rsidR="005F4CF5" w:rsidRPr="005F4CF5">
              <w:rPr>
                <w:rFonts w:ascii="Arial" w:hAnsi="Arial" w:cs="Arial"/>
                <w:sz w:val="22"/>
                <w:szCs w:val="22"/>
              </w:rPr>
              <w:t>61</w:t>
            </w:r>
          </w:p>
        </w:tc>
        <w:tc>
          <w:tcPr>
            <w:tcW w:w="1211" w:type="dxa"/>
          </w:tcPr>
          <w:p w14:paraId="0F71A7F6" w14:textId="420018C4"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07D390FF" w14:textId="05A158F8"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$9</w:t>
            </w:r>
          </w:p>
        </w:tc>
        <w:tc>
          <w:tcPr>
            <w:tcW w:w="1289" w:type="dxa"/>
            <w:vAlign w:val="bottom"/>
          </w:tcPr>
          <w:p w14:paraId="1F60D8BC" w14:textId="79961E83"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1F239A65" w14:textId="77777777" w:rsidTr="000C452E">
        <w:trPr>
          <w:jc w:val="center"/>
        </w:trPr>
        <w:tc>
          <w:tcPr>
            <w:tcW w:w="1190" w:type="dxa"/>
          </w:tcPr>
          <w:p w14:paraId="0E0DB344"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06C32348" w14:textId="583F2FB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Sloped-roof PV</w:t>
            </w:r>
          </w:p>
        </w:tc>
        <w:tc>
          <w:tcPr>
            <w:tcW w:w="1190" w:type="dxa"/>
          </w:tcPr>
          <w:p w14:paraId="6FD31240" w14:textId="748FB969"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$1,8</w:t>
            </w:r>
            <w:r w:rsidR="005F4CF5" w:rsidRPr="005F4CF5">
              <w:rPr>
                <w:rFonts w:ascii="Arial" w:hAnsi="Arial" w:cs="Arial"/>
                <w:sz w:val="22"/>
                <w:szCs w:val="22"/>
              </w:rPr>
              <w:t>63</w:t>
            </w:r>
          </w:p>
        </w:tc>
        <w:tc>
          <w:tcPr>
            <w:tcW w:w="1211" w:type="dxa"/>
          </w:tcPr>
          <w:p w14:paraId="771E95C5" w14:textId="18C2E582"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51A41D1D" w14:textId="5E70413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$9</w:t>
            </w:r>
          </w:p>
        </w:tc>
        <w:tc>
          <w:tcPr>
            <w:tcW w:w="1289" w:type="dxa"/>
            <w:vAlign w:val="bottom"/>
          </w:tcPr>
          <w:p w14:paraId="4AF4746F" w14:textId="7973D990"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5F4CF5" w:rsidRPr="005F4CF5" w14:paraId="3F6CC80A" w14:textId="77777777" w:rsidTr="000C452E">
        <w:trPr>
          <w:jc w:val="center"/>
        </w:trPr>
        <w:tc>
          <w:tcPr>
            <w:tcW w:w="1190" w:type="dxa"/>
          </w:tcPr>
          <w:p w14:paraId="1B0C7CB0"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49181D17" w14:textId="29DB389E"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Flat-roof PV</w:t>
            </w:r>
          </w:p>
        </w:tc>
        <w:tc>
          <w:tcPr>
            <w:tcW w:w="1190" w:type="dxa"/>
          </w:tcPr>
          <w:p w14:paraId="3D20DB30" w14:textId="3C93831F"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$1,8</w:t>
            </w:r>
            <w:r w:rsidR="005F4CF5" w:rsidRPr="005F4CF5">
              <w:rPr>
                <w:rFonts w:ascii="Arial" w:hAnsi="Arial" w:cs="Arial"/>
                <w:sz w:val="22"/>
                <w:szCs w:val="22"/>
              </w:rPr>
              <w:t>58</w:t>
            </w:r>
          </w:p>
        </w:tc>
        <w:tc>
          <w:tcPr>
            <w:tcW w:w="1211" w:type="dxa"/>
          </w:tcPr>
          <w:p w14:paraId="3085A67E"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w:t>
            </w:r>
          </w:p>
        </w:tc>
        <w:tc>
          <w:tcPr>
            <w:tcW w:w="1211" w:type="dxa"/>
          </w:tcPr>
          <w:p w14:paraId="1250F263" w14:textId="002ABDFA"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$11</w:t>
            </w:r>
          </w:p>
        </w:tc>
        <w:tc>
          <w:tcPr>
            <w:tcW w:w="1289" w:type="dxa"/>
            <w:vAlign w:val="bottom"/>
          </w:tcPr>
          <w:p w14:paraId="466F85CC" w14:textId="77777777"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30</w:t>
            </w:r>
          </w:p>
        </w:tc>
      </w:tr>
      <w:tr w:rsidR="00351ADD" w:rsidRPr="00351ADD" w14:paraId="43AA0CCF" w14:textId="77777777" w:rsidTr="000C452E">
        <w:trPr>
          <w:jc w:val="center"/>
        </w:trPr>
        <w:tc>
          <w:tcPr>
            <w:tcW w:w="1190" w:type="dxa"/>
          </w:tcPr>
          <w:p w14:paraId="0BB1EF0D" w14:textId="77777777" w:rsidR="000C452E" w:rsidRPr="005F4CF5" w:rsidRDefault="000C452E" w:rsidP="000C452E">
            <w:pPr>
              <w:pStyle w:val="BodyText"/>
              <w:keepNext/>
              <w:spacing w:after="80"/>
              <w:ind w:firstLine="0"/>
              <w:jc w:val="right"/>
              <w:rPr>
                <w:rFonts w:ascii="Arial" w:hAnsi="Arial" w:cs="Arial"/>
                <w:sz w:val="22"/>
                <w:szCs w:val="22"/>
              </w:rPr>
            </w:pPr>
          </w:p>
        </w:tc>
        <w:tc>
          <w:tcPr>
            <w:tcW w:w="1745" w:type="dxa"/>
          </w:tcPr>
          <w:p w14:paraId="69CAD93B" w14:textId="4031D777" w:rsidR="000C452E" w:rsidRPr="005F4CF5" w:rsidRDefault="000C452E" w:rsidP="000C452E">
            <w:pPr>
              <w:pStyle w:val="BodyText"/>
              <w:keepNext/>
              <w:spacing w:after="80"/>
              <w:ind w:firstLine="0"/>
              <w:rPr>
                <w:rFonts w:ascii="Arial" w:hAnsi="Arial" w:cs="Arial"/>
                <w:sz w:val="22"/>
                <w:szCs w:val="22"/>
              </w:rPr>
            </w:pPr>
            <w:r w:rsidRPr="005F4CF5">
              <w:rPr>
                <w:rFonts w:ascii="Arial" w:hAnsi="Arial" w:cs="Arial"/>
                <w:sz w:val="22"/>
                <w:szCs w:val="22"/>
              </w:rPr>
              <w:t>Batteries</w:t>
            </w:r>
          </w:p>
        </w:tc>
        <w:tc>
          <w:tcPr>
            <w:tcW w:w="1190" w:type="dxa"/>
          </w:tcPr>
          <w:p w14:paraId="5A3F0237" w14:textId="782F83FE"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$40</w:t>
            </w:r>
            <w:r w:rsidR="00351ADD" w:rsidRPr="005F4CF5">
              <w:rPr>
                <w:rFonts w:ascii="Arial" w:hAnsi="Arial" w:cs="Arial"/>
                <w:sz w:val="22"/>
                <w:szCs w:val="22"/>
              </w:rPr>
              <w:t>2</w:t>
            </w:r>
          </w:p>
        </w:tc>
        <w:tc>
          <w:tcPr>
            <w:tcW w:w="1211" w:type="dxa"/>
          </w:tcPr>
          <w:p w14:paraId="0E25537D" w14:textId="20B92875"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$116</w:t>
            </w:r>
          </w:p>
        </w:tc>
        <w:tc>
          <w:tcPr>
            <w:tcW w:w="1211" w:type="dxa"/>
          </w:tcPr>
          <w:p w14:paraId="628BD4BF" w14:textId="3F055120" w:rsidR="000C452E" w:rsidRPr="005F4CF5" w:rsidRDefault="00825C15" w:rsidP="000C452E">
            <w:pPr>
              <w:pStyle w:val="BodyText"/>
              <w:keepNext/>
              <w:spacing w:after="80"/>
              <w:ind w:firstLine="0"/>
              <w:jc w:val="right"/>
              <w:rPr>
                <w:rFonts w:ascii="Arial" w:hAnsi="Arial" w:cs="Arial"/>
                <w:sz w:val="22"/>
                <w:szCs w:val="22"/>
              </w:rPr>
            </w:pPr>
            <w:r w:rsidRPr="005F4CF5">
              <w:rPr>
                <w:rFonts w:ascii="Arial" w:hAnsi="Arial" w:cs="Arial"/>
                <w:sz w:val="22"/>
                <w:szCs w:val="22"/>
              </w:rPr>
              <w:t>$1</w:t>
            </w:r>
            <w:r w:rsidR="00351ADD" w:rsidRPr="005F4CF5">
              <w:rPr>
                <w:rFonts w:ascii="Arial" w:hAnsi="Arial" w:cs="Arial"/>
                <w:sz w:val="22"/>
                <w:szCs w:val="22"/>
              </w:rPr>
              <w:t>7</w:t>
            </w:r>
          </w:p>
        </w:tc>
        <w:tc>
          <w:tcPr>
            <w:tcW w:w="1289" w:type="dxa"/>
            <w:vAlign w:val="bottom"/>
          </w:tcPr>
          <w:p w14:paraId="3C347645" w14:textId="382BA5EA" w:rsidR="000C452E" w:rsidRPr="005F4CF5" w:rsidRDefault="000C452E" w:rsidP="000C452E">
            <w:pPr>
              <w:pStyle w:val="BodyText"/>
              <w:keepNext/>
              <w:spacing w:after="80"/>
              <w:ind w:firstLine="0"/>
              <w:jc w:val="right"/>
              <w:rPr>
                <w:rFonts w:ascii="Arial" w:hAnsi="Arial" w:cs="Arial"/>
                <w:sz w:val="22"/>
                <w:szCs w:val="22"/>
              </w:rPr>
            </w:pPr>
            <w:r w:rsidRPr="005F4CF5">
              <w:rPr>
                <w:rFonts w:ascii="Arial" w:hAnsi="Arial" w:cs="Arial"/>
                <w:sz w:val="22"/>
                <w:szCs w:val="22"/>
              </w:rPr>
              <w:t>15</w:t>
            </w:r>
          </w:p>
        </w:tc>
      </w:tr>
    </w:tbl>
    <w:p w14:paraId="1605FD32" w14:textId="77777777" w:rsidR="00FC1444" w:rsidRDefault="00FC1444" w:rsidP="00FC1444">
      <w:pPr>
        <w:pStyle w:val="BodyText"/>
        <w:ind w:firstLine="0"/>
      </w:pPr>
    </w:p>
    <w:p w14:paraId="0654186A" w14:textId="1980D82F" w:rsidR="00CA30EC" w:rsidRDefault="000C452E" w:rsidP="00CA30EC">
      <w:pPr>
        <w:pStyle w:val="BodyText"/>
      </w:pPr>
      <w:r w:rsidRPr="000C452E">
        <w:rPr>
          <w:b/>
          <w:bCs/>
        </w:rPr>
        <w:t>Pumped-storage hydro.</w:t>
      </w:r>
      <w:r>
        <w:t xml:space="preserve"> We model a potential pumped-storage hydro project at Lake Wilson</w:t>
      </w:r>
      <w:r w:rsidR="007F6AAC">
        <w:t xml:space="preserve"> </w:t>
      </w:r>
      <w:r>
        <w:t xml:space="preserve">with </w:t>
      </w:r>
      <w:r w:rsidR="007F6AAC">
        <w:t xml:space="preserve">these parameters: </w:t>
      </w:r>
      <w:r>
        <w:t xml:space="preserve">maximum size of 150 MW, </w:t>
      </w:r>
      <w:r w:rsidR="007F6AAC">
        <w:t xml:space="preserve">up to </w:t>
      </w:r>
      <w:r w:rsidR="009B122C">
        <w:t>12</w:t>
      </w:r>
      <w:r w:rsidR="007F6AAC">
        <w:t xml:space="preserve"> hours of storage, </w:t>
      </w:r>
      <w:r>
        <w:t xml:space="preserve">10 MW available from water inflow, </w:t>
      </w:r>
      <w:r w:rsidR="007F6AAC">
        <w:t xml:space="preserve">round-trip efficiency of 77%, capital cost of $3,033/kW, fixed O&amp;M of $45.50/kW-year and lifetime of 50 years. These parameters are based on personal communication </w:t>
      </w:r>
      <w:r w:rsidR="00CA30EC">
        <w:t xml:space="preserve">from John </w:t>
      </w:r>
      <w:proofErr w:type="spellStart"/>
      <w:r w:rsidR="00CA30EC">
        <w:t>Wehrheim</w:t>
      </w:r>
      <w:proofErr w:type="spellEnd"/>
      <w:r w:rsidR="007F6AAC">
        <w:t xml:space="preserve"> of</w:t>
      </w:r>
      <w:r w:rsidR="00CA30EC">
        <w:t xml:space="preserve"> Pacific Hydro</w:t>
      </w:r>
      <w:r w:rsidR="007F6AAC">
        <w:t>.</w:t>
      </w:r>
    </w:p>
    <w:p w14:paraId="587E7E22" w14:textId="3A06A163" w:rsidR="00FF7952" w:rsidRDefault="00FF7952" w:rsidP="00CA30EC">
      <w:pPr>
        <w:pStyle w:val="BodyText"/>
      </w:pPr>
      <w:r>
        <w:rPr>
          <w:b/>
          <w:bCs/>
        </w:rPr>
        <w:t>New thermal power plants.</w:t>
      </w:r>
      <w:r w:rsidRPr="00FF7952">
        <w:t xml:space="preserve"> We </w:t>
      </w:r>
      <w:r>
        <w:t>do not allow development of new thermal power plants</w:t>
      </w:r>
      <w:r w:rsidR="00936904">
        <w:t xml:space="preserve"> in this scenario</w:t>
      </w:r>
      <w:r>
        <w:t>.</w:t>
      </w:r>
    </w:p>
    <w:p w14:paraId="6B7F107B" w14:textId="3101543F" w:rsidR="009B122C" w:rsidRPr="00940D1E" w:rsidRDefault="009B122C" w:rsidP="009B122C">
      <w:pPr>
        <w:pStyle w:val="BodyText"/>
      </w:pPr>
      <w:r w:rsidRPr="009B122C">
        <w:rPr>
          <w:b/>
          <w:bCs/>
        </w:rPr>
        <w:t>Hydrogen storage.</w:t>
      </w:r>
      <w:r>
        <w:t xml:space="preserve"> Switch is able to model production and consumption of hydrogen in stationary facilities to provide seasonal and diurnal energy storage. However, we do not allow </w:t>
      </w:r>
      <w:r w:rsidR="00936904">
        <w:t xml:space="preserve">hydrogen storage </w:t>
      </w:r>
      <w:r>
        <w:t>in this scenario</w:t>
      </w:r>
      <w:r w:rsidR="00551F42">
        <w:t xml:space="preserve"> </w:t>
      </w:r>
      <w:r w:rsidR="00936904">
        <w:t>because it is a pre-commercial technology and because future costs are uncertain</w:t>
      </w:r>
      <w:r>
        <w:t>. In previous modeling with Switch, hydrogen generally displace</w:t>
      </w:r>
      <w:r w:rsidR="00936904">
        <w:t>s</w:t>
      </w:r>
      <w:r>
        <w:t xml:space="preserve"> a portion of biofuels and </w:t>
      </w:r>
      <w:r w:rsidR="00936904">
        <w:t xml:space="preserve">does </w:t>
      </w:r>
      <w:r>
        <w:t>not have a strong effect on overall costs.</w:t>
      </w:r>
    </w:p>
    <w:p w14:paraId="15134DA0" w14:textId="43DB90F9" w:rsidR="00FD12F6" w:rsidRDefault="00FF7952" w:rsidP="00CA30EC">
      <w:pPr>
        <w:pStyle w:val="BodyText"/>
      </w:pPr>
      <w:r>
        <w:rPr>
          <w:b/>
          <w:bCs/>
        </w:rPr>
        <w:t>Existing HECO thermal power plants.</w:t>
      </w:r>
      <w:r w:rsidRPr="00FF7952">
        <w:t xml:space="preserve"> We </w:t>
      </w:r>
      <w:r>
        <w:t>use heat-rate curves</w:t>
      </w:r>
      <w:r w:rsidR="00DC30C9">
        <w:t xml:space="preserve">, fuel type and </w:t>
      </w:r>
      <w:r w:rsidR="00C01DD0">
        <w:t xml:space="preserve">min/max load </w:t>
      </w:r>
      <w:r>
        <w:t xml:space="preserve">for HECO power plants from Appendix A of the Hawaii Solar Integration Study </w:t>
      </w:r>
      <w:r w:rsidR="00C01DD0">
        <w:fldChar w:fldCharType="begin"/>
      </w:r>
      <w:r w:rsidR="000524EB">
        <w:instrText xml:space="preserve"> ADDIN ZOTERO_ITEM CSL_CITATION {"citationID":"a1vb293q8b5","properties":{"formattedCitation":"(GE Energy 2012)","plainCitation":"(GE Energy 2012)","noteIndex":0},"citationItems":[{"id":267,"uris":["http://zotero.org/users/1686015/items/BQTBBZJJ"],"uri":["http://zotero.org/users/1686015/items/BQTBBZJJ"],"itemData":{"id":267,"type":"report","event-place":"Honolulu, Hawaii","publisher":"Prepared for the National Renewable Energy Laboratory, Hawaii Natural Energy Institute, Hawaii Electric Company and Maui Electric Company","publisher-place":"Honolulu, Hawaii","title":"Hawaii Solar Integration Study: Final Technical Report for Oahu","URL":"https://www.hnei.hawaii.edu/sites/www.hnei.hawaii.edu/files/Hawaii%20Solar%20Integration%20Study%20-%20Oahu.pdf","author":[{"literal":"GE Energy"}],"issued":{"date-parts":[["2012",4]]}}}],"schema":"https://github.com/citation-style-language/schema/raw/master/csl-citation.json"} </w:instrText>
      </w:r>
      <w:r w:rsidR="00C01DD0">
        <w:fldChar w:fldCharType="separate"/>
      </w:r>
      <w:r w:rsidR="00244790" w:rsidRPr="00244790">
        <w:rPr>
          <w:rFonts w:cs="Times New Roman"/>
        </w:rPr>
        <w:t>(GE Energy 2012)</w:t>
      </w:r>
      <w:r w:rsidR="00C01DD0">
        <w:fldChar w:fldCharType="end"/>
      </w:r>
      <w:r>
        <w:t xml:space="preserve">. </w:t>
      </w:r>
      <w:r w:rsidR="003618FF">
        <w:t>W</w:t>
      </w:r>
      <w:r w:rsidR="00FD12F6">
        <w:t xml:space="preserve">e use fixed and variable O&amp;M for the equivalent technology from the Assumptions to the Annual Outlook </w:t>
      </w:r>
      <w:r w:rsidR="003618FF">
        <w:t xml:space="preserve">for the year the generating unit was built, converted to 2020 dollars </w:t>
      </w:r>
      <w:r w:rsidR="00351ADD">
        <w:fldChar w:fldCharType="begin"/>
      </w:r>
      <w:r w:rsidR="00351ADD">
        <w:instrText xml:space="preserve"> ADDIN ZOTERO_ITEM CSL_CITATION {"citationID":"aUhhdb6K","properties":{"formattedCitation":"(EIA 1996; 2009; 2013)","plainCitation":"(EIA 1996; 2009; 2013)","noteIndex":0},"citationItems":[{"id":2472,"uris":["http://zotero.org/users/1686015/items/4WLHVEE6"],"uri":["http://zotero.org/users/1686015/items/4WLHVEE6"],"itemData":{"id":2472,"type":"report","event-place":"Washington, D.C.","publisher":"U.S. Energy Information Administration","publisher-place":"Washington, D.C.","title":"Assumptions for the Annual Energy Outlook 1996","URL":"https://www.eia.gov/outlooks/archive/aeo96/assumption/aeo96asu.pdf","author":[{"literal":"EIA"}],"accessed":{"date-parts":[["2019",12,14]]},"issued":{"date-parts":[["1996",1]]}}},{"id":76,"uris":["http://zotero.org/users/1686015/items/4PHBA854"],"uri":["http://zotero.org/users/1686015/items/4PHBA854"],"itemData":{"id":76,"type":"report","event-place":"Washington, DC","number":"DOE/EIA-0554(2009)","publisher":"Energy Information Administration, U.S. Department of Energy","publisher-place":"Washington, DC","title":"Assumptions to the Annual Energy Outlook 2009","title-short":"Assumptions to the Annual Energy Outlook 2009","URL":"http://www.eia.doe.gov/oiaf/aeo/assumption/","author":[{"literal":"EIA"}],"issued":{"date-parts":[["2009",3]]}}},{"id":2476,"uris":["http://zotero.org/users/1686015/items/DJWDXXJ9"],"uri":["http://zotero.org/users/1686015/items/DJWDXXJ9"],"itemData":{"id":2476,"type":"report","event-place":"Washington, D.C.","language":"en","publisher":"U.S. Energy Information Administration","publisher-place":"Washington, D.C.","source":"Zotero","title":"Assumptions to the Annual Energy Outlook 2013","URL":"https://www.eia.gov/outlooks/archive/aeo13/assumptions/","author":[{"literal":"EIA"}],"issued":{"date-parts":[["2013",5]]}}}],"schema":"https://github.com/citation-style-language/schema/raw/master/csl-citation.json"} </w:instrText>
      </w:r>
      <w:r w:rsidR="00351ADD">
        <w:fldChar w:fldCharType="separate"/>
      </w:r>
      <w:r w:rsidR="00351ADD">
        <w:rPr>
          <w:noProof/>
        </w:rPr>
        <w:t>(EIA 1996; 2009; 2013)</w:t>
      </w:r>
      <w:r w:rsidR="00351ADD">
        <w:fldChar w:fldCharType="end"/>
      </w:r>
      <w:r w:rsidR="00FD12F6">
        <w:t xml:space="preserve">. </w:t>
      </w:r>
      <w:r w:rsidR="003618FF">
        <w:t>The earliest edition of the Annual Energy Outlook currently available is 1996, so we used those costs for plants built before 1996.</w:t>
      </w:r>
      <w:r w:rsidR="00FD12F6">
        <w:t xml:space="preserve"> </w:t>
      </w:r>
      <w:r w:rsidR="00C01DD0">
        <w:t>Generating units are assumed to retire on the schedule shown in the 2016 PSIP: Waiau 3–5 in 2020</w:t>
      </w:r>
      <w:r w:rsidR="00DC30C9">
        <w:t>;</w:t>
      </w:r>
      <w:r w:rsidR="00C01DD0">
        <w:t xml:space="preserve"> Waiau 6–8 </w:t>
      </w:r>
      <w:r w:rsidR="00DC30C9">
        <w:t xml:space="preserve">and </w:t>
      </w:r>
      <w:r w:rsidR="00C01DD0">
        <w:t>Kahe 1–4 in 2022</w:t>
      </w:r>
      <w:r w:rsidR="00DC30C9">
        <w:t>;</w:t>
      </w:r>
      <w:r w:rsidR="00C01DD0">
        <w:t xml:space="preserve"> Kahe 5–6 in 2045</w:t>
      </w:r>
      <w:r w:rsidR="00DC30C9">
        <w:t>; and</w:t>
      </w:r>
      <w:r w:rsidR="00C01DD0">
        <w:t xml:space="preserve"> </w:t>
      </w:r>
      <w:r w:rsidR="00DC30C9">
        <w:t>the rest after 2050: Waiau 9–10, CIP CT, Airport DG and Schofield. All these plants are assumed to be able to use biodiesel in addition to their primary fuel.</w:t>
      </w:r>
    </w:p>
    <w:p w14:paraId="6596BD9B" w14:textId="19BF2575" w:rsidR="005B4365" w:rsidRDefault="008C5E42" w:rsidP="00E92BC2">
      <w:pPr>
        <w:pStyle w:val="BodyText"/>
      </w:pPr>
      <w:r>
        <w:rPr>
          <w:b/>
          <w:bCs/>
        </w:rPr>
        <w:lastRenderedPageBreak/>
        <w:t>Power purchase agreements (PPAs) with e</w:t>
      </w:r>
      <w:r w:rsidR="00DC30C9">
        <w:rPr>
          <w:b/>
          <w:bCs/>
        </w:rPr>
        <w:t>xisting thermal power plant</w:t>
      </w:r>
      <w:r>
        <w:rPr>
          <w:b/>
          <w:bCs/>
        </w:rPr>
        <w:t>s</w:t>
      </w:r>
      <w:r w:rsidR="00DC30C9">
        <w:rPr>
          <w:b/>
          <w:bCs/>
        </w:rPr>
        <w:t>.</w:t>
      </w:r>
      <w:r w:rsidR="00DC30C9">
        <w:t xml:space="preserve"> </w:t>
      </w:r>
      <w:r w:rsidR="00A86EDA">
        <w:t xml:space="preserve">PPA costs are modeled as a </w:t>
      </w:r>
      <w:r w:rsidR="00E92BC2">
        <w:t>capacity payment</w:t>
      </w:r>
      <w:r w:rsidR="005B4365">
        <w:t xml:space="preserve"> and an energy payment. The capacity payment is </w:t>
      </w:r>
      <w:r w:rsidR="00E92BC2">
        <w:t>based on amortized capital cost and fixed O&amp;M costs</w:t>
      </w:r>
      <w:r w:rsidR="005B4365">
        <w:t xml:space="preserve"> and the energy payment is </w:t>
      </w:r>
      <w:r w:rsidR="00E92BC2">
        <w:t xml:space="preserve">based on variable O&amp;M costs and a fuel cost passthrough. All the terms other than fuel are constant in real dollars. For Kalaeloa and AES, we use </w:t>
      </w:r>
      <w:r w:rsidR="005B4365">
        <w:t>construction</w:t>
      </w:r>
      <w:r w:rsidR="00A86EDA">
        <w:t xml:space="preserve"> and O&amp;M </w:t>
      </w:r>
      <w:r w:rsidR="005B4365">
        <w:t xml:space="preserve">costs </w:t>
      </w:r>
      <w:r w:rsidR="00E92BC2">
        <w:t xml:space="preserve">for </w:t>
      </w:r>
      <w:r w:rsidR="005B4365">
        <w:t xml:space="preserve">combined cycle and pulverized coal plants </w:t>
      </w:r>
      <w:r w:rsidR="00A86EDA">
        <w:t xml:space="preserve">in the Assumptions </w:t>
      </w:r>
      <w:r w:rsidR="000524EB">
        <w:t>for</w:t>
      </w:r>
      <w:r w:rsidR="00A86EDA">
        <w:t xml:space="preserve"> the Annual Energy Outlook 1996</w:t>
      </w:r>
      <w:r w:rsidR="000524EB">
        <w:t xml:space="preserve"> </w:t>
      </w:r>
      <w:r w:rsidR="000524EB">
        <w:fldChar w:fldCharType="begin"/>
      </w:r>
      <w:r w:rsidR="000524EB">
        <w:instrText xml:space="preserve"> ADDIN ZOTERO_ITEM CSL_CITATION {"citationID":"Jg0twkBI","properties":{"formattedCitation":"(EIA 1996)","plainCitation":"(EIA 1996)","noteIndex":0},"citationItems":[{"id":2472,"uris":["http://zotero.org/users/1686015/items/4WLHVEE6"],"uri":["http://zotero.org/users/1686015/items/4WLHVEE6"],"itemData":{"id":2472,"type":"report","event-place":"Washington, D.C.","publisher":"U.S. Energy Information Administration","publisher-place":"Washington, D.C.","title":"Assumptions for the Annual Energy Outlook 1996","URL":"https://www.eia.gov/outlooks/archive/aeo96/assumption/aeo96asu.pdf","author":[{"literal":"EIA"}],"accessed":{"date-parts":[["2019",12,14]]},"issued":{"date-parts":[["1996",1]]}}}],"schema":"https://github.com/citation-style-language/schema/raw/master/csl-citation.json"} </w:instrText>
      </w:r>
      <w:r w:rsidR="000524EB">
        <w:fldChar w:fldCharType="separate"/>
      </w:r>
      <w:r w:rsidR="000524EB">
        <w:rPr>
          <w:noProof/>
        </w:rPr>
        <w:t>(EIA 1996)</w:t>
      </w:r>
      <w:r w:rsidR="000524EB">
        <w:fldChar w:fldCharType="end"/>
      </w:r>
      <w:r w:rsidR="005B4365">
        <w:t xml:space="preserve">. When these terms are used with 2018 production data, they result in </w:t>
      </w:r>
      <w:r w:rsidR="00A86EDA">
        <w:t xml:space="preserve">energy charges </w:t>
      </w:r>
      <w:r w:rsidR="005B4365">
        <w:t xml:space="preserve">that are </w:t>
      </w:r>
      <w:r w:rsidR="00A86EDA">
        <w:t>within 2</w:t>
      </w:r>
      <w:r w:rsidR="00E92BC2">
        <w:t>.2</w:t>
      </w:r>
      <w:r w:rsidR="00A86EDA">
        <w:t xml:space="preserve">% of </w:t>
      </w:r>
      <w:r w:rsidR="00E92BC2">
        <w:t xml:space="preserve">the energy charges that HECO reported to the PUC in 2018 </w:t>
      </w:r>
      <w:r w:rsidR="000524EB">
        <w:fldChar w:fldCharType="begin"/>
      </w:r>
      <w:r w:rsidR="000524EB">
        <w:instrText xml:space="preserve"> ADDIN ZOTERO_ITEM CSL_CITATION {"citationID":"rHMEHK80","properties":{"formattedCitation":"(Hawaii PUC 2018, 66)","plainCitation":"(Hawaii PUC 2018, 66)","noteIndex":0},"citationItems":[{"id":2474,"uris":["http://zotero.org/users/1686015/items/SHLVMAXR"],"uri":["http://zotero.org/users/1686015/items/SHLVMAXR"],"itemData":{"id":2474,"type":"report","event-place":"Honolulu, Hawaii","publisher":"Hawaii Public Utilities Commission","publisher-place":"Honolulu, Hawaii","title":"Annual Report for the Fiscal Year 2018","URL":"https://puc.hawaii.gov/wp-content/uploads/2018/12/FY18-PUC-Annual-Report_FINAL.pdf","author":[{"literal":"Hawaii PUC"}],"accessed":{"date-parts":[["2019",12,14]]},"issued":{"date-parts":[["2018",12]]}},"locator":"66"}],"schema":"https://github.com/citation-style-language/schema/raw/master/csl-citation.json"} </w:instrText>
      </w:r>
      <w:r w:rsidR="000524EB">
        <w:fldChar w:fldCharType="separate"/>
      </w:r>
      <w:r w:rsidR="000524EB">
        <w:rPr>
          <w:noProof/>
        </w:rPr>
        <w:t>(Hawaii PUC 2018, 66)</w:t>
      </w:r>
      <w:r w:rsidR="000524EB">
        <w:fldChar w:fldCharType="end"/>
      </w:r>
      <w:r w:rsidR="00E92BC2">
        <w:t xml:space="preserve">. HECO does not report capacity payments to </w:t>
      </w:r>
      <w:r w:rsidR="005B4365">
        <w:t>the PUC</w:t>
      </w:r>
      <w:r w:rsidR="00E92BC2">
        <w:t xml:space="preserve">, so we </w:t>
      </w:r>
      <w:r w:rsidR="005B4365">
        <w:t>are</w:t>
      </w:r>
      <w:r w:rsidR="00E92BC2">
        <w:t xml:space="preserve"> not able to verify those.</w:t>
      </w:r>
      <w:r w:rsidR="009E2C8F">
        <w:t xml:space="preserve"> </w:t>
      </w:r>
      <w:r w:rsidR="005B4365">
        <w:t xml:space="preserve">We assume the AES coal plant retires by 2022 and </w:t>
      </w:r>
      <w:proofErr w:type="spellStart"/>
      <w:r w:rsidR="005B4365">
        <w:t>Kalaealoa</w:t>
      </w:r>
      <w:proofErr w:type="spellEnd"/>
      <w:r w:rsidR="005B4365">
        <w:t xml:space="preserve"> retires in 2050 or later.</w:t>
      </w:r>
    </w:p>
    <w:p w14:paraId="251BA491" w14:textId="3DABD87B" w:rsidR="00A86EDA" w:rsidRDefault="005B4365" w:rsidP="00E92BC2">
      <w:pPr>
        <w:pStyle w:val="BodyText"/>
      </w:pPr>
      <w:r>
        <w:t>F</w:t>
      </w:r>
      <w:r w:rsidR="009E2C8F">
        <w:t xml:space="preserve">or </w:t>
      </w:r>
      <w:r>
        <w:t xml:space="preserve">the H-POWER </w:t>
      </w:r>
      <w:r w:rsidR="009E2C8F">
        <w:t xml:space="preserve">plant we assign a variable </w:t>
      </w:r>
      <w:r w:rsidR="00E92BC2">
        <w:t>O&amp;M cost</w:t>
      </w:r>
      <w:r w:rsidR="009E2C8F">
        <w:t xml:space="preserve"> that </w:t>
      </w:r>
      <w:r>
        <w:t>is</w:t>
      </w:r>
      <w:r w:rsidR="009E2C8F">
        <w:t xml:space="preserve"> equal to the average energy charge that HECO reported to the PUC in 2018</w:t>
      </w:r>
      <w:r>
        <w:t xml:space="preserve"> </w:t>
      </w:r>
      <w:r w:rsidR="000524EB">
        <w:fldChar w:fldCharType="begin"/>
      </w:r>
      <w:r w:rsidR="00351ADD">
        <w:instrText xml:space="preserve"> ADDIN ZOTERO_ITEM CSL_CITATION {"citationID":"GLFLPVLH","properties":{"formattedCitation":"(Hawaii PUC 2018, 66)","plainCitation":"(Hawaii PUC 2018, 66)","noteIndex":0},"citationItems":[{"id":2474,"uris":["http://zotero.org/users/1686015/items/SHLVMAXR"],"uri":["http://zotero.org/users/1686015/items/SHLVMAXR"],"itemData":{"id":2474,"type":"report","event-place":"Honolulu, Hawaii","publisher":"Hawaii Public Utilities Commission","publisher-place":"Honolulu, Hawaii","title":"Annual Report for the Fiscal Year 2018","URL":"https://puc.hawaii.gov/wp-content/uploads/2018/12/FY18-PUC-Annual-Report_FINAL.pdf","author":[{"literal":"Hawaii PUC"}],"accessed":{"date-parts":[["2019",12,14]]},"issued":{"date-parts":[["2018",12]]}},"locator":"66"}],"schema":"https://github.com/citation-style-language/schema/raw/master/csl-citation.json"} </w:instrText>
      </w:r>
      <w:r w:rsidR="000524EB">
        <w:fldChar w:fldCharType="separate"/>
      </w:r>
      <w:r w:rsidR="000524EB">
        <w:rPr>
          <w:noProof/>
        </w:rPr>
        <w:t>(Hawaii PUC 2018, 66)</w:t>
      </w:r>
      <w:r w:rsidR="000524EB">
        <w:fldChar w:fldCharType="end"/>
      </w:r>
      <w:r w:rsidR="009103BE">
        <w:t>. We assign</w:t>
      </w:r>
      <w:r>
        <w:t xml:space="preserve"> a </w:t>
      </w:r>
      <w:r w:rsidR="009103BE">
        <w:t xml:space="preserve">capital cost and fixed O&amp;M make the total capacity payment equal the value </w:t>
      </w:r>
      <w:r w:rsidR="009E2C8F">
        <w:t>that HECO reported on 12/12/2019 in response to an informal information request</w:t>
      </w:r>
      <w:r>
        <w:t xml:space="preserve"> ($</w:t>
      </w:r>
      <w:r w:rsidRPr="005B4365">
        <w:t>17</w:t>
      </w:r>
      <w:r>
        <w:t>,</w:t>
      </w:r>
      <w:r w:rsidRPr="005B4365">
        <w:t>685</w:t>
      </w:r>
      <w:r>
        <w:t>,</w:t>
      </w:r>
      <w:r w:rsidRPr="005B4365">
        <w:t>360</w:t>
      </w:r>
      <w:r>
        <w:t>/year)</w:t>
      </w:r>
      <w:r w:rsidR="009E2C8F">
        <w:t>.</w:t>
      </w:r>
      <w:r>
        <w:t xml:space="preserve"> We assume the H-POWER plant runs at 42.8 MW at all times (average production in 2015) and retires after 2050. It is assumed to be RPS-eligible.</w:t>
      </w:r>
    </w:p>
    <w:p w14:paraId="20F704DC" w14:textId="4A2CBF95" w:rsidR="005B4365" w:rsidRDefault="005B4365" w:rsidP="00A86EDA">
      <w:pPr>
        <w:pStyle w:val="BodyText"/>
      </w:pPr>
      <w:r>
        <w:t>The Tesoro Hawaii and Hawaii Cogen plants are omitted from this scenario but may be added at a later date.</w:t>
      </w:r>
    </w:p>
    <w:p w14:paraId="7F1E08FC" w14:textId="470886CB" w:rsidR="007B0019" w:rsidRDefault="002A45AB" w:rsidP="007B0019">
      <w:pPr>
        <w:pStyle w:val="BodyText"/>
      </w:pPr>
      <w:r>
        <w:rPr>
          <w:b/>
          <w:bCs/>
        </w:rPr>
        <w:t xml:space="preserve">Kalaeloa plant operating rules. </w:t>
      </w:r>
      <w:r w:rsidR="007B0019">
        <w:t xml:space="preserve">The Kalaeloa combined-cycle power plant is operated by an independent power producer. In addition to producing power, it also sells steam to the Par Hawaii refinery, the largest of two on Oahu. Due to this arrangement, the Kalaeloa plant has a contract with HECO under which </w:t>
      </w:r>
      <w:r w:rsidR="00936904">
        <w:t xml:space="preserve">it </w:t>
      </w:r>
      <w:r w:rsidR="007B0019">
        <w:t xml:space="preserve">produces at least 75 MW of power </w:t>
      </w:r>
      <w:r w:rsidR="00936904">
        <w:t>whenever possible</w:t>
      </w:r>
      <w:r w:rsidR="007B0019">
        <w:t xml:space="preserve">. </w:t>
      </w:r>
      <w:r w:rsidR="004C7655">
        <w:t xml:space="preserve">We assume this requirement is relaxed if </w:t>
      </w:r>
      <w:r w:rsidR="007B0019">
        <w:t xml:space="preserve">the vehicle fleet </w:t>
      </w:r>
      <w:r w:rsidR="004C7655">
        <w:t xml:space="preserve">exceeds </w:t>
      </w:r>
      <w:r w:rsidR="007B0019">
        <w:t xml:space="preserve">75% electric or the RPS </w:t>
      </w:r>
      <w:r w:rsidR="004C7655">
        <w:t xml:space="preserve">exceeds </w:t>
      </w:r>
      <w:r w:rsidR="007B0019">
        <w:t xml:space="preserve">75% </w:t>
      </w:r>
      <w:r w:rsidR="004C7655">
        <w:t>(i.e., in 2045 and later)</w:t>
      </w:r>
      <w:r w:rsidR="007B0019">
        <w:t>.</w:t>
      </w:r>
    </w:p>
    <w:p w14:paraId="3E80E79E" w14:textId="10FE039C" w:rsidR="002A45AB" w:rsidRDefault="002A45AB" w:rsidP="002A45AB">
      <w:pPr>
        <w:pStyle w:val="BodyText"/>
      </w:pPr>
      <w:r>
        <w:rPr>
          <w:b/>
          <w:bCs/>
        </w:rPr>
        <w:t xml:space="preserve">Maintenance outages. </w:t>
      </w:r>
      <w:r>
        <w:t xml:space="preserve">HECO-owned thermal power plants and AES and Kalaeloa are placed on maintenance outage 2–36% of the time, using </w:t>
      </w:r>
      <w:r w:rsidR="00936904">
        <w:t xml:space="preserve">reference schedules from GE Energy Consulting, as described </w:t>
      </w:r>
      <w:r>
        <w:t xml:space="preserve">in Fripp </w:t>
      </w:r>
      <w:r>
        <w:fldChar w:fldCharType="begin"/>
      </w:r>
      <w:r w:rsidR="000524EB">
        <w:instrText xml:space="preserve"> ADDIN ZOTERO_ITEM CSL_CITATION {"citationID":"2WKk20cI","properties":{"formattedCitation":"(2018)","plainCitation":"(2018)","noteIndex":0},"citationItems":[{"id":2400,"uris":["http://zotero.org/users/1686015/items/DYVGEEML"],"uri":["http://zotero.org/users/1686015/items/DYVGEEML"],"itemData":{"id":2400,"type":"article-journal","abstract":"New open-source electric-grid planning models have the potential to improve power system planning and bring a wider range of stakeholders into the planning process for next-generation, high-renewable power systems. However, it has not yet been established whether open-source models perform similarly to the more established commercial models for power system analysis. This reduces their credibility and attractiveness to stakeholders, postponing the benefits they could offer. In this paper, we report the first model intercomparison between an open-source power system model and an established commercial production cost model.","container-title":"Energy, Sustainability and Society","DOI":"10.1186/s13705-018-0184-x","ISSN":"2192-0567","issue":"1","journalAbbreviation":"Energy, Sustainability and Society","page":"41","title":"Intercomparison between Switch 2.0 and GE MAPS models for simulation of high-renewable power systems in Hawaii","URL":"https://doi.org/10.1186/s13705-018-0184-x","volume":"8","author":[{"family":"Fripp","given":"Matthias"}],"issued":{"date-parts":[["2018",12,27]]}},"suppress-author":true}],"schema":"https://github.com/citation-style-language/schema/raw/master/csl-citation.json"} </w:instrText>
      </w:r>
      <w:r>
        <w:fldChar w:fldCharType="separate"/>
      </w:r>
      <w:r>
        <w:rPr>
          <w:noProof/>
        </w:rPr>
        <w:t>(2018)</w:t>
      </w:r>
      <w:r>
        <w:fldChar w:fldCharType="end"/>
      </w:r>
      <w:r>
        <w:t>.</w:t>
      </w:r>
    </w:p>
    <w:p w14:paraId="53D2D5B1" w14:textId="3A71406E" w:rsidR="008962BF" w:rsidRDefault="007B0019" w:rsidP="001A179F">
      <w:pPr>
        <w:pStyle w:val="BodyText"/>
      </w:pPr>
      <w:r w:rsidRPr="00F0551F">
        <w:rPr>
          <w:b/>
          <w:bCs/>
        </w:rPr>
        <w:t xml:space="preserve">Predetermined </w:t>
      </w:r>
      <w:r w:rsidR="00F0551F">
        <w:rPr>
          <w:b/>
          <w:bCs/>
        </w:rPr>
        <w:t>utility-scale generation.</w:t>
      </w:r>
      <w:r w:rsidR="00F0551F" w:rsidRPr="00F0551F">
        <w:t xml:space="preserve"> We </w:t>
      </w:r>
      <w:r w:rsidR="00F0551F">
        <w:t xml:space="preserve">assume all </w:t>
      </w:r>
      <w:r w:rsidR="004A561B">
        <w:t xml:space="preserve">generation projects listed in Oahu on </w:t>
      </w:r>
      <w:r w:rsidR="00936904">
        <w:t xml:space="preserve">the 2018 </w:t>
      </w:r>
      <w:r w:rsidR="004A561B">
        <w:t xml:space="preserve">EIA Form 860 </w:t>
      </w:r>
      <w:r w:rsidR="00936904">
        <w:t xml:space="preserve">are currently </w:t>
      </w:r>
      <w:r w:rsidR="004A561B">
        <w:t xml:space="preserve">in service. We </w:t>
      </w:r>
      <w:r w:rsidR="00936904">
        <w:t xml:space="preserve">also </w:t>
      </w:r>
      <w:r w:rsidR="004A561B">
        <w:t xml:space="preserve">assume that renewable projects and storage listed as completed, under construction or approved by regulators in 2019–2022 on HECO’s Renewable Project Status Board </w:t>
      </w:r>
      <w:r w:rsidR="004A561B">
        <w:fldChar w:fldCharType="begin"/>
      </w:r>
      <w:r w:rsidR="000524EB">
        <w:instrText xml:space="preserve"> ADDIN ZOTERO_ITEM CSL_CITATION {"citationID":"0CpWvda6","properties":{"formattedCitation":"(HECO 2019)","plainCitation":"(HECO 2019)","noteIndex":0},"citationItems":[{"id":2466,"uris":["http://zotero.org/users/1686015/items/H55AGJJ4"],"uri":["http://zotero.org/users/1686015/items/H55AGJJ4"],"itemData":{"id":2466,"type":"webpage","abstract":"Renewable energy projects at Hawaiian Electric, Maui Electric, and Hawaii Electric Light","language":"en","title":"Renewable Project Status Board","URL":"http://www.hawaiianelectric.com/clean-energy-hawaii/our-clean-energy-portfolio/renewable-project-status-board","author":[{"literal":"HECO"}],"accessed":{"date-parts":[["2019",11,25]]},"issued":{"date-parts":[["2019"]]}}}],"schema":"https://github.com/citation-style-language/schema/raw/master/csl-citation.json"} </w:instrText>
      </w:r>
      <w:r w:rsidR="004A561B">
        <w:fldChar w:fldCharType="separate"/>
      </w:r>
      <w:r w:rsidR="004A561B">
        <w:rPr>
          <w:rFonts w:cs="Times New Roman"/>
        </w:rPr>
        <w:t>(HECO 2019)</w:t>
      </w:r>
      <w:r w:rsidR="004A561B">
        <w:fldChar w:fldCharType="end"/>
      </w:r>
      <w:r w:rsidR="004A561B">
        <w:t xml:space="preserve"> enter service on the dates specified</w:t>
      </w:r>
      <w:r w:rsidR="00936904">
        <w:t xml:space="preserve"> there</w:t>
      </w:r>
      <w:r w:rsidR="008962BF">
        <w:t xml:space="preserve">: </w:t>
      </w:r>
      <w:r w:rsidR="001A179F">
        <w:t>24 MW onshore wind in 2020</w:t>
      </w:r>
      <w:r w:rsidR="008962BF">
        <w:t xml:space="preserve"> (Na </w:t>
      </w:r>
      <w:proofErr w:type="spellStart"/>
      <w:r w:rsidR="008962BF">
        <w:t>Pua</w:t>
      </w:r>
      <w:proofErr w:type="spellEnd"/>
      <w:r w:rsidR="008962BF">
        <w:t xml:space="preserve"> Makani)</w:t>
      </w:r>
      <w:r w:rsidR="001A179F">
        <w:t>, 8.5 MW of utility-scale solar in 2020</w:t>
      </w:r>
      <w:r w:rsidR="008962BF">
        <w:t xml:space="preserve"> (feed-in tariff projects) and </w:t>
      </w:r>
      <w:r w:rsidR="001A179F">
        <w:t xml:space="preserve">139.5 MW of utility-scale solar </w:t>
      </w:r>
      <w:r w:rsidR="008962BF">
        <w:t xml:space="preserve">with 4-hour batteries </w:t>
      </w:r>
      <w:r w:rsidR="001A179F">
        <w:t>in 2021</w:t>
      </w:r>
      <w:r w:rsidR="008962BF">
        <w:t xml:space="preserve"> (results of RFP Phase 1 in 2018-19</w:t>
      </w:r>
      <w:r w:rsidR="004A561B">
        <w:t>)</w:t>
      </w:r>
      <w:r w:rsidR="001A179F">
        <w:t>.</w:t>
      </w:r>
      <w:r w:rsidR="008962BF">
        <w:t xml:space="preserve"> </w:t>
      </w:r>
    </w:p>
    <w:p w14:paraId="657F07A8" w14:textId="68CD6FCB" w:rsidR="001A179F" w:rsidRPr="001A179F" w:rsidRDefault="001A179F" w:rsidP="008962BF">
      <w:pPr>
        <w:pStyle w:val="BodyText"/>
      </w:pPr>
      <w:r>
        <w:t xml:space="preserve">We assume </w:t>
      </w:r>
      <w:r w:rsidRPr="001A179F">
        <w:t>4.990</w:t>
      </w:r>
      <w:r>
        <w:t xml:space="preserve"> MW of CBRE Phase 1 solar enters service in 2020 and 150 MW of CBRE Phase 2 solar enters service in 2022. The 150 MW for </w:t>
      </w:r>
      <w:r w:rsidR="008962BF">
        <w:t xml:space="preserve">CBRE </w:t>
      </w:r>
      <w:r>
        <w:t xml:space="preserve">Phase 2 is a “best guess” based on recent discussions of a 235 MW target for all islands in the CBRE docket </w:t>
      </w:r>
      <w:r w:rsidR="008962BF">
        <w:fldChar w:fldCharType="begin"/>
      </w:r>
      <w:r w:rsidR="000524EB">
        <w:instrText xml:space="preserve"> ADDIN ZOTERO_ITEM CSL_CITATION {"citationID":"RFGwF38F","properties":{"formattedCitation":"(Joint Parties 2019)","plainCitation":"(Joint Parties 2019)","noteIndex":0},"citationItems":[{"id":2465,"uris":["http://zotero.org/users/1686015/items/PLZ75TZC"],"uri":["http://zotero.org/users/1686015/items/PLZ75TZC"],"itemData":{"id":2465,"type":"report","event-place":"Honolulu, Hawaii","publisher":"PUC Docket 2015-0389","publisher-place":"Honolulu, Hawaii","title":"Joint Comments on Implementing Phase 2 of Community-Based Renewable Energy Program","URL":"https://dms.puc.hawaii.gov/dms/DocumentViewer?pid=A1001001A19H20B01349C00185","author":[{"literal":"Joint Parties"}],"accessed":{"date-parts":[["2019",11,25]]},"issued":{"date-parts":[["2019",8,19]]}}}],"schema":"https://github.com/citation-style-language/schema/raw/master/csl-citation.json"} </w:instrText>
      </w:r>
      <w:r w:rsidR="008962BF">
        <w:fldChar w:fldCharType="separate"/>
      </w:r>
      <w:r w:rsidR="008962BF">
        <w:rPr>
          <w:noProof/>
        </w:rPr>
        <w:t>(Joint Parties 2019)</w:t>
      </w:r>
      <w:r w:rsidR="008962BF">
        <w:fldChar w:fldCharType="end"/>
      </w:r>
      <w:r>
        <w:t>. HECO commented on 11/</w:t>
      </w:r>
      <w:r w:rsidR="008962BF">
        <w:t>19</w:t>
      </w:r>
      <w:r>
        <w:t>/19 that “</w:t>
      </w:r>
      <w:r w:rsidR="008962BF" w:rsidRPr="008962BF">
        <w:t>The Companies are only able to assume what is included in the current PUC D&amp;O framework of 64MW, although the Companies have recommended that the program be large enough to attract larger developers and proposed increasing the capacity to 235MW (either solar or wind) over 5 years and revisit capacity availability as part of the IGP process.</w:t>
      </w:r>
      <w:r>
        <w:t>”</w:t>
      </w:r>
      <w:r w:rsidR="008962BF">
        <w:t xml:space="preserve"> </w:t>
      </w:r>
    </w:p>
    <w:p w14:paraId="0720DAA6" w14:textId="0F9CBA08" w:rsidR="00071A77" w:rsidRDefault="008962BF" w:rsidP="00071A77">
      <w:pPr>
        <w:pStyle w:val="BodyText"/>
      </w:pPr>
      <w:r>
        <w:t xml:space="preserve">We include 560 MW of additional utility-scale solar in 2022, representing </w:t>
      </w:r>
      <w:r w:rsidR="00071A77">
        <w:t>RFP Phase 2 acquisitions</w:t>
      </w:r>
      <w:r>
        <w:t xml:space="preserve">. This </w:t>
      </w:r>
      <w:r w:rsidR="00071A77">
        <w:t>matches the “</w:t>
      </w:r>
      <w:r w:rsidR="00071A77" w:rsidRPr="00071A77">
        <w:t>Up to 1,300,000 MWh annually</w:t>
      </w:r>
      <w:r w:rsidR="00071A77">
        <w:t xml:space="preserve">” listed for Oahu in 2022–25 on HECO’s Renewable Project Status Board </w:t>
      </w:r>
      <w:r w:rsidR="00071A77">
        <w:fldChar w:fldCharType="begin"/>
      </w:r>
      <w:r w:rsidR="000524EB">
        <w:instrText xml:space="preserve"> ADDIN ZOTERO_ITEM CSL_CITATION {"citationID":"uI4XRhvN","properties":{"formattedCitation":"(HECO 2019)","plainCitation":"(HECO 2019)","noteIndex":0},"citationItems":[{"id":2466,"uris":["http://zotero.org/users/1686015/items/H55AGJJ4"],"uri":["http://zotero.org/users/1686015/items/H55AGJJ4"],"itemData":{"id":2466,"type":"webpage","abstract":"Renewable energy projects at Hawaiian Electric, Maui Electric, and Hawaii Electric Light","language":"en","title":"Renewable Project Status Board","URL":"http://www.hawaiianelectric.com/clean-energy-hawaii/our-clean-energy-portfolio/renewable-project-status-board","author":[{"literal":"HECO"}],"accessed":{"date-parts":[["2019",11,25]]},"issued":{"date-parts":[["2019"]]}}}],"schema":"https://github.com/citation-style-language/schema/raw/master/csl-citation.json"} </w:instrText>
      </w:r>
      <w:r w:rsidR="00071A77">
        <w:fldChar w:fldCharType="separate"/>
      </w:r>
      <w:r w:rsidR="00071A77">
        <w:rPr>
          <w:rFonts w:cs="Times New Roman"/>
        </w:rPr>
        <w:t>(HECO 2019)</w:t>
      </w:r>
      <w:r w:rsidR="00071A77">
        <w:fldChar w:fldCharType="end"/>
      </w:r>
      <w:r w:rsidR="00071A77">
        <w:t>. We allow Switch to select the optimal amount of battery storage to complement this resource.</w:t>
      </w:r>
    </w:p>
    <w:p w14:paraId="1270C8DB" w14:textId="367BB889" w:rsidR="00071A77" w:rsidRPr="001A179F" w:rsidRDefault="00071A77" w:rsidP="00071A77">
      <w:pPr>
        <w:pStyle w:val="BodyText"/>
      </w:pPr>
      <w:r>
        <w:lastRenderedPageBreak/>
        <w:t>Although CBRE Phase 2 and RFP Phase 2 allow for both solar and wind power, we assume the additions will be only solar power. If wind power were added in this time frame, it would likely decrease the amount of wind selected by Switch for later years, and possibly cause Switch to add more solar later.</w:t>
      </w:r>
    </w:p>
    <w:p w14:paraId="0A77133F" w14:textId="63598147" w:rsidR="00071A77" w:rsidRDefault="00071A77" w:rsidP="00071A77">
      <w:pPr>
        <w:pStyle w:val="BodyText"/>
      </w:pPr>
      <w:r>
        <w:t xml:space="preserve">The projects listed above are the only generating capacity that Switch is allowed to add in 2020–22. We also assume that renewable projects and batteries </w:t>
      </w:r>
      <w:r w:rsidR="00E97FB9">
        <w:t xml:space="preserve">built in 2022 or earlier </w:t>
      </w:r>
      <w:r>
        <w:t>are recommissioned at</w:t>
      </w:r>
      <w:r w:rsidR="00E97FB9">
        <w:t xml:space="preserve"> equal size when they reach retirement age</w:t>
      </w:r>
      <w:r>
        <w:t xml:space="preserve">. Switch optimizes the selection of </w:t>
      </w:r>
      <w:r w:rsidR="00E97FB9">
        <w:t xml:space="preserve">all other </w:t>
      </w:r>
      <w:r>
        <w:t>assets after 2022 to minimize costs.</w:t>
      </w:r>
    </w:p>
    <w:p w14:paraId="2232263F" w14:textId="12D3DD79" w:rsidR="009B122C" w:rsidRPr="00551F42" w:rsidRDefault="00071A77" w:rsidP="00551F42">
      <w:pPr>
        <w:pStyle w:val="BodyText"/>
      </w:pPr>
      <w:r>
        <w:rPr>
          <w:b/>
          <w:bCs/>
        </w:rPr>
        <w:t xml:space="preserve">Reconstruction costs. </w:t>
      </w:r>
      <w:r w:rsidR="00E97FB9">
        <w:t xml:space="preserve">Projects that reach their retirement age and are then recommissioned are assumed to require the same </w:t>
      </w:r>
      <w:r w:rsidR="009B122C">
        <w:t xml:space="preserve">annual capital recovery (amortization) </w:t>
      </w:r>
      <w:r w:rsidR="00514F6E">
        <w:t xml:space="preserve">as </w:t>
      </w:r>
      <w:r w:rsidR="009B122C">
        <w:t xml:space="preserve">new </w:t>
      </w:r>
      <w:r w:rsidR="00A367C7">
        <w:t>greenfield</w:t>
      </w:r>
      <w:r w:rsidR="00514F6E">
        <w:t xml:space="preserve"> project</w:t>
      </w:r>
      <w:r w:rsidR="009B122C">
        <w:t>s</w:t>
      </w:r>
      <w:r w:rsidR="00A367C7">
        <w:t xml:space="preserve"> </w:t>
      </w:r>
      <w:r w:rsidR="009B122C">
        <w:t xml:space="preserve">built on the same </w:t>
      </w:r>
      <w:r w:rsidR="00A367C7">
        <w:t>date</w:t>
      </w:r>
      <w:r w:rsidR="00514F6E">
        <w:t xml:space="preserve">. </w:t>
      </w:r>
      <w:r w:rsidR="0086479A">
        <w:t xml:space="preserve">This somewhat inflates the </w:t>
      </w:r>
      <w:r w:rsidR="009B122C">
        <w:t xml:space="preserve">cost of projects </w:t>
      </w:r>
      <w:r w:rsidR="0086479A">
        <w:t xml:space="preserve">reconstructed during the later years of the </w:t>
      </w:r>
      <w:r w:rsidR="008C0C12">
        <w:t>scenario</w:t>
      </w:r>
      <w:r w:rsidR="0086479A">
        <w:t xml:space="preserve">. </w:t>
      </w:r>
      <w:r>
        <w:t>T</w:t>
      </w:r>
      <w:r w:rsidR="00344542">
        <w:t xml:space="preserve">his </w:t>
      </w:r>
      <w:r w:rsidR="008C0C12">
        <w:t xml:space="preserve">only </w:t>
      </w:r>
      <w:r w:rsidR="0086479A">
        <w:t>affect</w:t>
      </w:r>
      <w:r w:rsidR="008C0C12">
        <w:t>s</w:t>
      </w:r>
      <w:r w:rsidR="0086479A">
        <w:t xml:space="preserve"> PV </w:t>
      </w:r>
      <w:r w:rsidR="008C0C12">
        <w:t xml:space="preserve">and wind </w:t>
      </w:r>
      <w:r w:rsidR="0086479A">
        <w:t xml:space="preserve">built </w:t>
      </w:r>
      <w:r w:rsidR="008C0C12">
        <w:t>in 2015</w:t>
      </w:r>
      <w:r w:rsidR="0086479A">
        <w:t xml:space="preserve"> </w:t>
      </w:r>
      <w:r w:rsidR="008C0C12">
        <w:t>or earlier and replaced after 30 years</w:t>
      </w:r>
      <w:r w:rsidR="00E97FB9">
        <w:t xml:space="preserve">, </w:t>
      </w:r>
      <w:r w:rsidR="0086479A">
        <w:t xml:space="preserve">or batteries built in 2020-2030 and replaced </w:t>
      </w:r>
      <w:r w:rsidR="008C0C12">
        <w:t xml:space="preserve">after </w:t>
      </w:r>
      <w:r w:rsidR="0086479A">
        <w:t>15 years</w:t>
      </w:r>
      <w:r w:rsidR="00A367C7">
        <w:t>.</w:t>
      </w:r>
      <w:bookmarkEnd w:id="9"/>
    </w:p>
    <w:p w14:paraId="72DC4D4A" w14:textId="0AD4B50E" w:rsidR="00C73136" w:rsidRPr="00942F07" w:rsidRDefault="0085588C" w:rsidP="0083425A">
      <w:pPr>
        <w:pStyle w:val="Heading1"/>
        <w:numPr>
          <w:ilvl w:val="0"/>
          <w:numId w:val="0"/>
        </w:numPr>
      </w:pPr>
      <w:r>
        <w:t>References</w:t>
      </w:r>
    </w:p>
    <w:p w14:paraId="2269C5EC" w14:textId="77777777" w:rsidR="00351ADD" w:rsidRPr="00351ADD" w:rsidRDefault="00912096" w:rsidP="00351ADD">
      <w:pPr>
        <w:pStyle w:val="Bibliography"/>
        <w:rPr>
          <w:rFonts w:cs="Times New Roman"/>
        </w:rPr>
      </w:pPr>
      <w:r>
        <w:fldChar w:fldCharType="begin"/>
      </w:r>
      <w:r w:rsidR="00936904">
        <w:instrText xml:space="preserve"> ADDIN ZOTERO_BIBL {"uncited":[],"omitted":[],"custom":[]} CSL_BIBLIOGRAPHY </w:instrText>
      </w:r>
      <w:r>
        <w:fldChar w:fldCharType="separate"/>
      </w:r>
      <w:r w:rsidR="00351ADD" w:rsidRPr="00351ADD">
        <w:rPr>
          <w:rFonts w:cs="Times New Roman"/>
        </w:rPr>
        <w:t>AWS Truewind. 2004a. “Wind Energy Resource Maps of Hawaii.” Honolulu, Hawaii: AWS Truewind for Hawaii Department of Business, Economic Development. http://energy.hawaii.gov/wp-content/uploads/2011/10/WindEnergyResourceMapsHawaii_AWSTruewind_2004.pdf.</w:t>
      </w:r>
    </w:p>
    <w:p w14:paraId="4EDAB6E4" w14:textId="77777777" w:rsidR="00351ADD" w:rsidRPr="00351ADD" w:rsidRDefault="00351ADD" w:rsidP="00351ADD">
      <w:pPr>
        <w:pStyle w:val="Bibliography"/>
        <w:rPr>
          <w:rFonts w:cs="Times New Roman"/>
        </w:rPr>
      </w:pPr>
      <w:r w:rsidRPr="00351ADD">
        <w:rPr>
          <w:rFonts w:cs="Times New Roman"/>
        </w:rPr>
        <w:t>———. 2004b. “Wind Speed Map of Hawaii at 70 Meters.” Honolulu, Hawaii: AWS Truewind for Hawaii Department of Business, Economic Development. http://energy.hawaii.gov/wp-content/uploads/2011/10/Hawaii_FINAL_SPD70m_26July04.pdf.</w:t>
      </w:r>
    </w:p>
    <w:p w14:paraId="37A71F99" w14:textId="77777777" w:rsidR="00351ADD" w:rsidRPr="00351ADD" w:rsidRDefault="00351ADD" w:rsidP="00351ADD">
      <w:pPr>
        <w:pStyle w:val="Bibliography"/>
        <w:rPr>
          <w:rFonts w:cs="Times New Roman"/>
        </w:rPr>
      </w:pPr>
      <w:r w:rsidRPr="00351ADD">
        <w:rPr>
          <w:rFonts w:cs="Times New Roman"/>
        </w:rPr>
        <w:t>BOEM. 2016. “Atlantic and Pacific OCS Wind Planning Areas and Wind Energy Areas.” Washington, D.C.: U.S. Bureau of Ocean Energy Management. http://www.boem.gov/Renewable-Energy-GIS-Data/.</w:t>
      </w:r>
    </w:p>
    <w:p w14:paraId="2173F119" w14:textId="77777777" w:rsidR="00351ADD" w:rsidRPr="00351ADD" w:rsidRDefault="00351ADD" w:rsidP="00351ADD">
      <w:pPr>
        <w:pStyle w:val="Bibliography"/>
        <w:rPr>
          <w:rFonts w:cs="Times New Roman"/>
        </w:rPr>
      </w:pPr>
      <w:r w:rsidRPr="00351ADD">
        <w:rPr>
          <w:rFonts w:cs="Times New Roman"/>
        </w:rPr>
        <w:t>Corbus, Dave, Matt Schuerger, Leon Roose, Josh Strickler, Terry Surles, Devon Manz, Dave Burlingame, and Dennis Woodford. 2010. “Oahu Wind Integration and Transmission Study: Summary Report.” Golden, Colorado: National Renewable Energy Laboratory. http://www.nrel.gov/docs/fy11osti/48632.pdf.</w:t>
      </w:r>
    </w:p>
    <w:p w14:paraId="77F50E9E" w14:textId="77777777" w:rsidR="00351ADD" w:rsidRPr="00351ADD" w:rsidRDefault="00351ADD" w:rsidP="00351ADD">
      <w:pPr>
        <w:pStyle w:val="Bibliography"/>
        <w:rPr>
          <w:rFonts w:cs="Times New Roman"/>
        </w:rPr>
      </w:pPr>
      <w:r w:rsidRPr="00351ADD">
        <w:rPr>
          <w:rFonts w:cs="Times New Roman"/>
        </w:rPr>
        <w:t>DSIRE. 2019a. “Business Energy Investment Tax Credit (ITC).” NC Clean Energy Technology Center. https://programs.dsireusa.org/system/program/detail/658.</w:t>
      </w:r>
    </w:p>
    <w:p w14:paraId="0F3EA8A1" w14:textId="77777777" w:rsidR="00351ADD" w:rsidRPr="00351ADD" w:rsidRDefault="00351ADD" w:rsidP="00351ADD">
      <w:pPr>
        <w:pStyle w:val="Bibliography"/>
        <w:rPr>
          <w:rFonts w:cs="Times New Roman"/>
        </w:rPr>
      </w:pPr>
      <w:r w:rsidRPr="00351ADD">
        <w:rPr>
          <w:rFonts w:cs="Times New Roman"/>
        </w:rPr>
        <w:t>———. 2019b. “Residential Renewable Energy Tax Credit.” NC Clean Energy Technology Center. https://programs.dsireusa.org/system/program/detail/1235.</w:t>
      </w:r>
    </w:p>
    <w:p w14:paraId="71D7EB3F" w14:textId="77777777" w:rsidR="00351ADD" w:rsidRPr="00351ADD" w:rsidRDefault="00351ADD" w:rsidP="00351ADD">
      <w:pPr>
        <w:pStyle w:val="Bibliography"/>
        <w:rPr>
          <w:rFonts w:cs="Times New Roman"/>
        </w:rPr>
      </w:pPr>
      <w:r w:rsidRPr="00351ADD">
        <w:rPr>
          <w:rFonts w:cs="Times New Roman"/>
        </w:rPr>
        <w:t>EIA. 1996. “Assumptions for the Annual Energy Outlook 1996.” Washington, D.C.: U.S. Energy Information Administration. https://www.eia.gov/outlooks/archive/aeo96/assumption/aeo96asu.pdf.</w:t>
      </w:r>
    </w:p>
    <w:p w14:paraId="0368CA06" w14:textId="77777777" w:rsidR="00351ADD" w:rsidRPr="00351ADD" w:rsidRDefault="00351ADD" w:rsidP="00351ADD">
      <w:pPr>
        <w:pStyle w:val="Bibliography"/>
        <w:rPr>
          <w:rFonts w:cs="Times New Roman"/>
        </w:rPr>
      </w:pPr>
      <w:r w:rsidRPr="00351ADD">
        <w:rPr>
          <w:rFonts w:cs="Times New Roman"/>
        </w:rPr>
        <w:t>———. 2009. “Assumptions to the Annual Energy Outlook 2009.” DOE/EIA-0554(2009). Washington, DC: Energy Information Administration, U.S. Department of Energy. http://www.eia.doe.gov/oiaf/aeo/assumption/.</w:t>
      </w:r>
    </w:p>
    <w:p w14:paraId="661AFEA7" w14:textId="77777777" w:rsidR="00351ADD" w:rsidRPr="00351ADD" w:rsidRDefault="00351ADD" w:rsidP="00351ADD">
      <w:pPr>
        <w:pStyle w:val="Bibliography"/>
        <w:rPr>
          <w:rFonts w:cs="Times New Roman"/>
        </w:rPr>
      </w:pPr>
      <w:r w:rsidRPr="00351ADD">
        <w:rPr>
          <w:rFonts w:cs="Times New Roman"/>
        </w:rPr>
        <w:t>———. 2013. “Assumptions to the Annual Energy Outlook 2013.” Washington, D.C.: U.S. Energy Information Administration. https://www.eia.gov/outlooks/archive/aeo13/assumptions/.</w:t>
      </w:r>
    </w:p>
    <w:p w14:paraId="34A82888" w14:textId="77777777" w:rsidR="00351ADD" w:rsidRPr="00351ADD" w:rsidRDefault="00351ADD" w:rsidP="00351ADD">
      <w:pPr>
        <w:pStyle w:val="Bibliography"/>
        <w:rPr>
          <w:rFonts w:cs="Times New Roman"/>
        </w:rPr>
      </w:pPr>
      <w:r w:rsidRPr="00351ADD">
        <w:rPr>
          <w:rFonts w:cs="Times New Roman"/>
        </w:rPr>
        <w:t xml:space="preserve">———. 2016. “Capital Cost Estimates for Utility Scale Electricity Generating Plants.” Washington, D.C.: U.S. Energy Information Administration. </w:t>
      </w:r>
      <w:r w:rsidRPr="00351ADD">
        <w:rPr>
          <w:rFonts w:cs="Times New Roman"/>
        </w:rPr>
        <w:lastRenderedPageBreak/>
        <w:t>https://www.eia.gov/analysis/studies/powerplants/capitalcost/pdf/capcost_assumption.pdf.</w:t>
      </w:r>
    </w:p>
    <w:p w14:paraId="3227B768" w14:textId="77777777" w:rsidR="00351ADD" w:rsidRPr="00351ADD" w:rsidRDefault="00351ADD" w:rsidP="00351ADD">
      <w:pPr>
        <w:pStyle w:val="Bibliography"/>
        <w:rPr>
          <w:rFonts w:cs="Times New Roman"/>
        </w:rPr>
      </w:pPr>
      <w:r w:rsidRPr="00351ADD">
        <w:rPr>
          <w:rFonts w:cs="Times New Roman"/>
        </w:rPr>
        <w:t>———. 2017. “Addendum: Capital Cost Estimates for Additional Utility Scale Electric Generating Plants.” Washington, D.C.: U.S. Energy Information Administration. https://www.eia.gov/analysis/studies/powerplants/capitalcost/pdf/beret_addendum_leidos.pdf.</w:t>
      </w:r>
    </w:p>
    <w:p w14:paraId="38B3EDFE" w14:textId="77777777" w:rsidR="00351ADD" w:rsidRPr="00351ADD" w:rsidRDefault="00351ADD" w:rsidP="00351ADD">
      <w:pPr>
        <w:pStyle w:val="Bibliography"/>
        <w:rPr>
          <w:rFonts w:cs="Times New Roman"/>
        </w:rPr>
      </w:pPr>
      <w:r w:rsidRPr="00351ADD">
        <w:rPr>
          <w:rFonts w:cs="Times New Roman"/>
        </w:rPr>
        <w:t xml:space="preserve">Fripp, Matthias. 2018. “Intercomparison between Switch 2.0 and GE MAPS Models for Simulation of High-Renewable Power Systems in Hawaii.” </w:t>
      </w:r>
      <w:r w:rsidRPr="00351ADD">
        <w:rPr>
          <w:rFonts w:cs="Times New Roman"/>
          <w:i/>
          <w:iCs/>
        </w:rPr>
        <w:t>Energy, Sustainability and Society</w:t>
      </w:r>
      <w:r w:rsidRPr="00351ADD">
        <w:rPr>
          <w:rFonts w:cs="Times New Roman"/>
        </w:rPr>
        <w:t xml:space="preserve"> 8 (1): 41. https://doi.org/10.1186/s13705-018-0184-x.</w:t>
      </w:r>
    </w:p>
    <w:p w14:paraId="69BE019D" w14:textId="77777777" w:rsidR="00351ADD" w:rsidRPr="00351ADD" w:rsidRDefault="00351ADD" w:rsidP="00351ADD">
      <w:pPr>
        <w:pStyle w:val="Bibliography"/>
        <w:rPr>
          <w:rFonts w:cs="Times New Roman"/>
        </w:rPr>
      </w:pPr>
      <w:r w:rsidRPr="00351ADD">
        <w:rPr>
          <w:rFonts w:cs="Times New Roman"/>
        </w:rPr>
        <w:t>GE Energy. 2012. “Hawaii Solar Integration Study: Final Technical Report for Oahu.” Honolulu, Hawaii: Prepared for the National Renewable Energy Laboratory, Hawaii Natural Energy Institute, Hawaii Electric Company and Maui Electric Company. https://www.hnei.hawaii.edu/sites/www.hnei.hawaii.edu/files/Hawaii%20Solar%20Integration%20Study%20-%20Oahu.pdf.</w:t>
      </w:r>
    </w:p>
    <w:p w14:paraId="3950C3CB" w14:textId="77777777" w:rsidR="00351ADD" w:rsidRPr="00351ADD" w:rsidRDefault="00351ADD" w:rsidP="00351ADD">
      <w:pPr>
        <w:pStyle w:val="Bibliography"/>
        <w:rPr>
          <w:rFonts w:cs="Times New Roman"/>
        </w:rPr>
      </w:pPr>
      <w:r w:rsidRPr="00351ADD">
        <w:rPr>
          <w:rFonts w:cs="Times New Roman"/>
        </w:rPr>
        <w:t>GE Energy Consulting. 2015. “Hawaii Renewable Portfolio Standards Study.” Hawaii Natural Energy Institute and School of Ocean and Earth Science and Technology, University of Hawaii. http://www.hnei.hawaii.edu/projects/hawaii-rps-study.</w:t>
      </w:r>
    </w:p>
    <w:p w14:paraId="6A7421D4" w14:textId="77777777" w:rsidR="00351ADD" w:rsidRPr="00351ADD" w:rsidRDefault="00351ADD" w:rsidP="00351ADD">
      <w:pPr>
        <w:pStyle w:val="Bibliography"/>
        <w:rPr>
          <w:rFonts w:cs="Times New Roman"/>
        </w:rPr>
      </w:pPr>
      <w:r w:rsidRPr="00351ADD">
        <w:rPr>
          <w:rFonts w:cs="Times New Roman"/>
        </w:rPr>
        <w:t>Google Inc. 2016. “Google Static Maps API.” 2016. https://developers.google.com/maps/documentation/maps-static/.</w:t>
      </w:r>
    </w:p>
    <w:p w14:paraId="0442AF1D" w14:textId="77777777" w:rsidR="00351ADD" w:rsidRPr="00351ADD" w:rsidRDefault="00351ADD" w:rsidP="00351ADD">
      <w:pPr>
        <w:pStyle w:val="Bibliography"/>
        <w:rPr>
          <w:rFonts w:cs="Times New Roman"/>
        </w:rPr>
      </w:pPr>
      <w:r w:rsidRPr="00351ADD">
        <w:rPr>
          <w:rFonts w:cs="Times New Roman"/>
        </w:rPr>
        <w:t>Hawaii PUC. 2018. “Annual Report for the Fiscal Year 2018.” Honolulu, Hawaii: Hawaii Public Utilities Commission. https://puc.hawaii.gov/wp-content/uploads/2018/12/FY18-PUC-Annual-Report_FINAL.pdf.</w:t>
      </w:r>
    </w:p>
    <w:p w14:paraId="0D44B0FF" w14:textId="77777777" w:rsidR="00351ADD" w:rsidRPr="00351ADD" w:rsidRDefault="00351ADD" w:rsidP="00351ADD">
      <w:pPr>
        <w:pStyle w:val="Bibliography"/>
        <w:rPr>
          <w:rFonts w:cs="Times New Roman"/>
        </w:rPr>
      </w:pPr>
      <w:r w:rsidRPr="00351ADD">
        <w:rPr>
          <w:rFonts w:cs="Times New Roman"/>
        </w:rPr>
        <w:t>HECO. 2013. “2013 Integrated Resource Planning Report.” Honolulu, Hawaii: Hawaiian Electric Company. http://www.heco.com/heco/Clean-Energy/Integrated-Resource-Planning.</w:t>
      </w:r>
    </w:p>
    <w:p w14:paraId="1F46E8BA" w14:textId="77777777" w:rsidR="00351ADD" w:rsidRPr="00351ADD" w:rsidRDefault="00351ADD" w:rsidP="00351ADD">
      <w:pPr>
        <w:pStyle w:val="Bibliography"/>
        <w:rPr>
          <w:rFonts w:cs="Times New Roman"/>
        </w:rPr>
      </w:pPr>
      <w:r w:rsidRPr="00351ADD">
        <w:rPr>
          <w:rFonts w:cs="Times New Roman"/>
        </w:rPr>
        <w:t>———. 2019. “Renewable Project Status Board.” 2019. http://www.hawaiianelectric.com/clean-energy-hawaii/our-clean-energy-portfolio/renewable-project-status-board.</w:t>
      </w:r>
    </w:p>
    <w:p w14:paraId="7E5AE2FC" w14:textId="77777777" w:rsidR="00351ADD" w:rsidRPr="00351ADD" w:rsidRDefault="00351ADD" w:rsidP="00351ADD">
      <w:pPr>
        <w:pStyle w:val="Bibliography"/>
        <w:rPr>
          <w:rFonts w:cs="Times New Roman"/>
        </w:rPr>
      </w:pPr>
      <w:r w:rsidRPr="00351ADD">
        <w:rPr>
          <w:rFonts w:cs="Times New Roman"/>
        </w:rPr>
        <w:t>Johnston, Josiah, Rodrigo Henríquez, Benjamín Maluenda, and Matthias Fripp. 2018. “Switch 2.0: A Modern Platform for Planning High-Renewable Power Systems.” Preprint. https://arxiv.org/abs/1804.05481.</w:t>
      </w:r>
    </w:p>
    <w:p w14:paraId="7FC2DF52" w14:textId="77777777" w:rsidR="00351ADD" w:rsidRPr="00351ADD" w:rsidRDefault="00351ADD" w:rsidP="00351ADD">
      <w:pPr>
        <w:pStyle w:val="Bibliography"/>
        <w:rPr>
          <w:rFonts w:cs="Times New Roman"/>
        </w:rPr>
      </w:pPr>
      <w:r w:rsidRPr="00351ADD">
        <w:rPr>
          <w:rFonts w:cs="Times New Roman"/>
        </w:rPr>
        <w:t>Joint Parties. 2019. “Joint Comments on Implementing Phase 2 of Community-Based Renewable Energy Program.” Honolulu, Hawaii: PUC Docket 2015-0389. https://dms.puc.hawaii.gov/dms/DocumentViewer?pid=A1001001A19H20B01349C00185.</w:t>
      </w:r>
    </w:p>
    <w:p w14:paraId="71FE3DB4" w14:textId="77777777" w:rsidR="00351ADD" w:rsidRPr="00351ADD" w:rsidRDefault="00351ADD" w:rsidP="00351ADD">
      <w:pPr>
        <w:pStyle w:val="Bibliography"/>
        <w:rPr>
          <w:rFonts w:cs="Times New Roman"/>
        </w:rPr>
      </w:pPr>
      <w:r w:rsidRPr="00351ADD">
        <w:rPr>
          <w:rFonts w:cs="Times New Roman"/>
        </w:rPr>
        <w:t>King, J., A. Clifton, and B.-M. Hodge. 2014. “Validation of Power Output for the WIND Toolkit.” NREL/TP-5D00-61714. http://dx.doi.org/10.2172/1159354.</w:t>
      </w:r>
    </w:p>
    <w:p w14:paraId="41921867" w14:textId="77777777" w:rsidR="00351ADD" w:rsidRPr="00351ADD" w:rsidRDefault="00351ADD" w:rsidP="00351ADD">
      <w:pPr>
        <w:pStyle w:val="Bibliography"/>
        <w:rPr>
          <w:rFonts w:cs="Times New Roman"/>
        </w:rPr>
      </w:pPr>
      <w:r w:rsidRPr="00351ADD">
        <w:rPr>
          <w:rFonts w:cs="Times New Roman"/>
        </w:rPr>
        <w:t>Manobianco, John, Charles Alonge, Jaclyn Frank, and Michael Brower. 2010. “Development of Regional Wind Resource and Wind Plant Output Datasets for the Hawaiian Islands.” NREL/SR-550-48680. AWS Truepower LLC for the National Renewable Energy Laboratory. http://www.nrel.gov/docs/fy10osti/48680.pdf.</w:t>
      </w:r>
    </w:p>
    <w:p w14:paraId="1CBF048E" w14:textId="77777777" w:rsidR="00351ADD" w:rsidRPr="00351ADD" w:rsidRDefault="00351ADD" w:rsidP="00351ADD">
      <w:pPr>
        <w:pStyle w:val="Bibliography"/>
        <w:rPr>
          <w:rFonts w:cs="Times New Roman"/>
        </w:rPr>
      </w:pPr>
      <w:r w:rsidRPr="00351ADD">
        <w:rPr>
          <w:rFonts w:cs="Times New Roman"/>
        </w:rPr>
        <w:t>NREL. 2016. “National Solar Radiation Database Version 2.0.1.” Golden, Colorado: National Renewable Energy Laboratory. https://nsrdb.nrel.gov.</w:t>
      </w:r>
    </w:p>
    <w:p w14:paraId="671E8CF5" w14:textId="77777777" w:rsidR="00351ADD" w:rsidRPr="00351ADD" w:rsidRDefault="00351ADD" w:rsidP="00351ADD">
      <w:pPr>
        <w:pStyle w:val="Bibliography"/>
        <w:rPr>
          <w:rFonts w:cs="Times New Roman"/>
        </w:rPr>
      </w:pPr>
      <w:r w:rsidRPr="00351ADD">
        <w:rPr>
          <w:rFonts w:cs="Times New Roman"/>
        </w:rPr>
        <w:t>———. 2018. “SAM Simulation Core SDK.” Golden, Colorado: National Renewable Energy Laboratory. https://sam.nrel.gov/sdk.</w:t>
      </w:r>
    </w:p>
    <w:p w14:paraId="1A1276E3" w14:textId="77777777" w:rsidR="00351ADD" w:rsidRPr="00351ADD" w:rsidRDefault="00351ADD" w:rsidP="00351ADD">
      <w:pPr>
        <w:pStyle w:val="Bibliography"/>
        <w:rPr>
          <w:rFonts w:cs="Times New Roman"/>
        </w:rPr>
      </w:pPr>
      <w:r w:rsidRPr="00351ADD">
        <w:rPr>
          <w:rFonts w:cs="Times New Roman"/>
        </w:rPr>
        <w:t>———. 2019. “2019 Annual Technology Baseline.” Golden, Colorado: National Renewable Energy Laboratory. https://atb.nrel.gov/electricity/2019/.</w:t>
      </w:r>
    </w:p>
    <w:p w14:paraId="51679ACF" w14:textId="77777777" w:rsidR="00351ADD" w:rsidRPr="00351ADD" w:rsidRDefault="00351ADD" w:rsidP="00351ADD">
      <w:pPr>
        <w:pStyle w:val="Bibliography"/>
        <w:rPr>
          <w:rFonts w:cs="Times New Roman"/>
        </w:rPr>
      </w:pPr>
      <w:r w:rsidRPr="00351ADD">
        <w:rPr>
          <w:rFonts w:cs="Times New Roman"/>
        </w:rPr>
        <w:lastRenderedPageBreak/>
        <w:t>Piwko, Richard, Leon Roose, Kirsten Orwig, Marc Matsuura, David Corbus, and Matt Schuerger. 2012. “Hawaii Solar Integration Study: Solar Modeling Developments and Study Results.” Golden, Colorado: National Renewable Energy Laboratory. http://www.nrel.gov/docs/fy13osti/56311.pdf.</w:t>
      </w:r>
    </w:p>
    <w:p w14:paraId="5441941F" w14:textId="7B3E46D1" w:rsidR="00C73136" w:rsidRPr="00942F07" w:rsidRDefault="00912096" w:rsidP="00942F07">
      <w:pPr>
        <w:pStyle w:val="BodyText"/>
      </w:pPr>
      <w:r>
        <w:fldChar w:fldCharType="end"/>
      </w:r>
    </w:p>
    <w:sectPr w:rsidR="00C73136" w:rsidRPr="00942F07" w:rsidSect="0060197D">
      <w:headerReference w:type="default" r:id="rId12"/>
      <w:footerReference w:type="default" r:id="rId1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E9ED8" w14:textId="77777777" w:rsidR="009A1416" w:rsidRDefault="009A1416" w:rsidP="00E8626C">
      <w:r>
        <w:separator/>
      </w:r>
    </w:p>
  </w:endnote>
  <w:endnote w:type="continuationSeparator" w:id="0">
    <w:p w14:paraId="572B0B44" w14:textId="77777777" w:rsidR="009A1416" w:rsidRDefault="009A1416" w:rsidP="00E8626C">
      <w:r>
        <w:continuationSeparator/>
      </w:r>
    </w:p>
  </w:endnote>
  <w:endnote w:type="continuationNotice" w:id="1">
    <w:p w14:paraId="4D429002" w14:textId="77777777" w:rsidR="009A1416" w:rsidRDefault="009A14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1450C" w14:textId="528131C9" w:rsidR="000C452E" w:rsidRPr="00275E7A" w:rsidRDefault="000C452E" w:rsidP="00C200A4">
    <w:pPr>
      <w:pStyle w:val="Footer"/>
      <w:jc w:val="center"/>
      <w:rPr>
        <w:rFonts w:cs="Times New Roman"/>
      </w:rPr>
    </w:pPr>
    <w:r w:rsidRPr="00275E7A">
      <w:rPr>
        <w:rStyle w:val="PageNumber"/>
        <w:rFonts w:cs="Times New Roman"/>
      </w:rPr>
      <w:fldChar w:fldCharType="begin"/>
    </w:r>
    <w:r w:rsidRPr="00275E7A">
      <w:rPr>
        <w:rStyle w:val="PageNumber"/>
        <w:rFonts w:cs="Times New Roman"/>
      </w:rPr>
      <w:instrText xml:space="preserve"> PAGE </w:instrText>
    </w:r>
    <w:r w:rsidRPr="00275E7A">
      <w:rPr>
        <w:rStyle w:val="PageNumber"/>
        <w:rFonts w:cs="Times New Roman"/>
      </w:rPr>
      <w:fldChar w:fldCharType="separate"/>
    </w:r>
    <w:r w:rsidRPr="00275E7A">
      <w:rPr>
        <w:rStyle w:val="PageNumber"/>
        <w:rFonts w:cs="Times New Roman"/>
        <w:noProof/>
      </w:rPr>
      <w:t>27</w:t>
    </w:r>
    <w:r w:rsidRPr="00275E7A">
      <w:rPr>
        <w:rStyle w:val="PageNumbe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8DF282" w14:textId="77777777" w:rsidR="009A1416" w:rsidRDefault="009A1416" w:rsidP="00E8626C">
      <w:r>
        <w:separator/>
      </w:r>
    </w:p>
  </w:footnote>
  <w:footnote w:type="continuationSeparator" w:id="0">
    <w:p w14:paraId="4BCDE6B9" w14:textId="77777777" w:rsidR="009A1416" w:rsidRDefault="009A1416" w:rsidP="00E8626C">
      <w:r>
        <w:continuationSeparator/>
      </w:r>
    </w:p>
  </w:footnote>
  <w:footnote w:type="continuationNotice" w:id="1">
    <w:p w14:paraId="21BF07E5" w14:textId="77777777" w:rsidR="009A1416" w:rsidRDefault="009A14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6A8D1" w14:textId="3F39F917" w:rsidR="000C452E" w:rsidRPr="00275E7A" w:rsidRDefault="00275E7A" w:rsidP="002805E0">
    <w:pPr>
      <w:pStyle w:val="Header"/>
      <w:jc w:val="center"/>
      <w:rPr>
        <w:rFonts w:cs="Times New Roman"/>
      </w:rPr>
    </w:pPr>
    <w:r w:rsidRPr="00275E7A">
      <w:rPr>
        <w:rFonts w:cs="Times New Roman"/>
      </w:rPr>
      <w:t>ASSUMPTIONS AND INPUT DATA FOR ULUPONO #1 SCENARIO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38231F1"/>
    <w:multiLevelType w:val="hybridMultilevel"/>
    <w:tmpl w:val="61A2DCDE"/>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 w15:restartNumberingAfterBreak="0">
    <w:nsid w:val="044B4D94"/>
    <w:multiLevelType w:val="hybridMultilevel"/>
    <w:tmpl w:val="F3B2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B6C15"/>
    <w:multiLevelType w:val="hybridMultilevel"/>
    <w:tmpl w:val="78EE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36FB2"/>
    <w:multiLevelType w:val="hybridMultilevel"/>
    <w:tmpl w:val="B7DA9EA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3506E"/>
    <w:multiLevelType w:val="hybridMultilevel"/>
    <w:tmpl w:val="B1967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10B78"/>
    <w:multiLevelType w:val="hybridMultilevel"/>
    <w:tmpl w:val="4BEE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A72EE"/>
    <w:multiLevelType w:val="hybridMultilevel"/>
    <w:tmpl w:val="D78819C4"/>
    <w:lvl w:ilvl="0" w:tplc="04090001">
      <w:start w:val="1"/>
      <w:numFmt w:val="bullet"/>
      <w:lvlText w:val=""/>
      <w:lvlJc w:val="left"/>
      <w:pPr>
        <w:ind w:left="1224" w:hanging="360"/>
      </w:pPr>
      <w:rPr>
        <w:rFonts w:ascii="Symbol" w:hAnsi="Symbol"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15:restartNumberingAfterBreak="0">
    <w:nsid w:val="2742544A"/>
    <w:multiLevelType w:val="multilevel"/>
    <w:tmpl w:val="9F6C73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B30453"/>
    <w:multiLevelType w:val="hybridMultilevel"/>
    <w:tmpl w:val="133668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0B413E"/>
    <w:multiLevelType w:val="hybridMultilevel"/>
    <w:tmpl w:val="3AC87B3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3E405205"/>
    <w:multiLevelType w:val="hybridMultilevel"/>
    <w:tmpl w:val="9F6C7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112B5E"/>
    <w:multiLevelType w:val="hybridMultilevel"/>
    <w:tmpl w:val="013CC7C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3" w15:restartNumberingAfterBreak="0">
    <w:nsid w:val="419106CF"/>
    <w:multiLevelType w:val="hybridMultilevel"/>
    <w:tmpl w:val="C1DED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1B29D3"/>
    <w:multiLevelType w:val="multilevel"/>
    <w:tmpl w:val="EC984002"/>
    <w:styleLink w:val="Style1"/>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511B2CF5"/>
    <w:multiLevelType w:val="multilevel"/>
    <w:tmpl w:val="EC984002"/>
    <w:numStyleLink w:val="Style1"/>
  </w:abstractNum>
  <w:abstractNum w:abstractNumId="16" w15:restartNumberingAfterBreak="0">
    <w:nsid w:val="544E0178"/>
    <w:multiLevelType w:val="multilevel"/>
    <w:tmpl w:val="C52CD41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B494CBD"/>
    <w:multiLevelType w:val="hybridMultilevel"/>
    <w:tmpl w:val="6228259C"/>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8" w15:restartNumberingAfterBreak="0">
    <w:nsid w:val="5BCF5A09"/>
    <w:multiLevelType w:val="hybridMultilevel"/>
    <w:tmpl w:val="8AF42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1C20CF"/>
    <w:multiLevelType w:val="hybridMultilevel"/>
    <w:tmpl w:val="C9A8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4056B"/>
    <w:multiLevelType w:val="hybridMultilevel"/>
    <w:tmpl w:val="FB741B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8675A0"/>
    <w:multiLevelType w:val="multilevel"/>
    <w:tmpl w:val="8C4A60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3530E04"/>
    <w:multiLevelType w:val="hybridMultilevel"/>
    <w:tmpl w:val="ACBE6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967FA1"/>
    <w:multiLevelType w:val="hybridMultilevel"/>
    <w:tmpl w:val="42788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7F03AD"/>
    <w:multiLevelType w:val="multilevel"/>
    <w:tmpl w:val="1336687A"/>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num w:numId="1">
    <w:abstractNumId w:val="21"/>
  </w:num>
  <w:num w:numId="2">
    <w:abstractNumId w:val="21"/>
  </w:num>
  <w:num w:numId="3">
    <w:abstractNumId w:val="19"/>
  </w:num>
  <w:num w:numId="4">
    <w:abstractNumId w:val="6"/>
  </w:num>
  <w:num w:numId="5">
    <w:abstractNumId w:val="23"/>
  </w:num>
  <w:num w:numId="6">
    <w:abstractNumId w:val="3"/>
  </w:num>
  <w:num w:numId="7">
    <w:abstractNumId w:val="5"/>
  </w:num>
  <w:num w:numId="8">
    <w:abstractNumId w:val="11"/>
  </w:num>
  <w:num w:numId="9">
    <w:abstractNumId w:val="8"/>
  </w:num>
  <w:num w:numId="10">
    <w:abstractNumId w:val="18"/>
  </w:num>
  <w:num w:numId="11">
    <w:abstractNumId w:val="4"/>
  </w:num>
  <w:num w:numId="12">
    <w:abstractNumId w:val="2"/>
  </w:num>
  <w:num w:numId="13">
    <w:abstractNumId w:val="22"/>
  </w:num>
  <w:num w:numId="14">
    <w:abstractNumId w:val="20"/>
  </w:num>
  <w:num w:numId="15">
    <w:abstractNumId w:val="13"/>
  </w:num>
  <w:num w:numId="16">
    <w:abstractNumId w:val="15"/>
  </w:num>
  <w:num w:numId="17">
    <w:abstractNumId w:val="14"/>
  </w:num>
  <w:num w:numId="18">
    <w:abstractNumId w:val="0"/>
  </w:num>
  <w:num w:numId="19">
    <w:abstractNumId w:val="21"/>
  </w:num>
  <w:num w:numId="20">
    <w:abstractNumId w:val="21"/>
  </w:num>
  <w:num w:numId="21">
    <w:abstractNumId w:val="9"/>
  </w:num>
  <w:num w:numId="22">
    <w:abstractNumId w:val="24"/>
  </w:num>
  <w:num w:numId="23">
    <w:abstractNumId w:val="1"/>
  </w:num>
  <w:num w:numId="24">
    <w:abstractNumId w:val="17"/>
  </w:num>
  <w:num w:numId="25">
    <w:abstractNumId w:val="12"/>
  </w:num>
  <w:num w:numId="26">
    <w:abstractNumId w:val="21"/>
  </w:num>
  <w:num w:numId="27">
    <w:abstractNumId w:val="21"/>
  </w:num>
  <w:num w:numId="28">
    <w:abstractNumId w:val="10"/>
  </w:num>
  <w:num w:numId="29">
    <w:abstractNumId w:val="7"/>
  </w:num>
  <w:num w:numId="30">
    <w:abstractNumId w:val="1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87D"/>
    <w:rsid w:val="000036FD"/>
    <w:rsid w:val="00004FBF"/>
    <w:rsid w:val="000056D9"/>
    <w:rsid w:val="00006A83"/>
    <w:rsid w:val="00007888"/>
    <w:rsid w:val="00010D73"/>
    <w:rsid w:val="00011A04"/>
    <w:rsid w:val="00013E96"/>
    <w:rsid w:val="00017A2B"/>
    <w:rsid w:val="00020472"/>
    <w:rsid w:val="00021029"/>
    <w:rsid w:val="0002120C"/>
    <w:rsid w:val="00021301"/>
    <w:rsid w:val="000224D2"/>
    <w:rsid w:val="00024275"/>
    <w:rsid w:val="0002552A"/>
    <w:rsid w:val="00026A55"/>
    <w:rsid w:val="000306B7"/>
    <w:rsid w:val="0003178C"/>
    <w:rsid w:val="000319DF"/>
    <w:rsid w:val="0003287E"/>
    <w:rsid w:val="00033174"/>
    <w:rsid w:val="0003433F"/>
    <w:rsid w:val="0003562A"/>
    <w:rsid w:val="00037134"/>
    <w:rsid w:val="00037187"/>
    <w:rsid w:val="0003718C"/>
    <w:rsid w:val="000405BB"/>
    <w:rsid w:val="00040B23"/>
    <w:rsid w:val="00040B36"/>
    <w:rsid w:val="00045D17"/>
    <w:rsid w:val="00046C2E"/>
    <w:rsid w:val="000524EB"/>
    <w:rsid w:val="00053B3B"/>
    <w:rsid w:val="000556A5"/>
    <w:rsid w:val="00055A7E"/>
    <w:rsid w:val="000569D1"/>
    <w:rsid w:val="000576C8"/>
    <w:rsid w:val="000577D2"/>
    <w:rsid w:val="00061ACC"/>
    <w:rsid w:val="0006604F"/>
    <w:rsid w:val="00066E77"/>
    <w:rsid w:val="00067516"/>
    <w:rsid w:val="00067595"/>
    <w:rsid w:val="000710A0"/>
    <w:rsid w:val="00071A77"/>
    <w:rsid w:val="00071EA0"/>
    <w:rsid w:val="00074DAA"/>
    <w:rsid w:val="000769F4"/>
    <w:rsid w:val="0007727D"/>
    <w:rsid w:val="00077B01"/>
    <w:rsid w:val="00077C17"/>
    <w:rsid w:val="000801E4"/>
    <w:rsid w:val="0008316F"/>
    <w:rsid w:val="0008605B"/>
    <w:rsid w:val="00087BC4"/>
    <w:rsid w:val="00091328"/>
    <w:rsid w:val="00091FBB"/>
    <w:rsid w:val="000966EF"/>
    <w:rsid w:val="0009679C"/>
    <w:rsid w:val="00097666"/>
    <w:rsid w:val="00097B6A"/>
    <w:rsid w:val="000A3DD5"/>
    <w:rsid w:val="000A4111"/>
    <w:rsid w:val="000A41DF"/>
    <w:rsid w:val="000B05E5"/>
    <w:rsid w:val="000B399B"/>
    <w:rsid w:val="000B5E6E"/>
    <w:rsid w:val="000B6E9C"/>
    <w:rsid w:val="000C1CBC"/>
    <w:rsid w:val="000C2A10"/>
    <w:rsid w:val="000C3E76"/>
    <w:rsid w:val="000C452E"/>
    <w:rsid w:val="000D04ED"/>
    <w:rsid w:val="000D08F2"/>
    <w:rsid w:val="000D0F22"/>
    <w:rsid w:val="000D2C54"/>
    <w:rsid w:val="000D4252"/>
    <w:rsid w:val="000D517E"/>
    <w:rsid w:val="000D5A8A"/>
    <w:rsid w:val="000D6145"/>
    <w:rsid w:val="000D76DE"/>
    <w:rsid w:val="000D7FE6"/>
    <w:rsid w:val="000E288A"/>
    <w:rsid w:val="000E2B5C"/>
    <w:rsid w:val="000E2F8C"/>
    <w:rsid w:val="000E6808"/>
    <w:rsid w:val="000E6F88"/>
    <w:rsid w:val="000F1810"/>
    <w:rsid w:val="000F61BE"/>
    <w:rsid w:val="000F7B8F"/>
    <w:rsid w:val="00101CB3"/>
    <w:rsid w:val="00116705"/>
    <w:rsid w:val="00117B21"/>
    <w:rsid w:val="00120F34"/>
    <w:rsid w:val="001360C1"/>
    <w:rsid w:val="00144E71"/>
    <w:rsid w:val="00150889"/>
    <w:rsid w:val="00151071"/>
    <w:rsid w:val="0015407F"/>
    <w:rsid w:val="00160F97"/>
    <w:rsid w:val="0016173D"/>
    <w:rsid w:val="00161C9F"/>
    <w:rsid w:val="00164149"/>
    <w:rsid w:val="0016487B"/>
    <w:rsid w:val="00164F17"/>
    <w:rsid w:val="00165358"/>
    <w:rsid w:val="00165E97"/>
    <w:rsid w:val="001728D9"/>
    <w:rsid w:val="001750D5"/>
    <w:rsid w:val="001753AC"/>
    <w:rsid w:val="00175D27"/>
    <w:rsid w:val="001761FC"/>
    <w:rsid w:val="00176D0C"/>
    <w:rsid w:val="001813FE"/>
    <w:rsid w:val="00181B4F"/>
    <w:rsid w:val="00182616"/>
    <w:rsid w:val="00183417"/>
    <w:rsid w:val="00186445"/>
    <w:rsid w:val="00186FB9"/>
    <w:rsid w:val="0018784B"/>
    <w:rsid w:val="00195EC9"/>
    <w:rsid w:val="0019615A"/>
    <w:rsid w:val="0019701C"/>
    <w:rsid w:val="00197186"/>
    <w:rsid w:val="001978E3"/>
    <w:rsid w:val="001A06BA"/>
    <w:rsid w:val="001A179F"/>
    <w:rsid w:val="001A2568"/>
    <w:rsid w:val="001A288F"/>
    <w:rsid w:val="001A4EAD"/>
    <w:rsid w:val="001A7429"/>
    <w:rsid w:val="001B1377"/>
    <w:rsid w:val="001B1EE0"/>
    <w:rsid w:val="001B474D"/>
    <w:rsid w:val="001B5BB5"/>
    <w:rsid w:val="001B73E7"/>
    <w:rsid w:val="001B770B"/>
    <w:rsid w:val="001C6807"/>
    <w:rsid w:val="001C6CA5"/>
    <w:rsid w:val="001E0666"/>
    <w:rsid w:val="001E5A25"/>
    <w:rsid w:val="001E6903"/>
    <w:rsid w:val="001F15D3"/>
    <w:rsid w:val="001F5B2E"/>
    <w:rsid w:val="001F7062"/>
    <w:rsid w:val="001F70C7"/>
    <w:rsid w:val="0020340B"/>
    <w:rsid w:val="00205939"/>
    <w:rsid w:val="0020745D"/>
    <w:rsid w:val="0020786C"/>
    <w:rsid w:val="00207C71"/>
    <w:rsid w:val="002143A3"/>
    <w:rsid w:val="0021546D"/>
    <w:rsid w:val="002176DD"/>
    <w:rsid w:val="002215E9"/>
    <w:rsid w:val="0022235F"/>
    <w:rsid w:val="002236D6"/>
    <w:rsid w:val="002238D8"/>
    <w:rsid w:val="0023091A"/>
    <w:rsid w:val="00235B12"/>
    <w:rsid w:val="002370CB"/>
    <w:rsid w:val="002401DA"/>
    <w:rsid w:val="00244790"/>
    <w:rsid w:val="00247D2D"/>
    <w:rsid w:val="0025529C"/>
    <w:rsid w:val="0026094D"/>
    <w:rsid w:val="0027101B"/>
    <w:rsid w:val="0027211A"/>
    <w:rsid w:val="00275E7A"/>
    <w:rsid w:val="00276F3E"/>
    <w:rsid w:val="00277716"/>
    <w:rsid w:val="002805E0"/>
    <w:rsid w:val="00281D5A"/>
    <w:rsid w:val="00285FE5"/>
    <w:rsid w:val="00292012"/>
    <w:rsid w:val="00295E88"/>
    <w:rsid w:val="002A045A"/>
    <w:rsid w:val="002A1000"/>
    <w:rsid w:val="002A3018"/>
    <w:rsid w:val="002A45AB"/>
    <w:rsid w:val="002A46F9"/>
    <w:rsid w:val="002A4894"/>
    <w:rsid w:val="002A7852"/>
    <w:rsid w:val="002B0729"/>
    <w:rsid w:val="002B76FF"/>
    <w:rsid w:val="002C487E"/>
    <w:rsid w:val="002C7910"/>
    <w:rsid w:val="002D0195"/>
    <w:rsid w:val="002D3058"/>
    <w:rsid w:val="002D4F96"/>
    <w:rsid w:val="002D6597"/>
    <w:rsid w:val="002D7487"/>
    <w:rsid w:val="002E2B43"/>
    <w:rsid w:val="002E5136"/>
    <w:rsid w:val="002E573E"/>
    <w:rsid w:val="002E57AC"/>
    <w:rsid w:val="002F11E0"/>
    <w:rsid w:val="002F1F4B"/>
    <w:rsid w:val="002F5DC3"/>
    <w:rsid w:val="002F63EC"/>
    <w:rsid w:val="002F7692"/>
    <w:rsid w:val="00300E2D"/>
    <w:rsid w:val="003020FD"/>
    <w:rsid w:val="00305748"/>
    <w:rsid w:val="00310EC3"/>
    <w:rsid w:val="003114EF"/>
    <w:rsid w:val="00316E9E"/>
    <w:rsid w:val="0032274A"/>
    <w:rsid w:val="00323EF6"/>
    <w:rsid w:val="003321FF"/>
    <w:rsid w:val="00333497"/>
    <w:rsid w:val="0033554A"/>
    <w:rsid w:val="00335605"/>
    <w:rsid w:val="00336B94"/>
    <w:rsid w:val="00340D04"/>
    <w:rsid w:val="00342E98"/>
    <w:rsid w:val="00344542"/>
    <w:rsid w:val="00345972"/>
    <w:rsid w:val="00350563"/>
    <w:rsid w:val="00351ADD"/>
    <w:rsid w:val="00351C5C"/>
    <w:rsid w:val="00360278"/>
    <w:rsid w:val="003618FF"/>
    <w:rsid w:val="00362F65"/>
    <w:rsid w:val="003676C7"/>
    <w:rsid w:val="00371AF7"/>
    <w:rsid w:val="00373600"/>
    <w:rsid w:val="00373941"/>
    <w:rsid w:val="00373E08"/>
    <w:rsid w:val="00380F49"/>
    <w:rsid w:val="00383918"/>
    <w:rsid w:val="00383CEA"/>
    <w:rsid w:val="00385B30"/>
    <w:rsid w:val="0039106E"/>
    <w:rsid w:val="00391326"/>
    <w:rsid w:val="003923E1"/>
    <w:rsid w:val="00394030"/>
    <w:rsid w:val="003976A3"/>
    <w:rsid w:val="00397840"/>
    <w:rsid w:val="003A03B0"/>
    <w:rsid w:val="003A0675"/>
    <w:rsid w:val="003A14C8"/>
    <w:rsid w:val="003A3345"/>
    <w:rsid w:val="003A7531"/>
    <w:rsid w:val="003B7393"/>
    <w:rsid w:val="003C1A97"/>
    <w:rsid w:val="003C38D0"/>
    <w:rsid w:val="003C3F60"/>
    <w:rsid w:val="003C5DC5"/>
    <w:rsid w:val="003C6D2B"/>
    <w:rsid w:val="003D0A73"/>
    <w:rsid w:val="003D1E02"/>
    <w:rsid w:val="003D4BA9"/>
    <w:rsid w:val="003D5BCD"/>
    <w:rsid w:val="003D6D98"/>
    <w:rsid w:val="003E099A"/>
    <w:rsid w:val="003E3F3B"/>
    <w:rsid w:val="003E4B9A"/>
    <w:rsid w:val="003F168C"/>
    <w:rsid w:val="003F2CEA"/>
    <w:rsid w:val="003F3202"/>
    <w:rsid w:val="003F3624"/>
    <w:rsid w:val="003F3D81"/>
    <w:rsid w:val="004003C3"/>
    <w:rsid w:val="004008DA"/>
    <w:rsid w:val="00402909"/>
    <w:rsid w:val="004068AC"/>
    <w:rsid w:val="004100D5"/>
    <w:rsid w:val="00410ACB"/>
    <w:rsid w:val="00410B71"/>
    <w:rsid w:val="00411AB0"/>
    <w:rsid w:val="00411EC5"/>
    <w:rsid w:val="00414931"/>
    <w:rsid w:val="00415416"/>
    <w:rsid w:val="004159A9"/>
    <w:rsid w:val="004166C2"/>
    <w:rsid w:val="00424266"/>
    <w:rsid w:val="00424DCF"/>
    <w:rsid w:val="00425D59"/>
    <w:rsid w:val="00426D52"/>
    <w:rsid w:val="004347F7"/>
    <w:rsid w:val="00436ACB"/>
    <w:rsid w:val="00436CC8"/>
    <w:rsid w:val="00443E4C"/>
    <w:rsid w:val="00444427"/>
    <w:rsid w:val="00445B77"/>
    <w:rsid w:val="00447512"/>
    <w:rsid w:val="00453215"/>
    <w:rsid w:val="00454661"/>
    <w:rsid w:val="00457E57"/>
    <w:rsid w:val="0046004B"/>
    <w:rsid w:val="0046165F"/>
    <w:rsid w:val="00462E9F"/>
    <w:rsid w:val="00463897"/>
    <w:rsid w:val="00465CF6"/>
    <w:rsid w:val="00470E95"/>
    <w:rsid w:val="00471157"/>
    <w:rsid w:val="004748B6"/>
    <w:rsid w:val="00476A9E"/>
    <w:rsid w:val="00476D8A"/>
    <w:rsid w:val="004826BB"/>
    <w:rsid w:val="00483A5E"/>
    <w:rsid w:val="00486085"/>
    <w:rsid w:val="00491988"/>
    <w:rsid w:val="00492426"/>
    <w:rsid w:val="004949F2"/>
    <w:rsid w:val="00494B83"/>
    <w:rsid w:val="004A34BC"/>
    <w:rsid w:val="004A47D9"/>
    <w:rsid w:val="004A561B"/>
    <w:rsid w:val="004B002D"/>
    <w:rsid w:val="004B2F62"/>
    <w:rsid w:val="004B366E"/>
    <w:rsid w:val="004B4500"/>
    <w:rsid w:val="004B5581"/>
    <w:rsid w:val="004B752A"/>
    <w:rsid w:val="004C07A5"/>
    <w:rsid w:val="004C1B09"/>
    <w:rsid w:val="004C367E"/>
    <w:rsid w:val="004C5BE0"/>
    <w:rsid w:val="004C6055"/>
    <w:rsid w:val="004C7655"/>
    <w:rsid w:val="004D0DB6"/>
    <w:rsid w:val="004D2323"/>
    <w:rsid w:val="004D6ACB"/>
    <w:rsid w:val="004E082B"/>
    <w:rsid w:val="004E574D"/>
    <w:rsid w:val="004E6463"/>
    <w:rsid w:val="004E6ACF"/>
    <w:rsid w:val="004F098C"/>
    <w:rsid w:val="004F4B30"/>
    <w:rsid w:val="004F6F8A"/>
    <w:rsid w:val="004F7C23"/>
    <w:rsid w:val="004F7CAF"/>
    <w:rsid w:val="004F7FB8"/>
    <w:rsid w:val="0050211B"/>
    <w:rsid w:val="00502348"/>
    <w:rsid w:val="00505BBF"/>
    <w:rsid w:val="00506FCD"/>
    <w:rsid w:val="005077EE"/>
    <w:rsid w:val="00507D5C"/>
    <w:rsid w:val="00513291"/>
    <w:rsid w:val="00513D76"/>
    <w:rsid w:val="00514795"/>
    <w:rsid w:val="00514BFE"/>
    <w:rsid w:val="00514F6E"/>
    <w:rsid w:val="00515F50"/>
    <w:rsid w:val="005170B7"/>
    <w:rsid w:val="00521911"/>
    <w:rsid w:val="00522E98"/>
    <w:rsid w:val="00524EE4"/>
    <w:rsid w:val="00526155"/>
    <w:rsid w:val="005303F0"/>
    <w:rsid w:val="005325C4"/>
    <w:rsid w:val="0053503B"/>
    <w:rsid w:val="00535A47"/>
    <w:rsid w:val="005364D6"/>
    <w:rsid w:val="0053676E"/>
    <w:rsid w:val="0053760C"/>
    <w:rsid w:val="00537CB0"/>
    <w:rsid w:val="0054057F"/>
    <w:rsid w:val="00540A5B"/>
    <w:rsid w:val="00541772"/>
    <w:rsid w:val="005430AB"/>
    <w:rsid w:val="00545FE9"/>
    <w:rsid w:val="00546319"/>
    <w:rsid w:val="00550DA4"/>
    <w:rsid w:val="00551D38"/>
    <w:rsid w:val="00551F42"/>
    <w:rsid w:val="0055209A"/>
    <w:rsid w:val="0055240D"/>
    <w:rsid w:val="00557D96"/>
    <w:rsid w:val="00560CF3"/>
    <w:rsid w:val="00561F13"/>
    <w:rsid w:val="00561F79"/>
    <w:rsid w:val="005626CA"/>
    <w:rsid w:val="00570ACD"/>
    <w:rsid w:val="005713BB"/>
    <w:rsid w:val="005723EA"/>
    <w:rsid w:val="0057396D"/>
    <w:rsid w:val="005750F5"/>
    <w:rsid w:val="005775E4"/>
    <w:rsid w:val="00577E35"/>
    <w:rsid w:val="00580B3B"/>
    <w:rsid w:val="00581EE8"/>
    <w:rsid w:val="00583975"/>
    <w:rsid w:val="00583F99"/>
    <w:rsid w:val="0058569C"/>
    <w:rsid w:val="005858B2"/>
    <w:rsid w:val="005903CB"/>
    <w:rsid w:val="00591325"/>
    <w:rsid w:val="00591563"/>
    <w:rsid w:val="00595BFB"/>
    <w:rsid w:val="00595D0C"/>
    <w:rsid w:val="005A07E4"/>
    <w:rsid w:val="005A113D"/>
    <w:rsid w:val="005A2124"/>
    <w:rsid w:val="005A3283"/>
    <w:rsid w:val="005A32E4"/>
    <w:rsid w:val="005A3BB3"/>
    <w:rsid w:val="005A7BC7"/>
    <w:rsid w:val="005B3BA7"/>
    <w:rsid w:val="005B4365"/>
    <w:rsid w:val="005B7C39"/>
    <w:rsid w:val="005C2C92"/>
    <w:rsid w:val="005C3342"/>
    <w:rsid w:val="005C4E29"/>
    <w:rsid w:val="005C576B"/>
    <w:rsid w:val="005C5B58"/>
    <w:rsid w:val="005C7E68"/>
    <w:rsid w:val="005D3242"/>
    <w:rsid w:val="005E05C2"/>
    <w:rsid w:val="005E3397"/>
    <w:rsid w:val="005E3794"/>
    <w:rsid w:val="005E3E4E"/>
    <w:rsid w:val="005E5F75"/>
    <w:rsid w:val="005F204E"/>
    <w:rsid w:val="005F4CF5"/>
    <w:rsid w:val="005F52D7"/>
    <w:rsid w:val="005F6777"/>
    <w:rsid w:val="00600998"/>
    <w:rsid w:val="00600A28"/>
    <w:rsid w:val="00600FF5"/>
    <w:rsid w:val="0060170A"/>
    <w:rsid w:val="0060197D"/>
    <w:rsid w:val="00614DE6"/>
    <w:rsid w:val="006160B6"/>
    <w:rsid w:val="006162B0"/>
    <w:rsid w:val="00616959"/>
    <w:rsid w:val="00620199"/>
    <w:rsid w:val="006217E8"/>
    <w:rsid w:val="006225BE"/>
    <w:rsid w:val="00627252"/>
    <w:rsid w:val="00630E9A"/>
    <w:rsid w:val="006311D8"/>
    <w:rsid w:val="0063336C"/>
    <w:rsid w:val="006336D8"/>
    <w:rsid w:val="0063503B"/>
    <w:rsid w:val="00635BC0"/>
    <w:rsid w:val="00642F73"/>
    <w:rsid w:val="00643113"/>
    <w:rsid w:val="00643F07"/>
    <w:rsid w:val="00644AE4"/>
    <w:rsid w:val="006454F2"/>
    <w:rsid w:val="00645940"/>
    <w:rsid w:val="0065043E"/>
    <w:rsid w:val="00651AA3"/>
    <w:rsid w:val="00651FE1"/>
    <w:rsid w:val="00652281"/>
    <w:rsid w:val="00652EC7"/>
    <w:rsid w:val="0065446E"/>
    <w:rsid w:val="006544A2"/>
    <w:rsid w:val="00654D81"/>
    <w:rsid w:val="00655802"/>
    <w:rsid w:val="006562C0"/>
    <w:rsid w:val="00657C89"/>
    <w:rsid w:val="00657E11"/>
    <w:rsid w:val="006625F3"/>
    <w:rsid w:val="0066271F"/>
    <w:rsid w:val="006636E6"/>
    <w:rsid w:val="00665ACF"/>
    <w:rsid w:val="00666722"/>
    <w:rsid w:val="00667D01"/>
    <w:rsid w:val="0067276F"/>
    <w:rsid w:val="0067413C"/>
    <w:rsid w:val="00674450"/>
    <w:rsid w:val="00675CBC"/>
    <w:rsid w:val="00676A42"/>
    <w:rsid w:val="00682CE9"/>
    <w:rsid w:val="00687BC7"/>
    <w:rsid w:val="0069123F"/>
    <w:rsid w:val="006929D7"/>
    <w:rsid w:val="00692F29"/>
    <w:rsid w:val="00695744"/>
    <w:rsid w:val="00697839"/>
    <w:rsid w:val="006A1000"/>
    <w:rsid w:val="006A3837"/>
    <w:rsid w:val="006A3DB4"/>
    <w:rsid w:val="006A3F59"/>
    <w:rsid w:val="006A651F"/>
    <w:rsid w:val="006A785F"/>
    <w:rsid w:val="006B2770"/>
    <w:rsid w:val="006B7015"/>
    <w:rsid w:val="006C21DA"/>
    <w:rsid w:val="006C49CF"/>
    <w:rsid w:val="006C77C5"/>
    <w:rsid w:val="006D25BF"/>
    <w:rsid w:val="006D3E71"/>
    <w:rsid w:val="006D3ED4"/>
    <w:rsid w:val="006D50E7"/>
    <w:rsid w:val="006D6104"/>
    <w:rsid w:val="006E0DC8"/>
    <w:rsid w:val="006E1B9F"/>
    <w:rsid w:val="006E49BA"/>
    <w:rsid w:val="006F23C0"/>
    <w:rsid w:val="006F2886"/>
    <w:rsid w:val="006F2B3C"/>
    <w:rsid w:val="006F41CE"/>
    <w:rsid w:val="006F5A8B"/>
    <w:rsid w:val="007041C0"/>
    <w:rsid w:val="0070487D"/>
    <w:rsid w:val="007049EC"/>
    <w:rsid w:val="00705070"/>
    <w:rsid w:val="00711920"/>
    <w:rsid w:val="00713537"/>
    <w:rsid w:val="00713D9F"/>
    <w:rsid w:val="007143F5"/>
    <w:rsid w:val="00715701"/>
    <w:rsid w:val="007160E0"/>
    <w:rsid w:val="00717C97"/>
    <w:rsid w:val="00720BE8"/>
    <w:rsid w:val="00720F42"/>
    <w:rsid w:val="007214A3"/>
    <w:rsid w:val="007249AD"/>
    <w:rsid w:val="0072616E"/>
    <w:rsid w:val="00726D89"/>
    <w:rsid w:val="0073144B"/>
    <w:rsid w:val="0073157B"/>
    <w:rsid w:val="00740550"/>
    <w:rsid w:val="0074212F"/>
    <w:rsid w:val="0074472C"/>
    <w:rsid w:val="00751177"/>
    <w:rsid w:val="00752430"/>
    <w:rsid w:val="0075587C"/>
    <w:rsid w:val="00757ABC"/>
    <w:rsid w:val="00760639"/>
    <w:rsid w:val="0076126C"/>
    <w:rsid w:val="007621A2"/>
    <w:rsid w:val="00766FA9"/>
    <w:rsid w:val="00767F1E"/>
    <w:rsid w:val="007710DC"/>
    <w:rsid w:val="00771903"/>
    <w:rsid w:val="00773043"/>
    <w:rsid w:val="0077353B"/>
    <w:rsid w:val="007746E2"/>
    <w:rsid w:val="00774BC6"/>
    <w:rsid w:val="00781D63"/>
    <w:rsid w:val="0078390D"/>
    <w:rsid w:val="00783E41"/>
    <w:rsid w:val="00784EAA"/>
    <w:rsid w:val="00793E77"/>
    <w:rsid w:val="00795DD3"/>
    <w:rsid w:val="00796A07"/>
    <w:rsid w:val="00796B71"/>
    <w:rsid w:val="007A3396"/>
    <w:rsid w:val="007B0019"/>
    <w:rsid w:val="007B0B82"/>
    <w:rsid w:val="007B0FF5"/>
    <w:rsid w:val="007B2D5E"/>
    <w:rsid w:val="007C118F"/>
    <w:rsid w:val="007C3B41"/>
    <w:rsid w:val="007C3BF3"/>
    <w:rsid w:val="007C67B5"/>
    <w:rsid w:val="007D5BED"/>
    <w:rsid w:val="007D63FA"/>
    <w:rsid w:val="007D7651"/>
    <w:rsid w:val="007E0388"/>
    <w:rsid w:val="007E15B8"/>
    <w:rsid w:val="007E2B02"/>
    <w:rsid w:val="007E6F68"/>
    <w:rsid w:val="007F027B"/>
    <w:rsid w:val="007F6AAC"/>
    <w:rsid w:val="00800FA8"/>
    <w:rsid w:val="008035BC"/>
    <w:rsid w:val="00810256"/>
    <w:rsid w:val="008118EB"/>
    <w:rsid w:val="008167D6"/>
    <w:rsid w:val="00820D1E"/>
    <w:rsid w:val="008231F6"/>
    <w:rsid w:val="00823C33"/>
    <w:rsid w:val="008251E9"/>
    <w:rsid w:val="00825C15"/>
    <w:rsid w:val="00825CB0"/>
    <w:rsid w:val="008269A3"/>
    <w:rsid w:val="00827FE3"/>
    <w:rsid w:val="0083425A"/>
    <w:rsid w:val="00837E7F"/>
    <w:rsid w:val="0084038C"/>
    <w:rsid w:val="00841425"/>
    <w:rsid w:val="00842202"/>
    <w:rsid w:val="008446E8"/>
    <w:rsid w:val="008454A8"/>
    <w:rsid w:val="0084552A"/>
    <w:rsid w:val="00846A5A"/>
    <w:rsid w:val="0085130D"/>
    <w:rsid w:val="008519F0"/>
    <w:rsid w:val="008520BB"/>
    <w:rsid w:val="008556FF"/>
    <w:rsid w:val="0085588C"/>
    <w:rsid w:val="00860093"/>
    <w:rsid w:val="0086479A"/>
    <w:rsid w:val="008667B8"/>
    <w:rsid w:val="00870A35"/>
    <w:rsid w:val="008712B4"/>
    <w:rsid w:val="00872D51"/>
    <w:rsid w:val="00874B27"/>
    <w:rsid w:val="00876E29"/>
    <w:rsid w:val="008818B6"/>
    <w:rsid w:val="00881A84"/>
    <w:rsid w:val="008835B8"/>
    <w:rsid w:val="0088428B"/>
    <w:rsid w:val="00886EEE"/>
    <w:rsid w:val="0089020B"/>
    <w:rsid w:val="00890DC0"/>
    <w:rsid w:val="00892B57"/>
    <w:rsid w:val="00893BFD"/>
    <w:rsid w:val="008943AE"/>
    <w:rsid w:val="008962BF"/>
    <w:rsid w:val="008A0282"/>
    <w:rsid w:val="008A0FC9"/>
    <w:rsid w:val="008A1289"/>
    <w:rsid w:val="008A5F6E"/>
    <w:rsid w:val="008A63AB"/>
    <w:rsid w:val="008A702A"/>
    <w:rsid w:val="008B3247"/>
    <w:rsid w:val="008B4F3A"/>
    <w:rsid w:val="008B5768"/>
    <w:rsid w:val="008C0C12"/>
    <w:rsid w:val="008C1E16"/>
    <w:rsid w:val="008C3F73"/>
    <w:rsid w:val="008C5AC1"/>
    <w:rsid w:val="008C5E42"/>
    <w:rsid w:val="008C7F82"/>
    <w:rsid w:val="008D3161"/>
    <w:rsid w:val="008D491C"/>
    <w:rsid w:val="008D52D5"/>
    <w:rsid w:val="008D6784"/>
    <w:rsid w:val="008D7540"/>
    <w:rsid w:val="008E1644"/>
    <w:rsid w:val="008E1E7F"/>
    <w:rsid w:val="008E29A9"/>
    <w:rsid w:val="008E6D1A"/>
    <w:rsid w:val="008F53BB"/>
    <w:rsid w:val="008F677D"/>
    <w:rsid w:val="00900F2C"/>
    <w:rsid w:val="00901BD0"/>
    <w:rsid w:val="00902020"/>
    <w:rsid w:val="00902094"/>
    <w:rsid w:val="0090311F"/>
    <w:rsid w:val="00905614"/>
    <w:rsid w:val="009058D0"/>
    <w:rsid w:val="0090700B"/>
    <w:rsid w:val="00907952"/>
    <w:rsid w:val="009103BE"/>
    <w:rsid w:val="00912096"/>
    <w:rsid w:val="009128EA"/>
    <w:rsid w:val="0091298D"/>
    <w:rsid w:val="00912BE5"/>
    <w:rsid w:val="00914ED1"/>
    <w:rsid w:val="009150F7"/>
    <w:rsid w:val="009156F6"/>
    <w:rsid w:val="009227B0"/>
    <w:rsid w:val="009266D9"/>
    <w:rsid w:val="00926A4E"/>
    <w:rsid w:val="00936904"/>
    <w:rsid w:val="00940D1E"/>
    <w:rsid w:val="00941529"/>
    <w:rsid w:val="00941A74"/>
    <w:rsid w:val="009421E4"/>
    <w:rsid w:val="00942F07"/>
    <w:rsid w:val="009448D5"/>
    <w:rsid w:val="009518FE"/>
    <w:rsid w:val="00953635"/>
    <w:rsid w:val="00966766"/>
    <w:rsid w:val="00967480"/>
    <w:rsid w:val="00967CF2"/>
    <w:rsid w:val="009702E6"/>
    <w:rsid w:val="009718DA"/>
    <w:rsid w:val="009720E6"/>
    <w:rsid w:val="009738AF"/>
    <w:rsid w:val="00974378"/>
    <w:rsid w:val="00975C8E"/>
    <w:rsid w:val="00977308"/>
    <w:rsid w:val="00984564"/>
    <w:rsid w:val="00990B3A"/>
    <w:rsid w:val="009930A2"/>
    <w:rsid w:val="009933BF"/>
    <w:rsid w:val="0099369A"/>
    <w:rsid w:val="00994669"/>
    <w:rsid w:val="00994B24"/>
    <w:rsid w:val="009955E3"/>
    <w:rsid w:val="009A0F17"/>
    <w:rsid w:val="009A1416"/>
    <w:rsid w:val="009A1A52"/>
    <w:rsid w:val="009A20CB"/>
    <w:rsid w:val="009A6C6E"/>
    <w:rsid w:val="009A7092"/>
    <w:rsid w:val="009B0C90"/>
    <w:rsid w:val="009B122C"/>
    <w:rsid w:val="009B1401"/>
    <w:rsid w:val="009B22B8"/>
    <w:rsid w:val="009B37B3"/>
    <w:rsid w:val="009B4055"/>
    <w:rsid w:val="009B47B0"/>
    <w:rsid w:val="009B4F72"/>
    <w:rsid w:val="009B5F3B"/>
    <w:rsid w:val="009C075E"/>
    <w:rsid w:val="009C2958"/>
    <w:rsid w:val="009C29AE"/>
    <w:rsid w:val="009C31E1"/>
    <w:rsid w:val="009C3514"/>
    <w:rsid w:val="009C545B"/>
    <w:rsid w:val="009C7C84"/>
    <w:rsid w:val="009D2ABF"/>
    <w:rsid w:val="009D2AEA"/>
    <w:rsid w:val="009D2C26"/>
    <w:rsid w:val="009D3E49"/>
    <w:rsid w:val="009D563D"/>
    <w:rsid w:val="009D6492"/>
    <w:rsid w:val="009D66CA"/>
    <w:rsid w:val="009D7A4E"/>
    <w:rsid w:val="009E11E1"/>
    <w:rsid w:val="009E2C8F"/>
    <w:rsid w:val="009E4B30"/>
    <w:rsid w:val="009E4BD7"/>
    <w:rsid w:val="009E57DC"/>
    <w:rsid w:val="009E6C8A"/>
    <w:rsid w:val="009F15F0"/>
    <w:rsid w:val="009F2134"/>
    <w:rsid w:val="009F2660"/>
    <w:rsid w:val="00A04AF6"/>
    <w:rsid w:val="00A11638"/>
    <w:rsid w:val="00A12862"/>
    <w:rsid w:val="00A16051"/>
    <w:rsid w:val="00A20660"/>
    <w:rsid w:val="00A22D91"/>
    <w:rsid w:val="00A23468"/>
    <w:rsid w:val="00A24154"/>
    <w:rsid w:val="00A258E6"/>
    <w:rsid w:val="00A27391"/>
    <w:rsid w:val="00A27CC5"/>
    <w:rsid w:val="00A334DC"/>
    <w:rsid w:val="00A33895"/>
    <w:rsid w:val="00A3407F"/>
    <w:rsid w:val="00A34EC9"/>
    <w:rsid w:val="00A35E36"/>
    <w:rsid w:val="00A367C7"/>
    <w:rsid w:val="00A36C57"/>
    <w:rsid w:val="00A434AB"/>
    <w:rsid w:val="00A445FF"/>
    <w:rsid w:val="00A447CA"/>
    <w:rsid w:val="00A4526C"/>
    <w:rsid w:val="00A46C22"/>
    <w:rsid w:val="00A51A08"/>
    <w:rsid w:val="00A54E93"/>
    <w:rsid w:val="00A56369"/>
    <w:rsid w:val="00A570A7"/>
    <w:rsid w:val="00A6419D"/>
    <w:rsid w:val="00A64481"/>
    <w:rsid w:val="00A74917"/>
    <w:rsid w:val="00A75BAC"/>
    <w:rsid w:val="00A76225"/>
    <w:rsid w:val="00A777F6"/>
    <w:rsid w:val="00A779A5"/>
    <w:rsid w:val="00A80969"/>
    <w:rsid w:val="00A83EA5"/>
    <w:rsid w:val="00A86B3C"/>
    <w:rsid w:val="00A86EDA"/>
    <w:rsid w:val="00A8704B"/>
    <w:rsid w:val="00A90E65"/>
    <w:rsid w:val="00A91642"/>
    <w:rsid w:val="00A923B6"/>
    <w:rsid w:val="00A94818"/>
    <w:rsid w:val="00A970EC"/>
    <w:rsid w:val="00AA15BF"/>
    <w:rsid w:val="00AA1803"/>
    <w:rsid w:val="00AA3294"/>
    <w:rsid w:val="00AA3975"/>
    <w:rsid w:val="00AA412B"/>
    <w:rsid w:val="00AA43CE"/>
    <w:rsid w:val="00AA642E"/>
    <w:rsid w:val="00AA794E"/>
    <w:rsid w:val="00AB003B"/>
    <w:rsid w:val="00AB28E3"/>
    <w:rsid w:val="00AB62A4"/>
    <w:rsid w:val="00AC0D99"/>
    <w:rsid w:val="00AC35AE"/>
    <w:rsid w:val="00AC488A"/>
    <w:rsid w:val="00AC49D5"/>
    <w:rsid w:val="00AC4F58"/>
    <w:rsid w:val="00AC56DE"/>
    <w:rsid w:val="00AC6064"/>
    <w:rsid w:val="00AC63CD"/>
    <w:rsid w:val="00AD02DE"/>
    <w:rsid w:val="00AD29D8"/>
    <w:rsid w:val="00AD5FBB"/>
    <w:rsid w:val="00AD61EE"/>
    <w:rsid w:val="00AD7645"/>
    <w:rsid w:val="00AD7989"/>
    <w:rsid w:val="00AE12FA"/>
    <w:rsid w:val="00AE153D"/>
    <w:rsid w:val="00AF1A37"/>
    <w:rsid w:val="00AF1FC6"/>
    <w:rsid w:val="00AF28AC"/>
    <w:rsid w:val="00AF319F"/>
    <w:rsid w:val="00AF4A48"/>
    <w:rsid w:val="00AF4CB9"/>
    <w:rsid w:val="00AF591B"/>
    <w:rsid w:val="00AF6038"/>
    <w:rsid w:val="00AF76AB"/>
    <w:rsid w:val="00B0128E"/>
    <w:rsid w:val="00B063C6"/>
    <w:rsid w:val="00B149DD"/>
    <w:rsid w:val="00B14D32"/>
    <w:rsid w:val="00B14FCC"/>
    <w:rsid w:val="00B151DE"/>
    <w:rsid w:val="00B16806"/>
    <w:rsid w:val="00B22886"/>
    <w:rsid w:val="00B246D1"/>
    <w:rsid w:val="00B24DA0"/>
    <w:rsid w:val="00B26159"/>
    <w:rsid w:val="00B3149D"/>
    <w:rsid w:val="00B3623A"/>
    <w:rsid w:val="00B421FC"/>
    <w:rsid w:val="00B439A8"/>
    <w:rsid w:val="00B44C03"/>
    <w:rsid w:val="00B50819"/>
    <w:rsid w:val="00B51F7F"/>
    <w:rsid w:val="00B546E7"/>
    <w:rsid w:val="00B55856"/>
    <w:rsid w:val="00B5706C"/>
    <w:rsid w:val="00B63C28"/>
    <w:rsid w:val="00B67B81"/>
    <w:rsid w:val="00B708DA"/>
    <w:rsid w:val="00B71DEE"/>
    <w:rsid w:val="00B74684"/>
    <w:rsid w:val="00B76385"/>
    <w:rsid w:val="00B778AC"/>
    <w:rsid w:val="00B8029A"/>
    <w:rsid w:val="00B82260"/>
    <w:rsid w:val="00B82EED"/>
    <w:rsid w:val="00B87C78"/>
    <w:rsid w:val="00B914BC"/>
    <w:rsid w:val="00B92236"/>
    <w:rsid w:val="00B96647"/>
    <w:rsid w:val="00BA49F2"/>
    <w:rsid w:val="00BA55FC"/>
    <w:rsid w:val="00BA6EB8"/>
    <w:rsid w:val="00BB1ADD"/>
    <w:rsid w:val="00BB411F"/>
    <w:rsid w:val="00BB5C84"/>
    <w:rsid w:val="00BB68D5"/>
    <w:rsid w:val="00BB70E0"/>
    <w:rsid w:val="00BB75C2"/>
    <w:rsid w:val="00BC17AE"/>
    <w:rsid w:val="00BC1A92"/>
    <w:rsid w:val="00BC64BF"/>
    <w:rsid w:val="00BC651D"/>
    <w:rsid w:val="00BC6920"/>
    <w:rsid w:val="00BC712B"/>
    <w:rsid w:val="00BD29D0"/>
    <w:rsid w:val="00BD7720"/>
    <w:rsid w:val="00BD7780"/>
    <w:rsid w:val="00BE1ACB"/>
    <w:rsid w:val="00BE24FC"/>
    <w:rsid w:val="00BE77AE"/>
    <w:rsid w:val="00BF140C"/>
    <w:rsid w:val="00BF289F"/>
    <w:rsid w:val="00BF2BBF"/>
    <w:rsid w:val="00BF377A"/>
    <w:rsid w:val="00BF68DF"/>
    <w:rsid w:val="00BF6A91"/>
    <w:rsid w:val="00C00DE5"/>
    <w:rsid w:val="00C01374"/>
    <w:rsid w:val="00C01DD0"/>
    <w:rsid w:val="00C03B67"/>
    <w:rsid w:val="00C07CC1"/>
    <w:rsid w:val="00C10E51"/>
    <w:rsid w:val="00C16189"/>
    <w:rsid w:val="00C163EE"/>
    <w:rsid w:val="00C17BAC"/>
    <w:rsid w:val="00C200A4"/>
    <w:rsid w:val="00C20CC7"/>
    <w:rsid w:val="00C21674"/>
    <w:rsid w:val="00C2228E"/>
    <w:rsid w:val="00C228F4"/>
    <w:rsid w:val="00C23022"/>
    <w:rsid w:val="00C26F58"/>
    <w:rsid w:val="00C30F12"/>
    <w:rsid w:val="00C312A0"/>
    <w:rsid w:val="00C34416"/>
    <w:rsid w:val="00C40442"/>
    <w:rsid w:val="00C404B6"/>
    <w:rsid w:val="00C41AE1"/>
    <w:rsid w:val="00C41F1A"/>
    <w:rsid w:val="00C43A19"/>
    <w:rsid w:val="00C44D6C"/>
    <w:rsid w:val="00C463E5"/>
    <w:rsid w:val="00C46524"/>
    <w:rsid w:val="00C479C6"/>
    <w:rsid w:val="00C47A9A"/>
    <w:rsid w:val="00C50D45"/>
    <w:rsid w:val="00C50FA1"/>
    <w:rsid w:val="00C51EF1"/>
    <w:rsid w:val="00C53AA2"/>
    <w:rsid w:val="00C5681C"/>
    <w:rsid w:val="00C61E35"/>
    <w:rsid w:val="00C624C0"/>
    <w:rsid w:val="00C64CFA"/>
    <w:rsid w:val="00C669F3"/>
    <w:rsid w:val="00C713E2"/>
    <w:rsid w:val="00C73136"/>
    <w:rsid w:val="00C753CA"/>
    <w:rsid w:val="00C75FD0"/>
    <w:rsid w:val="00C7650D"/>
    <w:rsid w:val="00C80935"/>
    <w:rsid w:val="00C80D37"/>
    <w:rsid w:val="00C80E63"/>
    <w:rsid w:val="00C83AFE"/>
    <w:rsid w:val="00C840CE"/>
    <w:rsid w:val="00C8508B"/>
    <w:rsid w:val="00C85354"/>
    <w:rsid w:val="00C879C7"/>
    <w:rsid w:val="00C916E1"/>
    <w:rsid w:val="00C92941"/>
    <w:rsid w:val="00C92F64"/>
    <w:rsid w:val="00C93296"/>
    <w:rsid w:val="00C93A13"/>
    <w:rsid w:val="00C96899"/>
    <w:rsid w:val="00C97409"/>
    <w:rsid w:val="00C97858"/>
    <w:rsid w:val="00CA1A05"/>
    <w:rsid w:val="00CA30EC"/>
    <w:rsid w:val="00CA3D0D"/>
    <w:rsid w:val="00CA4D47"/>
    <w:rsid w:val="00CA5909"/>
    <w:rsid w:val="00CA5926"/>
    <w:rsid w:val="00CB31C9"/>
    <w:rsid w:val="00CB54EB"/>
    <w:rsid w:val="00CB5553"/>
    <w:rsid w:val="00CB5B82"/>
    <w:rsid w:val="00CB61EE"/>
    <w:rsid w:val="00CB6599"/>
    <w:rsid w:val="00CD23E5"/>
    <w:rsid w:val="00CD29E3"/>
    <w:rsid w:val="00CD3666"/>
    <w:rsid w:val="00CD445F"/>
    <w:rsid w:val="00CD4E13"/>
    <w:rsid w:val="00CD648C"/>
    <w:rsid w:val="00CE1098"/>
    <w:rsid w:val="00CE142C"/>
    <w:rsid w:val="00CE24C7"/>
    <w:rsid w:val="00CE5118"/>
    <w:rsid w:val="00CE7275"/>
    <w:rsid w:val="00CF0759"/>
    <w:rsid w:val="00CF275A"/>
    <w:rsid w:val="00CF4E3F"/>
    <w:rsid w:val="00CF50F3"/>
    <w:rsid w:val="00CF75A0"/>
    <w:rsid w:val="00D0197F"/>
    <w:rsid w:val="00D019FB"/>
    <w:rsid w:val="00D0392E"/>
    <w:rsid w:val="00D05388"/>
    <w:rsid w:val="00D064C2"/>
    <w:rsid w:val="00D10EFE"/>
    <w:rsid w:val="00D11139"/>
    <w:rsid w:val="00D14320"/>
    <w:rsid w:val="00D1469A"/>
    <w:rsid w:val="00D20F9A"/>
    <w:rsid w:val="00D212B9"/>
    <w:rsid w:val="00D22EC9"/>
    <w:rsid w:val="00D24B46"/>
    <w:rsid w:val="00D261DD"/>
    <w:rsid w:val="00D273C3"/>
    <w:rsid w:val="00D30A41"/>
    <w:rsid w:val="00D31207"/>
    <w:rsid w:val="00D40543"/>
    <w:rsid w:val="00D412EE"/>
    <w:rsid w:val="00D423E0"/>
    <w:rsid w:val="00D43D8A"/>
    <w:rsid w:val="00D46817"/>
    <w:rsid w:val="00D53C7B"/>
    <w:rsid w:val="00D53FCE"/>
    <w:rsid w:val="00D55C06"/>
    <w:rsid w:val="00D5680B"/>
    <w:rsid w:val="00D613A8"/>
    <w:rsid w:val="00D62A46"/>
    <w:rsid w:val="00D66E6D"/>
    <w:rsid w:val="00D74F85"/>
    <w:rsid w:val="00D80571"/>
    <w:rsid w:val="00D81F77"/>
    <w:rsid w:val="00D8366B"/>
    <w:rsid w:val="00D8505D"/>
    <w:rsid w:val="00D86B49"/>
    <w:rsid w:val="00D870B5"/>
    <w:rsid w:val="00D87BB7"/>
    <w:rsid w:val="00D90ADD"/>
    <w:rsid w:val="00D9301A"/>
    <w:rsid w:val="00D93E9D"/>
    <w:rsid w:val="00DA128A"/>
    <w:rsid w:val="00DA1BC8"/>
    <w:rsid w:val="00DA39F9"/>
    <w:rsid w:val="00DA51DE"/>
    <w:rsid w:val="00DA5267"/>
    <w:rsid w:val="00DA6268"/>
    <w:rsid w:val="00DB3AE0"/>
    <w:rsid w:val="00DC214E"/>
    <w:rsid w:val="00DC30C9"/>
    <w:rsid w:val="00DC446E"/>
    <w:rsid w:val="00DD1335"/>
    <w:rsid w:val="00DD1516"/>
    <w:rsid w:val="00DD653B"/>
    <w:rsid w:val="00DD7171"/>
    <w:rsid w:val="00DE2ECC"/>
    <w:rsid w:val="00DE2F07"/>
    <w:rsid w:val="00DE3485"/>
    <w:rsid w:val="00DE39EB"/>
    <w:rsid w:val="00DF376B"/>
    <w:rsid w:val="00DF4291"/>
    <w:rsid w:val="00E01ECB"/>
    <w:rsid w:val="00E01F33"/>
    <w:rsid w:val="00E03186"/>
    <w:rsid w:val="00E0334D"/>
    <w:rsid w:val="00E0441B"/>
    <w:rsid w:val="00E105B6"/>
    <w:rsid w:val="00E10834"/>
    <w:rsid w:val="00E12870"/>
    <w:rsid w:val="00E137E7"/>
    <w:rsid w:val="00E147DF"/>
    <w:rsid w:val="00E213D2"/>
    <w:rsid w:val="00E21624"/>
    <w:rsid w:val="00E26280"/>
    <w:rsid w:val="00E26A71"/>
    <w:rsid w:val="00E27322"/>
    <w:rsid w:val="00E3445A"/>
    <w:rsid w:val="00E37625"/>
    <w:rsid w:val="00E401BC"/>
    <w:rsid w:val="00E41481"/>
    <w:rsid w:val="00E41ED7"/>
    <w:rsid w:val="00E43F00"/>
    <w:rsid w:val="00E449CB"/>
    <w:rsid w:val="00E45440"/>
    <w:rsid w:val="00E472ED"/>
    <w:rsid w:val="00E51D04"/>
    <w:rsid w:val="00E52BC2"/>
    <w:rsid w:val="00E555E8"/>
    <w:rsid w:val="00E56B6B"/>
    <w:rsid w:val="00E5766E"/>
    <w:rsid w:val="00E6436E"/>
    <w:rsid w:val="00E679E1"/>
    <w:rsid w:val="00E71431"/>
    <w:rsid w:val="00E73975"/>
    <w:rsid w:val="00E744F5"/>
    <w:rsid w:val="00E74BC4"/>
    <w:rsid w:val="00E75B32"/>
    <w:rsid w:val="00E80BC2"/>
    <w:rsid w:val="00E81A2E"/>
    <w:rsid w:val="00E81E45"/>
    <w:rsid w:val="00E823B6"/>
    <w:rsid w:val="00E833F3"/>
    <w:rsid w:val="00E84A15"/>
    <w:rsid w:val="00E8626C"/>
    <w:rsid w:val="00E91BC2"/>
    <w:rsid w:val="00E92BC2"/>
    <w:rsid w:val="00E94BDF"/>
    <w:rsid w:val="00E95DBB"/>
    <w:rsid w:val="00E97FB9"/>
    <w:rsid w:val="00EA0426"/>
    <w:rsid w:val="00EA1E8C"/>
    <w:rsid w:val="00EA26F8"/>
    <w:rsid w:val="00EB59A9"/>
    <w:rsid w:val="00EB6AD3"/>
    <w:rsid w:val="00EC4918"/>
    <w:rsid w:val="00ED0417"/>
    <w:rsid w:val="00ED60C6"/>
    <w:rsid w:val="00ED61AF"/>
    <w:rsid w:val="00ED761A"/>
    <w:rsid w:val="00ED7B03"/>
    <w:rsid w:val="00EE20D9"/>
    <w:rsid w:val="00EE286B"/>
    <w:rsid w:val="00EE2FC0"/>
    <w:rsid w:val="00EE5709"/>
    <w:rsid w:val="00EE57A3"/>
    <w:rsid w:val="00EE5E33"/>
    <w:rsid w:val="00EE68A5"/>
    <w:rsid w:val="00EF0BA7"/>
    <w:rsid w:val="00EF10D5"/>
    <w:rsid w:val="00EF2934"/>
    <w:rsid w:val="00EF2A03"/>
    <w:rsid w:val="00EF7B7F"/>
    <w:rsid w:val="00EF7C67"/>
    <w:rsid w:val="00F00BF6"/>
    <w:rsid w:val="00F00D8E"/>
    <w:rsid w:val="00F00F74"/>
    <w:rsid w:val="00F0102E"/>
    <w:rsid w:val="00F01BAC"/>
    <w:rsid w:val="00F0551F"/>
    <w:rsid w:val="00F105EA"/>
    <w:rsid w:val="00F1098E"/>
    <w:rsid w:val="00F15A6F"/>
    <w:rsid w:val="00F17966"/>
    <w:rsid w:val="00F17FF4"/>
    <w:rsid w:val="00F21846"/>
    <w:rsid w:val="00F21AB1"/>
    <w:rsid w:val="00F22612"/>
    <w:rsid w:val="00F235B8"/>
    <w:rsid w:val="00F25848"/>
    <w:rsid w:val="00F34860"/>
    <w:rsid w:val="00F37CF8"/>
    <w:rsid w:val="00F43A71"/>
    <w:rsid w:val="00F47552"/>
    <w:rsid w:val="00F478F7"/>
    <w:rsid w:val="00F51B70"/>
    <w:rsid w:val="00F56EA3"/>
    <w:rsid w:val="00F573D5"/>
    <w:rsid w:val="00F57D6E"/>
    <w:rsid w:val="00F632E0"/>
    <w:rsid w:val="00F70BF0"/>
    <w:rsid w:val="00F712D9"/>
    <w:rsid w:val="00F7148C"/>
    <w:rsid w:val="00F75118"/>
    <w:rsid w:val="00F75348"/>
    <w:rsid w:val="00F7600C"/>
    <w:rsid w:val="00F77D0F"/>
    <w:rsid w:val="00F80E65"/>
    <w:rsid w:val="00F823ED"/>
    <w:rsid w:val="00F82481"/>
    <w:rsid w:val="00F83234"/>
    <w:rsid w:val="00F91046"/>
    <w:rsid w:val="00F93121"/>
    <w:rsid w:val="00F94F0D"/>
    <w:rsid w:val="00F954BE"/>
    <w:rsid w:val="00F97B58"/>
    <w:rsid w:val="00FA0461"/>
    <w:rsid w:val="00FA0C36"/>
    <w:rsid w:val="00FA1587"/>
    <w:rsid w:val="00FA176C"/>
    <w:rsid w:val="00FA6008"/>
    <w:rsid w:val="00FA67FF"/>
    <w:rsid w:val="00FA751D"/>
    <w:rsid w:val="00FA7DFB"/>
    <w:rsid w:val="00FB2747"/>
    <w:rsid w:val="00FB31AD"/>
    <w:rsid w:val="00FB540A"/>
    <w:rsid w:val="00FB7659"/>
    <w:rsid w:val="00FC1444"/>
    <w:rsid w:val="00FC3105"/>
    <w:rsid w:val="00FC4779"/>
    <w:rsid w:val="00FD02FA"/>
    <w:rsid w:val="00FD0F3F"/>
    <w:rsid w:val="00FD12F6"/>
    <w:rsid w:val="00FD1399"/>
    <w:rsid w:val="00FD28DD"/>
    <w:rsid w:val="00FD31BC"/>
    <w:rsid w:val="00FD7CB7"/>
    <w:rsid w:val="00FE0520"/>
    <w:rsid w:val="00FE0900"/>
    <w:rsid w:val="00FE1FCC"/>
    <w:rsid w:val="00FE26FD"/>
    <w:rsid w:val="00FE2793"/>
    <w:rsid w:val="00FE3F56"/>
    <w:rsid w:val="00FE5530"/>
    <w:rsid w:val="00FE72FF"/>
    <w:rsid w:val="00FF3A80"/>
    <w:rsid w:val="00FF4106"/>
    <w:rsid w:val="00FF5382"/>
    <w:rsid w:val="00FF6D25"/>
    <w:rsid w:val="00FF7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288B6A"/>
  <w15:docId w15:val="{7BE96680-5E69-7D45-B0B9-921832D9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F07"/>
    <w:rPr>
      <w:rFonts w:ascii="Times New Roman" w:hAnsi="Times New Roman"/>
    </w:rPr>
  </w:style>
  <w:style w:type="paragraph" w:styleId="Heading1">
    <w:name w:val="heading 1"/>
    <w:basedOn w:val="Normal"/>
    <w:next w:val="BodyText"/>
    <w:link w:val="Heading1Char"/>
    <w:qFormat/>
    <w:rsid w:val="0085588C"/>
    <w:pPr>
      <w:keepNext/>
      <w:keepLines/>
      <w:numPr>
        <w:numId w:val="1"/>
      </w:numPr>
      <w:spacing w:before="480" w:after="180"/>
      <w:outlineLvl w:val="0"/>
    </w:pPr>
    <w:rPr>
      <w:rFonts w:ascii="Arial" w:eastAsiaTheme="majorEastAsia" w:hAnsi="Arial" w:cstheme="majorBidi"/>
      <w:b/>
      <w:bCs/>
      <w:caps/>
      <w:color w:val="000000" w:themeColor="text1"/>
      <w:sz w:val="28"/>
      <w:szCs w:val="28"/>
    </w:rPr>
  </w:style>
  <w:style w:type="paragraph" w:styleId="Heading2">
    <w:name w:val="heading 2"/>
    <w:basedOn w:val="Heading1"/>
    <w:next w:val="BodyText"/>
    <w:link w:val="Heading2Char"/>
    <w:unhideWhenUsed/>
    <w:qFormat/>
    <w:rsid w:val="0083425A"/>
    <w:pPr>
      <w:numPr>
        <w:ilvl w:val="1"/>
      </w:numPr>
      <w:spacing w:before="200"/>
      <w:outlineLvl w:val="1"/>
    </w:pPr>
    <w:rPr>
      <w:caps w:val="0"/>
      <w:sz w:val="26"/>
      <w:szCs w:val="26"/>
    </w:rPr>
  </w:style>
  <w:style w:type="paragraph" w:styleId="Heading3">
    <w:name w:val="heading 3"/>
    <w:basedOn w:val="Heading2"/>
    <w:next w:val="BodyText"/>
    <w:link w:val="Heading3Char"/>
    <w:unhideWhenUsed/>
    <w:qFormat/>
    <w:rsid w:val="00C200A4"/>
    <w:pPr>
      <w:numPr>
        <w:ilvl w:val="2"/>
      </w:numPr>
      <w:outlineLvl w:val="2"/>
    </w:pPr>
    <w:rPr>
      <w:bCs w:val="0"/>
      <w:sz w:val="24"/>
    </w:rPr>
  </w:style>
  <w:style w:type="paragraph" w:styleId="Heading4">
    <w:name w:val="heading 4"/>
    <w:basedOn w:val="Heading3"/>
    <w:next w:val="Normal"/>
    <w:link w:val="Heading4Char"/>
    <w:unhideWhenUsed/>
    <w:qFormat/>
    <w:rsid w:val="00C73136"/>
    <w:pPr>
      <w:numPr>
        <w:ilvl w:val="3"/>
      </w:numPr>
      <w:outlineLvl w:val="3"/>
    </w:pPr>
    <w:rPr>
      <w:bCs/>
      <w:iCs/>
    </w:rPr>
  </w:style>
  <w:style w:type="paragraph" w:styleId="Heading5">
    <w:name w:val="heading 5"/>
    <w:basedOn w:val="Normal"/>
    <w:next w:val="Normal"/>
    <w:link w:val="Heading5Char"/>
    <w:unhideWhenUsed/>
    <w:qFormat/>
    <w:rsid w:val="00942F07"/>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942F07"/>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942F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42F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942F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F7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1F79"/>
    <w:rPr>
      <w:rFonts w:ascii="Lucida Grande" w:hAnsi="Lucida Grande" w:cs="Lucida Grande"/>
      <w:sz w:val="18"/>
      <w:szCs w:val="18"/>
    </w:rPr>
  </w:style>
  <w:style w:type="character" w:styleId="IntenseEmphasis">
    <w:name w:val="Intense Emphasis"/>
    <w:basedOn w:val="DefaultParagraphFont"/>
    <w:uiPriority w:val="21"/>
    <w:qFormat/>
    <w:rsid w:val="00C73136"/>
    <w:rPr>
      <w:b/>
      <w:bCs/>
      <w:i/>
      <w:iCs/>
      <w:color w:val="4472C4" w:themeColor="accent1"/>
    </w:rPr>
  </w:style>
  <w:style w:type="paragraph" w:styleId="BodyText">
    <w:name w:val="Body Text"/>
    <w:basedOn w:val="Normal"/>
    <w:link w:val="BodyTextChar"/>
    <w:unhideWhenUsed/>
    <w:rsid w:val="0085588C"/>
    <w:pPr>
      <w:ind w:firstLine="504"/>
    </w:pPr>
  </w:style>
  <w:style w:type="character" w:customStyle="1" w:styleId="BodyTextChar">
    <w:name w:val="Body Text Char"/>
    <w:basedOn w:val="DefaultParagraphFont"/>
    <w:link w:val="BodyText"/>
    <w:rsid w:val="0085588C"/>
    <w:rPr>
      <w:rFonts w:ascii="Times New Roman" w:hAnsi="Times New Roman"/>
    </w:rPr>
  </w:style>
  <w:style w:type="character" w:customStyle="1" w:styleId="Heading1Char">
    <w:name w:val="Heading 1 Char"/>
    <w:basedOn w:val="DefaultParagraphFont"/>
    <w:link w:val="Heading1"/>
    <w:rsid w:val="0085588C"/>
    <w:rPr>
      <w:rFonts w:ascii="Arial" w:eastAsiaTheme="majorEastAsia" w:hAnsi="Arial" w:cstheme="majorBidi"/>
      <w:b/>
      <w:bCs/>
      <w:caps/>
      <w:color w:val="000000" w:themeColor="text1"/>
      <w:sz w:val="28"/>
      <w:szCs w:val="28"/>
    </w:rPr>
  </w:style>
  <w:style w:type="character" w:customStyle="1" w:styleId="Heading2Char">
    <w:name w:val="Heading 2 Char"/>
    <w:basedOn w:val="DefaultParagraphFont"/>
    <w:link w:val="Heading2"/>
    <w:uiPriority w:val="9"/>
    <w:rsid w:val="0083425A"/>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C200A4"/>
    <w:rPr>
      <w:rFonts w:ascii="Arial" w:eastAsiaTheme="majorEastAsia" w:hAnsi="Arial" w:cstheme="majorBidi"/>
      <w:b/>
      <w:bCs/>
      <w:color w:val="000000" w:themeColor="text1"/>
      <w:szCs w:val="26"/>
    </w:rPr>
  </w:style>
  <w:style w:type="character" w:customStyle="1" w:styleId="Heading4Char">
    <w:name w:val="Heading 4 Char"/>
    <w:basedOn w:val="DefaultParagraphFont"/>
    <w:link w:val="Heading4"/>
    <w:rsid w:val="00C200A4"/>
    <w:rPr>
      <w:rFonts w:ascii="Arial" w:eastAsiaTheme="majorEastAsia" w:hAnsi="Arial" w:cstheme="majorBidi"/>
      <w:b/>
      <w:bCs/>
      <w:iCs/>
      <w:color w:val="000000" w:themeColor="text1"/>
      <w:szCs w:val="32"/>
    </w:rPr>
  </w:style>
  <w:style w:type="character" w:customStyle="1" w:styleId="Heading5Char">
    <w:name w:val="Heading 5 Char"/>
    <w:basedOn w:val="DefaultParagraphFont"/>
    <w:link w:val="Heading5"/>
    <w:uiPriority w:val="9"/>
    <w:semiHidden/>
    <w:rsid w:val="00942F0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42F0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42F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42F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42F07"/>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702E6"/>
    <w:pPr>
      <w:tabs>
        <w:tab w:val="left" w:pos="380"/>
      </w:tabs>
      <w:ind w:left="720" w:hanging="720"/>
    </w:pPr>
  </w:style>
  <w:style w:type="paragraph" w:styleId="Header">
    <w:name w:val="header"/>
    <w:basedOn w:val="Normal"/>
    <w:link w:val="HeaderChar"/>
    <w:uiPriority w:val="99"/>
    <w:unhideWhenUsed/>
    <w:rsid w:val="00E8626C"/>
    <w:pPr>
      <w:tabs>
        <w:tab w:val="center" w:pos="4320"/>
        <w:tab w:val="right" w:pos="8640"/>
      </w:tabs>
    </w:pPr>
  </w:style>
  <w:style w:type="character" w:customStyle="1" w:styleId="HeaderChar">
    <w:name w:val="Header Char"/>
    <w:basedOn w:val="DefaultParagraphFont"/>
    <w:link w:val="Header"/>
    <w:uiPriority w:val="99"/>
    <w:rsid w:val="00E8626C"/>
    <w:rPr>
      <w:rFonts w:ascii="Times New Roman" w:hAnsi="Times New Roman"/>
    </w:rPr>
  </w:style>
  <w:style w:type="paragraph" w:styleId="Footer">
    <w:name w:val="footer"/>
    <w:basedOn w:val="Normal"/>
    <w:link w:val="FooterChar"/>
    <w:uiPriority w:val="99"/>
    <w:unhideWhenUsed/>
    <w:rsid w:val="00E8626C"/>
    <w:pPr>
      <w:tabs>
        <w:tab w:val="center" w:pos="4320"/>
        <w:tab w:val="right" w:pos="8640"/>
      </w:tabs>
    </w:pPr>
  </w:style>
  <w:style w:type="character" w:customStyle="1" w:styleId="FooterChar">
    <w:name w:val="Footer Char"/>
    <w:basedOn w:val="DefaultParagraphFont"/>
    <w:link w:val="Footer"/>
    <w:uiPriority w:val="99"/>
    <w:rsid w:val="00E8626C"/>
    <w:rPr>
      <w:rFonts w:ascii="Times New Roman" w:hAnsi="Times New Roman"/>
    </w:rPr>
  </w:style>
  <w:style w:type="character" w:styleId="PlaceholderText">
    <w:name w:val="Placeholder Text"/>
    <w:basedOn w:val="DefaultParagraphFont"/>
    <w:uiPriority w:val="99"/>
    <w:semiHidden/>
    <w:rsid w:val="003321FF"/>
    <w:rPr>
      <w:color w:val="808080"/>
    </w:rPr>
  </w:style>
  <w:style w:type="paragraph" w:customStyle="1" w:styleId="MTDisplayEquation">
    <w:name w:val="MTDisplayEquation"/>
    <w:basedOn w:val="BodyText"/>
    <w:next w:val="Normal"/>
    <w:rsid w:val="007049EC"/>
    <w:pPr>
      <w:tabs>
        <w:tab w:val="center" w:pos="4680"/>
        <w:tab w:val="right" w:pos="9360"/>
      </w:tabs>
    </w:pPr>
    <w:rPr>
      <w:rFonts w:eastAsiaTheme="minorEastAsia"/>
    </w:rPr>
  </w:style>
  <w:style w:type="paragraph" w:styleId="Caption">
    <w:name w:val="caption"/>
    <w:basedOn w:val="Normal"/>
    <w:next w:val="Normal"/>
    <w:uiPriority w:val="35"/>
    <w:unhideWhenUsed/>
    <w:qFormat/>
    <w:rsid w:val="00D20F9A"/>
    <w:pPr>
      <w:spacing w:after="200"/>
    </w:pPr>
    <w:rPr>
      <w:bCs/>
      <w:i/>
      <w:color w:val="000000" w:themeColor="text1"/>
      <w:szCs w:val="18"/>
    </w:rPr>
  </w:style>
  <w:style w:type="paragraph" w:styleId="TOC1">
    <w:name w:val="toc 1"/>
    <w:basedOn w:val="Normal"/>
    <w:next w:val="Normal"/>
    <w:autoRedefine/>
    <w:uiPriority w:val="39"/>
    <w:unhideWhenUsed/>
    <w:rsid w:val="002F5DC3"/>
    <w:pPr>
      <w:tabs>
        <w:tab w:val="right" w:pos="9350"/>
      </w:tabs>
      <w:spacing w:before="60"/>
    </w:pPr>
    <w:rPr>
      <w:rFonts w:ascii="Arial" w:hAnsi="Arial"/>
      <w:b/>
      <w:szCs w:val="22"/>
    </w:rPr>
  </w:style>
  <w:style w:type="paragraph" w:styleId="TOC2">
    <w:name w:val="toc 2"/>
    <w:basedOn w:val="TOC1"/>
    <w:next w:val="Normal"/>
    <w:autoRedefine/>
    <w:uiPriority w:val="39"/>
    <w:unhideWhenUsed/>
    <w:rsid w:val="002F5DC3"/>
    <w:pPr>
      <w:ind w:left="240"/>
    </w:pPr>
    <w:rPr>
      <w:b w:val="0"/>
      <w:i/>
    </w:rPr>
  </w:style>
  <w:style w:type="paragraph" w:styleId="TOC3">
    <w:name w:val="toc 3"/>
    <w:basedOn w:val="TOC2"/>
    <w:next w:val="Normal"/>
    <w:autoRedefine/>
    <w:uiPriority w:val="39"/>
    <w:unhideWhenUsed/>
    <w:rsid w:val="002F5DC3"/>
    <w:pPr>
      <w:ind w:left="480"/>
    </w:pPr>
    <w:rPr>
      <w:i w:val="0"/>
      <w:sz w:val="22"/>
    </w:rPr>
  </w:style>
  <w:style w:type="paragraph" w:styleId="TOC4">
    <w:name w:val="toc 4"/>
    <w:basedOn w:val="TOC3"/>
    <w:next w:val="Normal"/>
    <w:autoRedefine/>
    <w:uiPriority w:val="39"/>
    <w:unhideWhenUsed/>
    <w:rsid w:val="002F5DC3"/>
    <w:pPr>
      <w:ind w:left="720"/>
    </w:pPr>
    <w:rPr>
      <w:sz w:val="20"/>
      <w:szCs w:val="20"/>
    </w:rPr>
  </w:style>
  <w:style w:type="paragraph" w:styleId="TOC5">
    <w:name w:val="toc 5"/>
    <w:basedOn w:val="TOC4"/>
    <w:next w:val="Normal"/>
    <w:autoRedefine/>
    <w:uiPriority w:val="39"/>
    <w:unhideWhenUsed/>
    <w:rsid w:val="00A11638"/>
    <w:pPr>
      <w:ind w:left="960"/>
    </w:pPr>
    <w:rPr>
      <w:rFonts w:asciiTheme="minorHAnsi" w:hAnsiTheme="minorHAnsi"/>
    </w:rPr>
  </w:style>
  <w:style w:type="paragraph" w:styleId="TOC6">
    <w:name w:val="toc 6"/>
    <w:basedOn w:val="Normal"/>
    <w:next w:val="Normal"/>
    <w:autoRedefine/>
    <w:uiPriority w:val="39"/>
    <w:unhideWhenUsed/>
    <w:rsid w:val="00A11638"/>
    <w:pPr>
      <w:ind w:left="1200"/>
    </w:pPr>
    <w:rPr>
      <w:rFonts w:asciiTheme="minorHAnsi" w:hAnsiTheme="minorHAnsi"/>
      <w:sz w:val="20"/>
      <w:szCs w:val="20"/>
    </w:rPr>
  </w:style>
  <w:style w:type="paragraph" w:styleId="TOC7">
    <w:name w:val="toc 7"/>
    <w:basedOn w:val="Normal"/>
    <w:next w:val="Normal"/>
    <w:autoRedefine/>
    <w:uiPriority w:val="39"/>
    <w:unhideWhenUsed/>
    <w:rsid w:val="00A11638"/>
    <w:pPr>
      <w:ind w:left="1440"/>
    </w:pPr>
    <w:rPr>
      <w:rFonts w:asciiTheme="minorHAnsi" w:hAnsiTheme="minorHAnsi"/>
      <w:sz w:val="20"/>
      <w:szCs w:val="20"/>
    </w:rPr>
  </w:style>
  <w:style w:type="paragraph" w:styleId="TOC8">
    <w:name w:val="toc 8"/>
    <w:basedOn w:val="Normal"/>
    <w:next w:val="Normal"/>
    <w:autoRedefine/>
    <w:uiPriority w:val="39"/>
    <w:unhideWhenUsed/>
    <w:rsid w:val="00A11638"/>
    <w:pPr>
      <w:ind w:left="1680"/>
    </w:pPr>
    <w:rPr>
      <w:rFonts w:asciiTheme="minorHAnsi" w:hAnsiTheme="minorHAnsi"/>
      <w:sz w:val="20"/>
      <w:szCs w:val="20"/>
    </w:rPr>
  </w:style>
  <w:style w:type="paragraph" w:styleId="TOC9">
    <w:name w:val="toc 9"/>
    <w:basedOn w:val="Normal"/>
    <w:next w:val="Normal"/>
    <w:autoRedefine/>
    <w:uiPriority w:val="39"/>
    <w:unhideWhenUsed/>
    <w:rsid w:val="00A11638"/>
    <w:pPr>
      <w:ind w:left="1920"/>
    </w:pPr>
    <w:rPr>
      <w:rFonts w:asciiTheme="minorHAnsi" w:hAnsiTheme="minorHAnsi"/>
      <w:sz w:val="20"/>
      <w:szCs w:val="20"/>
    </w:rPr>
  </w:style>
  <w:style w:type="table" w:styleId="TableGrid">
    <w:name w:val="Table Grid"/>
    <w:basedOn w:val="TableNormal"/>
    <w:uiPriority w:val="39"/>
    <w:rsid w:val="00A35E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305748"/>
    <w:rPr>
      <w:rFonts w:ascii="Lucida Grande" w:hAnsi="Lucida Grande" w:cs="Lucida Grande"/>
    </w:rPr>
  </w:style>
  <w:style w:type="character" w:customStyle="1" w:styleId="DocumentMapChar">
    <w:name w:val="Document Map Char"/>
    <w:basedOn w:val="DefaultParagraphFont"/>
    <w:link w:val="DocumentMap"/>
    <w:uiPriority w:val="99"/>
    <w:semiHidden/>
    <w:rsid w:val="00305748"/>
    <w:rPr>
      <w:rFonts w:ascii="Lucida Grande" w:hAnsi="Lucida Grande" w:cs="Lucida Grande"/>
    </w:rPr>
  </w:style>
  <w:style w:type="character" w:styleId="Hyperlink">
    <w:name w:val="Hyperlink"/>
    <w:basedOn w:val="DefaultParagraphFont"/>
    <w:uiPriority w:val="99"/>
    <w:unhideWhenUsed/>
    <w:rsid w:val="00C200A4"/>
    <w:rPr>
      <w:color w:val="0563C1" w:themeColor="hyperlink"/>
      <w:u w:val="single"/>
    </w:rPr>
  </w:style>
  <w:style w:type="numbering" w:customStyle="1" w:styleId="Style1">
    <w:name w:val="Style1"/>
    <w:uiPriority w:val="99"/>
    <w:rsid w:val="00C200A4"/>
    <w:pPr>
      <w:numPr>
        <w:numId w:val="17"/>
      </w:numPr>
    </w:pPr>
  </w:style>
  <w:style w:type="character" w:styleId="PageNumber">
    <w:name w:val="page number"/>
    <w:basedOn w:val="DefaultParagraphFont"/>
    <w:uiPriority w:val="99"/>
    <w:semiHidden/>
    <w:unhideWhenUsed/>
    <w:rsid w:val="0060197D"/>
  </w:style>
  <w:style w:type="character" w:styleId="CommentReference">
    <w:name w:val="annotation reference"/>
    <w:basedOn w:val="DefaultParagraphFont"/>
    <w:uiPriority w:val="99"/>
    <w:semiHidden/>
    <w:unhideWhenUsed/>
    <w:rsid w:val="00E01ECB"/>
    <w:rPr>
      <w:sz w:val="16"/>
      <w:szCs w:val="16"/>
    </w:rPr>
  </w:style>
  <w:style w:type="paragraph" w:styleId="CommentText">
    <w:name w:val="annotation text"/>
    <w:basedOn w:val="Normal"/>
    <w:link w:val="CommentTextChar"/>
    <w:uiPriority w:val="99"/>
    <w:semiHidden/>
    <w:unhideWhenUsed/>
    <w:rsid w:val="00E01ECB"/>
    <w:rPr>
      <w:sz w:val="20"/>
      <w:szCs w:val="20"/>
    </w:rPr>
  </w:style>
  <w:style w:type="character" w:customStyle="1" w:styleId="CommentTextChar">
    <w:name w:val="Comment Text Char"/>
    <w:basedOn w:val="DefaultParagraphFont"/>
    <w:link w:val="CommentText"/>
    <w:uiPriority w:val="99"/>
    <w:semiHidden/>
    <w:rsid w:val="00E01EC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1ECB"/>
    <w:rPr>
      <w:b/>
      <w:bCs/>
    </w:rPr>
  </w:style>
  <w:style w:type="character" w:customStyle="1" w:styleId="CommentSubjectChar">
    <w:name w:val="Comment Subject Char"/>
    <w:basedOn w:val="CommentTextChar"/>
    <w:link w:val="CommentSubject"/>
    <w:uiPriority w:val="99"/>
    <w:semiHidden/>
    <w:rsid w:val="00E01ECB"/>
    <w:rPr>
      <w:rFonts w:ascii="Times New Roman" w:hAnsi="Times New Roman"/>
      <w:b/>
      <w:bCs/>
      <w:sz w:val="20"/>
      <w:szCs w:val="20"/>
    </w:rPr>
  </w:style>
  <w:style w:type="paragraph" w:styleId="Revision">
    <w:name w:val="Revision"/>
    <w:hidden/>
    <w:uiPriority w:val="99"/>
    <w:semiHidden/>
    <w:rsid w:val="00E01ECB"/>
    <w:rPr>
      <w:rFonts w:ascii="Times New Roman" w:hAnsi="Times New Roman"/>
    </w:rPr>
  </w:style>
  <w:style w:type="paragraph" w:customStyle="1" w:styleId="Figure">
    <w:name w:val="Figure"/>
    <w:basedOn w:val="Normal"/>
    <w:qFormat/>
    <w:rsid w:val="00C47A9A"/>
    <w:pPr>
      <w:keepNext/>
      <w:jc w:val="center"/>
    </w:pPr>
    <w:rPr>
      <w:noProof/>
    </w:rPr>
  </w:style>
  <w:style w:type="character" w:styleId="UnresolvedMention">
    <w:name w:val="Unresolved Mention"/>
    <w:basedOn w:val="DefaultParagraphFont"/>
    <w:uiPriority w:val="99"/>
    <w:semiHidden/>
    <w:unhideWhenUsed/>
    <w:rsid w:val="00687BC7"/>
    <w:rPr>
      <w:color w:val="605E5C"/>
      <w:shd w:val="clear" w:color="auto" w:fill="E1DFDD"/>
    </w:rPr>
  </w:style>
  <w:style w:type="paragraph" w:styleId="NormalWeb">
    <w:name w:val="Normal (Web)"/>
    <w:basedOn w:val="Normal"/>
    <w:uiPriority w:val="99"/>
    <w:semiHidden/>
    <w:unhideWhenUsed/>
    <w:rsid w:val="0003433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29750">
      <w:bodyDiv w:val="1"/>
      <w:marLeft w:val="0"/>
      <w:marRight w:val="0"/>
      <w:marTop w:val="0"/>
      <w:marBottom w:val="0"/>
      <w:divBdr>
        <w:top w:val="none" w:sz="0" w:space="0" w:color="auto"/>
        <w:left w:val="none" w:sz="0" w:space="0" w:color="auto"/>
        <w:bottom w:val="none" w:sz="0" w:space="0" w:color="auto"/>
        <w:right w:val="none" w:sz="0" w:space="0" w:color="auto"/>
      </w:divBdr>
    </w:div>
    <w:div w:id="101153376">
      <w:bodyDiv w:val="1"/>
      <w:marLeft w:val="0"/>
      <w:marRight w:val="0"/>
      <w:marTop w:val="0"/>
      <w:marBottom w:val="0"/>
      <w:divBdr>
        <w:top w:val="none" w:sz="0" w:space="0" w:color="auto"/>
        <w:left w:val="none" w:sz="0" w:space="0" w:color="auto"/>
        <w:bottom w:val="none" w:sz="0" w:space="0" w:color="auto"/>
        <w:right w:val="none" w:sz="0" w:space="0" w:color="auto"/>
      </w:divBdr>
    </w:div>
    <w:div w:id="175312543">
      <w:bodyDiv w:val="1"/>
      <w:marLeft w:val="0"/>
      <w:marRight w:val="0"/>
      <w:marTop w:val="0"/>
      <w:marBottom w:val="0"/>
      <w:divBdr>
        <w:top w:val="none" w:sz="0" w:space="0" w:color="auto"/>
        <w:left w:val="none" w:sz="0" w:space="0" w:color="auto"/>
        <w:bottom w:val="none" w:sz="0" w:space="0" w:color="auto"/>
        <w:right w:val="none" w:sz="0" w:space="0" w:color="auto"/>
      </w:divBdr>
    </w:div>
    <w:div w:id="219170414">
      <w:bodyDiv w:val="1"/>
      <w:marLeft w:val="0"/>
      <w:marRight w:val="0"/>
      <w:marTop w:val="0"/>
      <w:marBottom w:val="0"/>
      <w:divBdr>
        <w:top w:val="none" w:sz="0" w:space="0" w:color="auto"/>
        <w:left w:val="none" w:sz="0" w:space="0" w:color="auto"/>
        <w:bottom w:val="none" w:sz="0" w:space="0" w:color="auto"/>
        <w:right w:val="none" w:sz="0" w:space="0" w:color="auto"/>
      </w:divBdr>
    </w:div>
    <w:div w:id="242960306">
      <w:bodyDiv w:val="1"/>
      <w:marLeft w:val="0"/>
      <w:marRight w:val="0"/>
      <w:marTop w:val="0"/>
      <w:marBottom w:val="0"/>
      <w:divBdr>
        <w:top w:val="none" w:sz="0" w:space="0" w:color="auto"/>
        <w:left w:val="none" w:sz="0" w:space="0" w:color="auto"/>
        <w:bottom w:val="none" w:sz="0" w:space="0" w:color="auto"/>
        <w:right w:val="none" w:sz="0" w:space="0" w:color="auto"/>
      </w:divBdr>
      <w:divsChild>
        <w:div w:id="241108906">
          <w:marLeft w:val="0"/>
          <w:marRight w:val="0"/>
          <w:marTop w:val="0"/>
          <w:marBottom w:val="0"/>
          <w:divBdr>
            <w:top w:val="none" w:sz="0" w:space="0" w:color="auto"/>
            <w:left w:val="none" w:sz="0" w:space="0" w:color="auto"/>
            <w:bottom w:val="none" w:sz="0" w:space="0" w:color="auto"/>
            <w:right w:val="none" w:sz="0" w:space="0" w:color="auto"/>
          </w:divBdr>
        </w:div>
      </w:divsChild>
    </w:div>
    <w:div w:id="251790081">
      <w:bodyDiv w:val="1"/>
      <w:marLeft w:val="0"/>
      <w:marRight w:val="0"/>
      <w:marTop w:val="0"/>
      <w:marBottom w:val="0"/>
      <w:divBdr>
        <w:top w:val="none" w:sz="0" w:space="0" w:color="auto"/>
        <w:left w:val="none" w:sz="0" w:space="0" w:color="auto"/>
        <w:bottom w:val="none" w:sz="0" w:space="0" w:color="auto"/>
        <w:right w:val="none" w:sz="0" w:space="0" w:color="auto"/>
      </w:divBdr>
    </w:div>
    <w:div w:id="261911948">
      <w:bodyDiv w:val="1"/>
      <w:marLeft w:val="0"/>
      <w:marRight w:val="0"/>
      <w:marTop w:val="0"/>
      <w:marBottom w:val="0"/>
      <w:divBdr>
        <w:top w:val="none" w:sz="0" w:space="0" w:color="auto"/>
        <w:left w:val="none" w:sz="0" w:space="0" w:color="auto"/>
        <w:bottom w:val="none" w:sz="0" w:space="0" w:color="auto"/>
        <w:right w:val="none" w:sz="0" w:space="0" w:color="auto"/>
      </w:divBdr>
      <w:divsChild>
        <w:div w:id="9836440">
          <w:marLeft w:val="0"/>
          <w:marRight w:val="0"/>
          <w:marTop w:val="0"/>
          <w:marBottom w:val="0"/>
          <w:divBdr>
            <w:top w:val="none" w:sz="0" w:space="0" w:color="auto"/>
            <w:left w:val="none" w:sz="0" w:space="0" w:color="auto"/>
            <w:bottom w:val="none" w:sz="0" w:space="0" w:color="auto"/>
            <w:right w:val="none" w:sz="0" w:space="0" w:color="auto"/>
          </w:divBdr>
        </w:div>
        <w:div w:id="30032241">
          <w:marLeft w:val="0"/>
          <w:marRight w:val="0"/>
          <w:marTop w:val="0"/>
          <w:marBottom w:val="0"/>
          <w:divBdr>
            <w:top w:val="none" w:sz="0" w:space="0" w:color="auto"/>
            <w:left w:val="none" w:sz="0" w:space="0" w:color="auto"/>
            <w:bottom w:val="none" w:sz="0" w:space="0" w:color="auto"/>
            <w:right w:val="none" w:sz="0" w:space="0" w:color="auto"/>
          </w:divBdr>
        </w:div>
        <w:div w:id="103576737">
          <w:marLeft w:val="0"/>
          <w:marRight w:val="0"/>
          <w:marTop w:val="0"/>
          <w:marBottom w:val="0"/>
          <w:divBdr>
            <w:top w:val="none" w:sz="0" w:space="0" w:color="auto"/>
            <w:left w:val="none" w:sz="0" w:space="0" w:color="auto"/>
            <w:bottom w:val="none" w:sz="0" w:space="0" w:color="auto"/>
            <w:right w:val="none" w:sz="0" w:space="0" w:color="auto"/>
          </w:divBdr>
        </w:div>
        <w:div w:id="256793000">
          <w:marLeft w:val="0"/>
          <w:marRight w:val="0"/>
          <w:marTop w:val="0"/>
          <w:marBottom w:val="0"/>
          <w:divBdr>
            <w:top w:val="none" w:sz="0" w:space="0" w:color="auto"/>
            <w:left w:val="none" w:sz="0" w:space="0" w:color="auto"/>
            <w:bottom w:val="none" w:sz="0" w:space="0" w:color="auto"/>
            <w:right w:val="none" w:sz="0" w:space="0" w:color="auto"/>
          </w:divBdr>
        </w:div>
        <w:div w:id="309795587">
          <w:marLeft w:val="0"/>
          <w:marRight w:val="0"/>
          <w:marTop w:val="0"/>
          <w:marBottom w:val="0"/>
          <w:divBdr>
            <w:top w:val="none" w:sz="0" w:space="0" w:color="auto"/>
            <w:left w:val="none" w:sz="0" w:space="0" w:color="auto"/>
            <w:bottom w:val="none" w:sz="0" w:space="0" w:color="auto"/>
            <w:right w:val="none" w:sz="0" w:space="0" w:color="auto"/>
          </w:divBdr>
        </w:div>
        <w:div w:id="434594925">
          <w:marLeft w:val="0"/>
          <w:marRight w:val="0"/>
          <w:marTop w:val="0"/>
          <w:marBottom w:val="0"/>
          <w:divBdr>
            <w:top w:val="none" w:sz="0" w:space="0" w:color="auto"/>
            <w:left w:val="none" w:sz="0" w:space="0" w:color="auto"/>
            <w:bottom w:val="none" w:sz="0" w:space="0" w:color="auto"/>
            <w:right w:val="none" w:sz="0" w:space="0" w:color="auto"/>
          </w:divBdr>
        </w:div>
        <w:div w:id="442696290">
          <w:marLeft w:val="0"/>
          <w:marRight w:val="0"/>
          <w:marTop w:val="0"/>
          <w:marBottom w:val="0"/>
          <w:divBdr>
            <w:top w:val="none" w:sz="0" w:space="0" w:color="auto"/>
            <w:left w:val="none" w:sz="0" w:space="0" w:color="auto"/>
            <w:bottom w:val="none" w:sz="0" w:space="0" w:color="auto"/>
            <w:right w:val="none" w:sz="0" w:space="0" w:color="auto"/>
          </w:divBdr>
        </w:div>
        <w:div w:id="449516651">
          <w:marLeft w:val="0"/>
          <w:marRight w:val="0"/>
          <w:marTop w:val="0"/>
          <w:marBottom w:val="0"/>
          <w:divBdr>
            <w:top w:val="none" w:sz="0" w:space="0" w:color="auto"/>
            <w:left w:val="none" w:sz="0" w:space="0" w:color="auto"/>
            <w:bottom w:val="none" w:sz="0" w:space="0" w:color="auto"/>
            <w:right w:val="none" w:sz="0" w:space="0" w:color="auto"/>
          </w:divBdr>
        </w:div>
        <w:div w:id="569578593">
          <w:marLeft w:val="0"/>
          <w:marRight w:val="0"/>
          <w:marTop w:val="0"/>
          <w:marBottom w:val="0"/>
          <w:divBdr>
            <w:top w:val="none" w:sz="0" w:space="0" w:color="auto"/>
            <w:left w:val="none" w:sz="0" w:space="0" w:color="auto"/>
            <w:bottom w:val="none" w:sz="0" w:space="0" w:color="auto"/>
            <w:right w:val="none" w:sz="0" w:space="0" w:color="auto"/>
          </w:divBdr>
        </w:div>
        <w:div w:id="664475503">
          <w:marLeft w:val="0"/>
          <w:marRight w:val="0"/>
          <w:marTop w:val="0"/>
          <w:marBottom w:val="0"/>
          <w:divBdr>
            <w:top w:val="none" w:sz="0" w:space="0" w:color="auto"/>
            <w:left w:val="none" w:sz="0" w:space="0" w:color="auto"/>
            <w:bottom w:val="none" w:sz="0" w:space="0" w:color="auto"/>
            <w:right w:val="none" w:sz="0" w:space="0" w:color="auto"/>
          </w:divBdr>
          <w:divsChild>
            <w:div w:id="1947468754">
              <w:marLeft w:val="0"/>
              <w:marRight w:val="0"/>
              <w:marTop w:val="0"/>
              <w:marBottom w:val="0"/>
              <w:divBdr>
                <w:top w:val="none" w:sz="0" w:space="0" w:color="auto"/>
                <w:left w:val="none" w:sz="0" w:space="0" w:color="auto"/>
                <w:bottom w:val="none" w:sz="0" w:space="0" w:color="auto"/>
                <w:right w:val="none" w:sz="0" w:space="0" w:color="auto"/>
              </w:divBdr>
            </w:div>
          </w:divsChild>
        </w:div>
        <w:div w:id="764417833">
          <w:marLeft w:val="0"/>
          <w:marRight w:val="0"/>
          <w:marTop w:val="0"/>
          <w:marBottom w:val="0"/>
          <w:divBdr>
            <w:top w:val="none" w:sz="0" w:space="0" w:color="auto"/>
            <w:left w:val="none" w:sz="0" w:space="0" w:color="auto"/>
            <w:bottom w:val="none" w:sz="0" w:space="0" w:color="auto"/>
            <w:right w:val="none" w:sz="0" w:space="0" w:color="auto"/>
          </w:divBdr>
          <w:divsChild>
            <w:div w:id="1339965876">
              <w:marLeft w:val="0"/>
              <w:marRight w:val="0"/>
              <w:marTop w:val="0"/>
              <w:marBottom w:val="0"/>
              <w:divBdr>
                <w:top w:val="none" w:sz="0" w:space="0" w:color="auto"/>
                <w:left w:val="none" w:sz="0" w:space="0" w:color="auto"/>
                <w:bottom w:val="none" w:sz="0" w:space="0" w:color="auto"/>
                <w:right w:val="none" w:sz="0" w:space="0" w:color="auto"/>
              </w:divBdr>
            </w:div>
          </w:divsChild>
        </w:div>
        <w:div w:id="870385267">
          <w:marLeft w:val="0"/>
          <w:marRight w:val="0"/>
          <w:marTop w:val="0"/>
          <w:marBottom w:val="0"/>
          <w:divBdr>
            <w:top w:val="none" w:sz="0" w:space="0" w:color="auto"/>
            <w:left w:val="none" w:sz="0" w:space="0" w:color="auto"/>
            <w:bottom w:val="none" w:sz="0" w:space="0" w:color="auto"/>
            <w:right w:val="none" w:sz="0" w:space="0" w:color="auto"/>
          </w:divBdr>
        </w:div>
        <w:div w:id="875002358">
          <w:marLeft w:val="0"/>
          <w:marRight w:val="0"/>
          <w:marTop w:val="0"/>
          <w:marBottom w:val="0"/>
          <w:divBdr>
            <w:top w:val="none" w:sz="0" w:space="0" w:color="auto"/>
            <w:left w:val="none" w:sz="0" w:space="0" w:color="auto"/>
            <w:bottom w:val="none" w:sz="0" w:space="0" w:color="auto"/>
            <w:right w:val="none" w:sz="0" w:space="0" w:color="auto"/>
          </w:divBdr>
        </w:div>
        <w:div w:id="953562292">
          <w:marLeft w:val="0"/>
          <w:marRight w:val="0"/>
          <w:marTop w:val="0"/>
          <w:marBottom w:val="0"/>
          <w:divBdr>
            <w:top w:val="none" w:sz="0" w:space="0" w:color="auto"/>
            <w:left w:val="none" w:sz="0" w:space="0" w:color="auto"/>
            <w:bottom w:val="none" w:sz="0" w:space="0" w:color="auto"/>
            <w:right w:val="none" w:sz="0" w:space="0" w:color="auto"/>
          </w:divBdr>
        </w:div>
        <w:div w:id="967927867">
          <w:marLeft w:val="0"/>
          <w:marRight w:val="0"/>
          <w:marTop w:val="0"/>
          <w:marBottom w:val="0"/>
          <w:divBdr>
            <w:top w:val="none" w:sz="0" w:space="0" w:color="auto"/>
            <w:left w:val="none" w:sz="0" w:space="0" w:color="auto"/>
            <w:bottom w:val="none" w:sz="0" w:space="0" w:color="auto"/>
            <w:right w:val="none" w:sz="0" w:space="0" w:color="auto"/>
          </w:divBdr>
        </w:div>
        <w:div w:id="992224260">
          <w:marLeft w:val="0"/>
          <w:marRight w:val="0"/>
          <w:marTop w:val="0"/>
          <w:marBottom w:val="0"/>
          <w:divBdr>
            <w:top w:val="none" w:sz="0" w:space="0" w:color="auto"/>
            <w:left w:val="none" w:sz="0" w:space="0" w:color="auto"/>
            <w:bottom w:val="none" w:sz="0" w:space="0" w:color="auto"/>
            <w:right w:val="none" w:sz="0" w:space="0" w:color="auto"/>
          </w:divBdr>
        </w:div>
        <w:div w:id="1262956844">
          <w:marLeft w:val="0"/>
          <w:marRight w:val="0"/>
          <w:marTop w:val="0"/>
          <w:marBottom w:val="0"/>
          <w:divBdr>
            <w:top w:val="none" w:sz="0" w:space="0" w:color="auto"/>
            <w:left w:val="none" w:sz="0" w:space="0" w:color="auto"/>
            <w:bottom w:val="none" w:sz="0" w:space="0" w:color="auto"/>
            <w:right w:val="none" w:sz="0" w:space="0" w:color="auto"/>
          </w:divBdr>
        </w:div>
        <w:div w:id="1273509309">
          <w:marLeft w:val="0"/>
          <w:marRight w:val="0"/>
          <w:marTop w:val="0"/>
          <w:marBottom w:val="0"/>
          <w:divBdr>
            <w:top w:val="none" w:sz="0" w:space="0" w:color="auto"/>
            <w:left w:val="none" w:sz="0" w:space="0" w:color="auto"/>
            <w:bottom w:val="none" w:sz="0" w:space="0" w:color="auto"/>
            <w:right w:val="none" w:sz="0" w:space="0" w:color="auto"/>
          </w:divBdr>
        </w:div>
        <w:div w:id="1337610398">
          <w:marLeft w:val="0"/>
          <w:marRight w:val="0"/>
          <w:marTop w:val="0"/>
          <w:marBottom w:val="0"/>
          <w:divBdr>
            <w:top w:val="none" w:sz="0" w:space="0" w:color="auto"/>
            <w:left w:val="none" w:sz="0" w:space="0" w:color="auto"/>
            <w:bottom w:val="none" w:sz="0" w:space="0" w:color="auto"/>
            <w:right w:val="none" w:sz="0" w:space="0" w:color="auto"/>
          </w:divBdr>
        </w:div>
        <w:div w:id="1364406580">
          <w:marLeft w:val="0"/>
          <w:marRight w:val="0"/>
          <w:marTop w:val="0"/>
          <w:marBottom w:val="0"/>
          <w:divBdr>
            <w:top w:val="none" w:sz="0" w:space="0" w:color="auto"/>
            <w:left w:val="none" w:sz="0" w:space="0" w:color="auto"/>
            <w:bottom w:val="none" w:sz="0" w:space="0" w:color="auto"/>
            <w:right w:val="none" w:sz="0" w:space="0" w:color="auto"/>
          </w:divBdr>
        </w:div>
        <w:div w:id="1506286858">
          <w:marLeft w:val="0"/>
          <w:marRight w:val="0"/>
          <w:marTop w:val="0"/>
          <w:marBottom w:val="0"/>
          <w:divBdr>
            <w:top w:val="none" w:sz="0" w:space="0" w:color="auto"/>
            <w:left w:val="none" w:sz="0" w:space="0" w:color="auto"/>
            <w:bottom w:val="none" w:sz="0" w:space="0" w:color="auto"/>
            <w:right w:val="none" w:sz="0" w:space="0" w:color="auto"/>
          </w:divBdr>
        </w:div>
        <w:div w:id="1563449088">
          <w:marLeft w:val="0"/>
          <w:marRight w:val="0"/>
          <w:marTop w:val="0"/>
          <w:marBottom w:val="0"/>
          <w:divBdr>
            <w:top w:val="none" w:sz="0" w:space="0" w:color="auto"/>
            <w:left w:val="none" w:sz="0" w:space="0" w:color="auto"/>
            <w:bottom w:val="none" w:sz="0" w:space="0" w:color="auto"/>
            <w:right w:val="none" w:sz="0" w:space="0" w:color="auto"/>
          </w:divBdr>
        </w:div>
        <w:div w:id="1605725862">
          <w:marLeft w:val="0"/>
          <w:marRight w:val="0"/>
          <w:marTop w:val="0"/>
          <w:marBottom w:val="0"/>
          <w:divBdr>
            <w:top w:val="none" w:sz="0" w:space="0" w:color="auto"/>
            <w:left w:val="none" w:sz="0" w:space="0" w:color="auto"/>
            <w:bottom w:val="none" w:sz="0" w:space="0" w:color="auto"/>
            <w:right w:val="none" w:sz="0" w:space="0" w:color="auto"/>
          </w:divBdr>
        </w:div>
        <w:div w:id="1612518990">
          <w:marLeft w:val="0"/>
          <w:marRight w:val="0"/>
          <w:marTop w:val="0"/>
          <w:marBottom w:val="0"/>
          <w:divBdr>
            <w:top w:val="none" w:sz="0" w:space="0" w:color="auto"/>
            <w:left w:val="none" w:sz="0" w:space="0" w:color="auto"/>
            <w:bottom w:val="none" w:sz="0" w:space="0" w:color="auto"/>
            <w:right w:val="none" w:sz="0" w:space="0" w:color="auto"/>
          </w:divBdr>
        </w:div>
        <w:div w:id="1804694444">
          <w:marLeft w:val="0"/>
          <w:marRight w:val="0"/>
          <w:marTop w:val="0"/>
          <w:marBottom w:val="0"/>
          <w:divBdr>
            <w:top w:val="none" w:sz="0" w:space="0" w:color="auto"/>
            <w:left w:val="none" w:sz="0" w:space="0" w:color="auto"/>
            <w:bottom w:val="none" w:sz="0" w:space="0" w:color="auto"/>
            <w:right w:val="none" w:sz="0" w:space="0" w:color="auto"/>
          </w:divBdr>
        </w:div>
        <w:div w:id="1814981135">
          <w:marLeft w:val="0"/>
          <w:marRight w:val="0"/>
          <w:marTop w:val="0"/>
          <w:marBottom w:val="0"/>
          <w:divBdr>
            <w:top w:val="none" w:sz="0" w:space="0" w:color="auto"/>
            <w:left w:val="none" w:sz="0" w:space="0" w:color="auto"/>
            <w:bottom w:val="none" w:sz="0" w:space="0" w:color="auto"/>
            <w:right w:val="none" w:sz="0" w:space="0" w:color="auto"/>
          </w:divBdr>
        </w:div>
        <w:div w:id="1910075862">
          <w:marLeft w:val="0"/>
          <w:marRight w:val="0"/>
          <w:marTop w:val="0"/>
          <w:marBottom w:val="0"/>
          <w:divBdr>
            <w:top w:val="none" w:sz="0" w:space="0" w:color="auto"/>
            <w:left w:val="none" w:sz="0" w:space="0" w:color="auto"/>
            <w:bottom w:val="none" w:sz="0" w:space="0" w:color="auto"/>
            <w:right w:val="none" w:sz="0" w:space="0" w:color="auto"/>
          </w:divBdr>
        </w:div>
        <w:div w:id="2021735295">
          <w:marLeft w:val="0"/>
          <w:marRight w:val="0"/>
          <w:marTop w:val="0"/>
          <w:marBottom w:val="0"/>
          <w:divBdr>
            <w:top w:val="none" w:sz="0" w:space="0" w:color="auto"/>
            <w:left w:val="none" w:sz="0" w:space="0" w:color="auto"/>
            <w:bottom w:val="none" w:sz="0" w:space="0" w:color="auto"/>
            <w:right w:val="none" w:sz="0" w:space="0" w:color="auto"/>
          </w:divBdr>
        </w:div>
        <w:div w:id="2027712563">
          <w:marLeft w:val="0"/>
          <w:marRight w:val="0"/>
          <w:marTop w:val="0"/>
          <w:marBottom w:val="0"/>
          <w:divBdr>
            <w:top w:val="none" w:sz="0" w:space="0" w:color="auto"/>
            <w:left w:val="none" w:sz="0" w:space="0" w:color="auto"/>
            <w:bottom w:val="none" w:sz="0" w:space="0" w:color="auto"/>
            <w:right w:val="none" w:sz="0" w:space="0" w:color="auto"/>
          </w:divBdr>
        </w:div>
        <w:div w:id="2104572927">
          <w:marLeft w:val="0"/>
          <w:marRight w:val="0"/>
          <w:marTop w:val="0"/>
          <w:marBottom w:val="0"/>
          <w:divBdr>
            <w:top w:val="none" w:sz="0" w:space="0" w:color="auto"/>
            <w:left w:val="none" w:sz="0" w:space="0" w:color="auto"/>
            <w:bottom w:val="none" w:sz="0" w:space="0" w:color="auto"/>
            <w:right w:val="none" w:sz="0" w:space="0" w:color="auto"/>
          </w:divBdr>
        </w:div>
      </w:divsChild>
    </w:div>
    <w:div w:id="285280101">
      <w:bodyDiv w:val="1"/>
      <w:marLeft w:val="0"/>
      <w:marRight w:val="0"/>
      <w:marTop w:val="0"/>
      <w:marBottom w:val="0"/>
      <w:divBdr>
        <w:top w:val="none" w:sz="0" w:space="0" w:color="auto"/>
        <w:left w:val="none" w:sz="0" w:space="0" w:color="auto"/>
        <w:bottom w:val="none" w:sz="0" w:space="0" w:color="auto"/>
        <w:right w:val="none" w:sz="0" w:space="0" w:color="auto"/>
      </w:divBdr>
    </w:div>
    <w:div w:id="301039506">
      <w:bodyDiv w:val="1"/>
      <w:marLeft w:val="0"/>
      <w:marRight w:val="0"/>
      <w:marTop w:val="0"/>
      <w:marBottom w:val="0"/>
      <w:divBdr>
        <w:top w:val="none" w:sz="0" w:space="0" w:color="auto"/>
        <w:left w:val="none" w:sz="0" w:space="0" w:color="auto"/>
        <w:bottom w:val="none" w:sz="0" w:space="0" w:color="auto"/>
        <w:right w:val="none" w:sz="0" w:space="0" w:color="auto"/>
      </w:divBdr>
    </w:div>
    <w:div w:id="310989785">
      <w:bodyDiv w:val="1"/>
      <w:marLeft w:val="0"/>
      <w:marRight w:val="0"/>
      <w:marTop w:val="0"/>
      <w:marBottom w:val="0"/>
      <w:divBdr>
        <w:top w:val="none" w:sz="0" w:space="0" w:color="auto"/>
        <w:left w:val="none" w:sz="0" w:space="0" w:color="auto"/>
        <w:bottom w:val="none" w:sz="0" w:space="0" w:color="auto"/>
        <w:right w:val="none" w:sz="0" w:space="0" w:color="auto"/>
      </w:divBdr>
    </w:div>
    <w:div w:id="353532192">
      <w:bodyDiv w:val="1"/>
      <w:marLeft w:val="0"/>
      <w:marRight w:val="0"/>
      <w:marTop w:val="0"/>
      <w:marBottom w:val="0"/>
      <w:divBdr>
        <w:top w:val="none" w:sz="0" w:space="0" w:color="auto"/>
        <w:left w:val="none" w:sz="0" w:space="0" w:color="auto"/>
        <w:bottom w:val="none" w:sz="0" w:space="0" w:color="auto"/>
        <w:right w:val="none" w:sz="0" w:space="0" w:color="auto"/>
      </w:divBdr>
    </w:div>
    <w:div w:id="564796481">
      <w:bodyDiv w:val="1"/>
      <w:marLeft w:val="0"/>
      <w:marRight w:val="0"/>
      <w:marTop w:val="0"/>
      <w:marBottom w:val="0"/>
      <w:divBdr>
        <w:top w:val="none" w:sz="0" w:space="0" w:color="auto"/>
        <w:left w:val="none" w:sz="0" w:space="0" w:color="auto"/>
        <w:bottom w:val="none" w:sz="0" w:space="0" w:color="auto"/>
        <w:right w:val="none" w:sz="0" w:space="0" w:color="auto"/>
      </w:divBdr>
    </w:div>
    <w:div w:id="798845068">
      <w:bodyDiv w:val="1"/>
      <w:marLeft w:val="0"/>
      <w:marRight w:val="0"/>
      <w:marTop w:val="0"/>
      <w:marBottom w:val="0"/>
      <w:divBdr>
        <w:top w:val="none" w:sz="0" w:space="0" w:color="auto"/>
        <w:left w:val="none" w:sz="0" w:space="0" w:color="auto"/>
        <w:bottom w:val="none" w:sz="0" w:space="0" w:color="auto"/>
        <w:right w:val="none" w:sz="0" w:space="0" w:color="auto"/>
      </w:divBdr>
    </w:div>
    <w:div w:id="842475314">
      <w:bodyDiv w:val="1"/>
      <w:marLeft w:val="0"/>
      <w:marRight w:val="0"/>
      <w:marTop w:val="0"/>
      <w:marBottom w:val="0"/>
      <w:divBdr>
        <w:top w:val="none" w:sz="0" w:space="0" w:color="auto"/>
        <w:left w:val="none" w:sz="0" w:space="0" w:color="auto"/>
        <w:bottom w:val="none" w:sz="0" w:space="0" w:color="auto"/>
        <w:right w:val="none" w:sz="0" w:space="0" w:color="auto"/>
      </w:divBdr>
    </w:div>
    <w:div w:id="1019235852">
      <w:bodyDiv w:val="1"/>
      <w:marLeft w:val="0"/>
      <w:marRight w:val="0"/>
      <w:marTop w:val="0"/>
      <w:marBottom w:val="0"/>
      <w:divBdr>
        <w:top w:val="none" w:sz="0" w:space="0" w:color="auto"/>
        <w:left w:val="none" w:sz="0" w:space="0" w:color="auto"/>
        <w:bottom w:val="none" w:sz="0" w:space="0" w:color="auto"/>
        <w:right w:val="none" w:sz="0" w:space="0" w:color="auto"/>
      </w:divBdr>
      <w:divsChild>
        <w:div w:id="15987070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589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7842">
      <w:bodyDiv w:val="1"/>
      <w:marLeft w:val="0"/>
      <w:marRight w:val="0"/>
      <w:marTop w:val="0"/>
      <w:marBottom w:val="0"/>
      <w:divBdr>
        <w:top w:val="none" w:sz="0" w:space="0" w:color="auto"/>
        <w:left w:val="none" w:sz="0" w:space="0" w:color="auto"/>
        <w:bottom w:val="none" w:sz="0" w:space="0" w:color="auto"/>
        <w:right w:val="none" w:sz="0" w:space="0" w:color="auto"/>
      </w:divBdr>
      <w:divsChild>
        <w:div w:id="1566254011">
          <w:marLeft w:val="0"/>
          <w:marRight w:val="0"/>
          <w:marTop w:val="0"/>
          <w:marBottom w:val="0"/>
          <w:divBdr>
            <w:top w:val="none" w:sz="0" w:space="0" w:color="auto"/>
            <w:left w:val="none" w:sz="0" w:space="0" w:color="auto"/>
            <w:bottom w:val="none" w:sz="0" w:space="0" w:color="auto"/>
            <w:right w:val="none" w:sz="0" w:space="0" w:color="auto"/>
          </w:divBdr>
          <w:divsChild>
            <w:div w:id="1131365523">
              <w:marLeft w:val="0"/>
              <w:marRight w:val="0"/>
              <w:marTop w:val="0"/>
              <w:marBottom w:val="0"/>
              <w:divBdr>
                <w:top w:val="none" w:sz="0" w:space="0" w:color="auto"/>
                <w:left w:val="none" w:sz="0" w:space="0" w:color="auto"/>
                <w:bottom w:val="none" w:sz="0" w:space="0" w:color="auto"/>
                <w:right w:val="none" w:sz="0" w:space="0" w:color="auto"/>
              </w:divBdr>
              <w:divsChild>
                <w:div w:id="7805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06582">
      <w:bodyDiv w:val="1"/>
      <w:marLeft w:val="0"/>
      <w:marRight w:val="0"/>
      <w:marTop w:val="0"/>
      <w:marBottom w:val="0"/>
      <w:divBdr>
        <w:top w:val="none" w:sz="0" w:space="0" w:color="auto"/>
        <w:left w:val="none" w:sz="0" w:space="0" w:color="auto"/>
        <w:bottom w:val="none" w:sz="0" w:space="0" w:color="auto"/>
        <w:right w:val="none" w:sz="0" w:space="0" w:color="auto"/>
      </w:divBdr>
    </w:div>
    <w:div w:id="1265190470">
      <w:bodyDiv w:val="1"/>
      <w:marLeft w:val="0"/>
      <w:marRight w:val="0"/>
      <w:marTop w:val="0"/>
      <w:marBottom w:val="0"/>
      <w:divBdr>
        <w:top w:val="none" w:sz="0" w:space="0" w:color="auto"/>
        <w:left w:val="none" w:sz="0" w:space="0" w:color="auto"/>
        <w:bottom w:val="none" w:sz="0" w:space="0" w:color="auto"/>
        <w:right w:val="none" w:sz="0" w:space="0" w:color="auto"/>
      </w:divBdr>
    </w:div>
    <w:div w:id="1300191578">
      <w:bodyDiv w:val="1"/>
      <w:marLeft w:val="0"/>
      <w:marRight w:val="0"/>
      <w:marTop w:val="0"/>
      <w:marBottom w:val="0"/>
      <w:divBdr>
        <w:top w:val="none" w:sz="0" w:space="0" w:color="auto"/>
        <w:left w:val="none" w:sz="0" w:space="0" w:color="auto"/>
        <w:bottom w:val="none" w:sz="0" w:space="0" w:color="auto"/>
        <w:right w:val="none" w:sz="0" w:space="0" w:color="auto"/>
      </w:divBdr>
    </w:div>
    <w:div w:id="1328940798">
      <w:bodyDiv w:val="1"/>
      <w:marLeft w:val="0"/>
      <w:marRight w:val="0"/>
      <w:marTop w:val="0"/>
      <w:marBottom w:val="0"/>
      <w:divBdr>
        <w:top w:val="none" w:sz="0" w:space="0" w:color="auto"/>
        <w:left w:val="none" w:sz="0" w:space="0" w:color="auto"/>
        <w:bottom w:val="none" w:sz="0" w:space="0" w:color="auto"/>
        <w:right w:val="none" w:sz="0" w:space="0" w:color="auto"/>
      </w:divBdr>
    </w:div>
    <w:div w:id="1340885738">
      <w:bodyDiv w:val="1"/>
      <w:marLeft w:val="0"/>
      <w:marRight w:val="0"/>
      <w:marTop w:val="0"/>
      <w:marBottom w:val="0"/>
      <w:divBdr>
        <w:top w:val="none" w:sz="0" w:space="0" w:color="auto"/>
        <w:left w:val="none" w:sz="0" w:space="0" w:color="auto"/>
        <w:bottom w:val="none" w:sz="0" w:space="0" w:color="auto"/>
        <w:right w:val="none" w:sz="0" w:space="0" w:color="auto"/>
      </w:divBdr>
    </w:div>
    <w:div w:id="1463502098">
      <w:bodyDiv w:val="1"/>
      <w:marLeft w:val="0"/>
      <w:marRight w:val="0"/>
      <w:marTop w:val="0"/>
      <w:marBottom w:val="0"/>
      <w:divBdr>
        <w:top w:val="none" w:sz="0" w:space="0" w:color="auto"/>
        <w:left w:val="none" w:sz="0" w:space="0" w:color="auto"/>
        <w:bottom w:val="none" w:sz="0" w:space="0" w:color="auto"/>
        <w:right w:val="none" w:sz="0" w:space="0" w:color="auto"/>
      </w:divBdr>
    </w:div>
    <w:div w:id="1519462131">
      <w:bodyDiv w:val="1"/>
      <w:marLeft w:val="0"/>
      <w:marRight w:val="0"/>
      <w:marTop w:val="0"/>
      <w:marBottom w:val="0"/>
      <w:divBdr>
        <w:top w:val="none" w:sz="0" w:space="0" w:color="auto"/>
        <w:left w:val="none" w:sz="0" w:space="0" w:color="auto"/>
        <w:bottom w:val="none" w:sz="0" w:space="0" w:color="auto"/>
        <w:right w:val="none" w:sz="0" w:space="0" w:color="auto"/>
      </w:divBdr>
    </w:div>
    <w:div w:id="1654140686">
      <w:bodyDiv w:val="1"/>
      <w:marLeft w:val="0"/>
      <w:marRight w:val="0"/>
      <w:marTop w:val="0"/>
      <w:marBottom w:val="0"/>
      <w:divBdr>
        <w:top w:val="none" w:sz="0" w:space="0" w:color="auto"/>
        <w:left w:val="none" w:sz="0" w:space="0" w:color="auto"/>
        <w:bottom w:val="none" w:sz="0" w:space="0" w:color="auto"/>
        <w:right w:val="none" w:sz="0" w:space="0" w:color="auto"/>
      </w:divBdr>
      <w:divsChild>
        <w:div w:id="1298342316">
          <w:marLeft w:val="0"/>
          <w:marRight w:val="0"/>
          <w:marTop w:val="0"/>
          <w:marBottom w:val="0"/>
          <w:divBdr>
            <w:top w:val="none" w:sz="0" w:space="0" w:color="auto"/>
            <w:left w:val="none" w:sz="0" w:space="0" w:color="auto"/>
            <w:bottom w:val="none" w:sz="0" w:space="0" w:color="auto"/>
            <w:right w:val="none" w:sz="0" w:space="0" w:color="auto"/>
          </w:divBdr>
        </w:div>
      </w:divsChild>
    </w:div>
    <w:div w:id="1738285296">
      <w:bodyDiv w:val="1"/>
      <w:marLeft w:val="0"/>
      <w:marRight w:val="0"/>
      <w:marTop w:val="0"/>
      <w:marBottom w:val="0"/>
      <w:divBdr>
        <w:top w:val="none" w:sz="0" w:space="0" w:color="auto"/>
        <w:left w:val="none" w:sz="0" w:space="0" w:color="auto"/>
        <w:bottom w:val="none" w:sz="0" w:space="0" w:color="auto"/>
        <w:right w:val="none" w:sz="0" w:space="0" w:color="auto"/>
      </w:divBdr>
    </w:div>
    <w:div w:id="1740715153">
      <w:bodyDiv w:val="1"/>
      <w:marLeft w:val="0"/>
      <w:marRight w:val="0"/>
      <w:marTop w:val="0"/>
      <w:marBottom w:val="0"/>
      <w:divBdr>
        <w:top w:val="none" w:sz="0" w:space="0" w:color="auto"/>
        <w:left w:val="none" w:sz="0" w:space="0" w:color="auto"/>
        <w:bottom w:val="none" w:sz="0" w:space="0" w:color="auto"/>
        <w:right w:val="none" w:sz="0" w:space="0" w:color="auto"/>
      </w:divBdr>
    </w:div>
    <w:div w:id="1848591996">
      <w:bodyDiv w:val="1"/>
      <w:marLeft w:val="0"/>
      <w:marRight w:val="0"/>
      <w:marTop w:val="0"/>
      <w:marBottom w:val="0"/>
      <w:divBdr>
        <w:top w:val="none" w:sz="0" w:space="0" w:color="auto"/>
        <w:left w:val="none" w:sz="0" w:space="0" w:color="auto"/>
        <w:bottom w:val="none" w:sz="0" w:space="0" w:color="auto"/>
        <w:right w:val="none" w:sz="0" w:space="0" w:color="auto"/>
      </w:divBdr>
      <w:divsChild>
        <w:div w:id="1401558651">
          <w:marLeft w:val="0"/>
          <w:marRight w:val="0"/>
          <w:marTop w:val="0"/>
          <w:marBottom w:val="0"/>
          <w:divBdr>
            <w:top w:val="none" w:sz="0" w:space="0" w:color="auto"/>
            <w:left w:val="none" w:sz="0" w:space="0" w:color="auto"/>
            <w:bottom w:val="none" w:sz="0" w:space="0" w:color="auto"/>
            <w:right w:val="none" w:sz="0" w:space="0" w:color="auto"/>
          </w:divBdr>
          <w:divsChild>
            <w:div w:id="1230774403">
              <w:marLeft w:val="0"/>
              <w:marRight w:val="0"/>
              <w:marTop w:val="0"/>
              <w:marBottom w:val="0"/>
              <w:divBdr>
                <w:top w:val="none" w:sz="0" w:space="0" w:color="auto"/>
                <w:left w:val="none" w:sz="0" w:space="0" w:color="auto"/>
                <w:bottom w:val="none" w:sz="0" w:space="0" w:color="auto"/>
                <w:right w:val="none" w:sz="0" w:space="0" w:color="auto"/>
              </w:divBdr>
              <w:divsChild>
                <w:div w:id="3110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4856">
      <w:bodyDiv w:val="1"/>
      <w:marLeft w:val="0"/>
      <w:marRight w:val="0"/>
      <w:marTop w:val="0"/>
      <w:marBottom w:val="0"/>
      <w:divBdr>
        <w:top w:val="none" w:sz="0" w:space="0" w:color="auto"/>
        <w:left w:val="none" w:sz="0" w:space="0" w:color="auto"/>
        <w:bottom w:val="none" w:sz="0" w:space="0" w:color="auto"/>
        <w:right w:val="none" w:sz="0" w:space="0" w:color="auto"/>
      </w:divBdr>
    </w:div>
    <w:div w:id="1911034028">
      <w:bodyDiv w:val="1"/>
      <w:marLeft w:val="0"/>
      <w:marRight w:val="0"/>
      <w:marTop w:val="0"/>
      <w:marBottom w:val="0"/>
      <w:divBdr>
        <w:top w:val="none" w:sz="0" w:space="0" w:color="auto"/>
        <w:left w:val="none" w:sz="0" w:space="0" w:color="auto"/>
        <w:bottom w:val="none" w:sz="0" w:space="0" w:color="auto"/>
        <w:right w:val="none" w:sz="0" w:space="0" w:color="auto"/>
      </w:divBdr>
    </w:div>
    <w:div w:id="1922517828">
      <w:bodyDiv w:val="1"/>
      <w:marLeft w:val="0"/>
      <w:marRight w:val="0"/>
      <w:marTop w:val="0"/>
      <w:marBottom w:val="0"/>
      <w:divBdr>
        <w:top w:val="none" w:sz="0" w:space="0" w:color="auto"/>
        <w:left w:val="none" w:sz="0" w:space="0" w:color="auto"/>
        <w:bottom w:val="none" w:sz="0" w:space="0" w:color="auto"/>
        <w:right w:val="none" w:sz="0" w:space="0" w:color="auto"/>
      </w:divBdr>
    </w:div>
    <w:div w:id="1986742559">
      <w:bodyDiv w:val="1"/>
      <w:marLeft w:val="0"/>
      <w:marRight w:val="0"/>
      <w:marTop w:val="0"/>
      <w:marBottom w:val="0"/>
      <w:divBdr>
        <w:top w:val="none" w:sz="0" w:space="0" w:color="auto"/>
        <w:left w:val="none" w:sz="0" w:space="0" w:color="auto"/>
        <w:bottom w:val="none" w:sz="0" w:space="0" w:color="auto"/>
        <w:right w:val="none" w:sz="0" w:space="0" w:color="auto"/>
      </w:divBdr>
    </w:div>
    <w:div w:id="2020349920">
      <w:bodyDiv w:val="1"/>
      <w:marLeft w:val="0"/>
      <w:marRight w:val="0"/>
      <w:marTop w:val="0"/>
      <w:marBottom w:val="0"/>
      <w:divBdr>
        <w:top w:val="none" w:sz="0" w:space="0" w:color="auto"/>
        <w:left w:val="none" w:sz="0" w:space="0" w:color="auto"/>
        <w:bottom w:val="none" w:sz="0" w:space="0" w:color="auto"/>
        <w:right w:val="none" w:sz="0" w:space="0" w:color="auto"/>
      </w:divBdr>
      <w:divsChild>
        <w:div w:id="1051685395">
          <w:marLeft w:val="0"/>
          <w:marRight w:val="0"/>
          <w:marTop w:val="0"/>
          <w:marBottom w:val="0"/>
          <w:divBdr>
            <w:top w:val="none" w:sz="0" w:space="0" w:color="auto"/>
            <w:left w:val="none" w:sz="0" w:space="0" w:color="auto"/>
            <w:bottom w:val="none" w:sz="0" w:space="0" w:color="auto"/>
            <w:right w:val="none" w:sz="0" w:space="0" w:color="auto"/>
          </w:divBdr>
          <w:divsChild>
            <w:div w:id="292174894">
              <w:marLeft w:val="0"/>
              <w:marRight w:val="0"/>
              <w:marTop w:val="0"/>
              <w:marBottom w:val="0"/>
              <w:divBdr>
                <w:top w:val="none" w:sz="0" w:space="0" w:color="auto"/>
                <w:left w:val="none" w:sz="0" w:space="0" w:color="auto"/>
                <w:bottom w:val="none" w:sz="0" w:space="0" w:color="auto"/>
                <w:right w:val="none" w:sz="0" w:space="0" w:color="auto"/>
              </w:divBdr>
              <w:divsChild>
                <w:div w:id="2308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47012">
      <w:bodyDiv w:val="1"/>
      <w:marLeft w:val="0"/>
      <w:marRight w:val="0"/>
      <w:marTop w:val="0"/>
      <w:marBottom w:val="0"/>
      <w:divBdr>
        <w:top w:val="none" w:sz="0" w:space="0" w:color="auto"/>
        <w:left w:val="none" w:sz="0" w:space="0" w:color="auto"/>
        <w:bottom w:val="none" w:sz="0" w:space="0" w:color="auto"/>
        <w:right w:val="none" w:sz="0" w:space="0" w:color="auto"/>
      </w:divBdr>
    </w:div>
    <w:div w:id="2062240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tch-model.or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github.com/switch-hawaii/ulupono_scenario_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Clipper1</b:Tag>
    <b:SourceType>Report</b:SourceType>
    <b:Guid>{E0870AC7-A8CC-47B9-9289-89C6AEA8D862}</b:Guid>
    <b:Author>
      <b:Author>
        <b:NameList>
          <b:Person>
            <b:Last>Mikhail</b:Last>
            <b:First>Amir</b:First>
          </b:Person>
        </b:NameList>
      </b:Author>
    </b:Author>
    <b:Title>Distributed Generation Drivetrain for High‐Torque Wind Turbine Applications</b:Title>
    <b:Year>2005</b:Year>
    <b:Publisher>California Energy Commission, PIER Renewable Energy Technologies Program.</b:Publisher>
    <b:StandardNumber>CEC‐500‐2011‐002</b:StandardNumber>
    <b:RefOrder>19</b:RefOrder>
  </b:Source>
  <b:Source>
    <b:Tag>Clipper2</b:Tag>
    <b:SourceType>DocumentFromInternetSite</b:SourceType>
    <b:Guid>{53692DF3-1653-4CC8-8CBC-1395B77EC72F}</b:Guid>
    <b:Title>Power Curve Files - Clipper</b:Title>
    <b:YearAccessed>2014</b:YearAccessed>
    <b:MonthAccessed>November</b:MonthAccessed>
    <b:DayAccessed>5</b:DayAccessed>
    <b:URL>https://inlportal.inl.gov/portal/server.pt?open=512&amp;objID=424&amp;PageID=3993&amp;cached=true&amp;mode=2&amp;userID=1829</b:URL>
    <b:Author>
      <b:Author>
        <b:Corporate>Idaho National Laboratory</b:Corporate>
      </b:Author>
    </b:Author>
    <b:InternetSiteTitle>Idaho National Laboratory</b:InternetSiteTitle>
    <b:RefOrder>20</b:RefOrder>
  </b:Source>
  <b:Source>
    <b:Tag>HECO_IRP1</b:Tag>
    <b:SourceType>Report</b:SourceType>
    <b:Guid>{0712ABA7-A2B1-4D80-B09B-1458642F78EC}</b:Guid>
    <b:Title>2013 Integrated Resource Planning Report</b:Title>
    <b:Year>2013</b:Year>
    <b:StandardNumber>Docket No. 2012-0036</b:StandardNumber>
    <b:Author>
      <b:Author>
        <b:Corporate>Hawaiian Electric Companies</b:Corporate>
      </b:Author>
    </b:Author>
    <b:Publisher>Hawaiian Electric Companies</b:Publisher>
    <b:RefOrder>3</b:RefOrder>
  </b:Source>
</b:Sources>
</file>

<file path=customXml/itemProps1.xml><?xml version="1.0" encoding="utf-8"?>
<ds:datastoreItem xmlns:ds="http://schemas.openxmlformats.org/officeDocument/2006/customXml" ds:itemID="{BEC2C95F-5459-1541-90AB-38FAF43EE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10</Pages>
  <Words>7861</Words>
  <Characters>44814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52570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Fripp</dc:creator>
  <cp:keywords/>
  <dc:description/>
  <cp:lastModifiedBy>Matthias Fripp</cp:lastModifiedBy>
  <cp:revision>26</cp:revision>
  <cp:lastPrinted>2017-08-09T20:46:00Z</cp:lastPrinted>
  <dcterms:created xsi:type="dcterms:W3CDTF">2019-11-25T23:10:00Z</dcterms:created>
  <dcterms:modified xsi:type="dcterms:W3CDTF">2019-12-14T23:25:00Z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id="ulM7QRcL"/&gt;&lt;style id="http://www.zotero.org/styles/chicago-author-date" locale="en-US" hasBibliography="1" bibliographyStyleHasBeenSet="1"/&gt;&lt;prefs&gt;&lt;pref name="fieldType" value="Field"/&gt;&lt;pref name</vt:lpwstr>
  </property>
  <property fmtid="{D5CDD505-2E9C-101B-9397-08002B2CF9AE}" pid="3" name="ZOTERO_PREF_2">
    <vt:lpwstr>="storeReferences" value="true"/&gt;&lt;/prefs&gt;&lt;/data&gt;</vt:lpwstr>
  </property>
  <property fmtid="{D5CDD505-2E9C-101B-9397-08002B2CF9AE}" pid="4" name="MTMacEqns">
    <vt:bool>true</vt:bool>
  </property>
</Properties>
</file>