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6"/>
        </w:rPr>
        <w:t>Software Requirements Specification</w:t>
      </w:r>
    </w:p>
    <w:p>
      <w:r>
        <w:rPr>
          <w:b/>
          <w:i w:val="0"/>
          <w:sz w:val="26"/>
        </w:rPr>
        <w:t>Local Sports Tournament &amp; Bracket Manager (Problem Statement #54)</w:t>
      </w:r>
    </w:p>
    <w:p>
      <w:r>
        <w:rPr>
          <w:b w:val="0"/>
          <w:i w:val="0"/>
        </w:rPr>
        <w:t>Sushanth S Rao, PES1UG24CS485, BPS54</w:t>
      </w:r>
    </w:p>
    <w:p>
      <w:r>
        <w:rPr>
          <w:b w:val="0"/>
          <w:i w:val="0"/>
        </w:rPr>
        <w:t>PES University, Dept. of CSE. Version 1.0, October 2026</w:t>
      </w:r>
    </w:p>
    <w:p>
      <w:pPr>
        <w:pStyle w:val="Heading1"/>
      </w:pPr>
      <w:r>
        <w:t>Revision History</w:t>
      </w:r>
    </w:p>
    <w:tbl>
      <w:tblPr>
        <w:tblStyle w:val="TableGrid"/>
        <w:tblW w:type="auto" w:w="0"/>
        <w:tblLayout w:type="fixed"/>
        <w:tblLook w:firstColumn="1" w:firstRow="1" w:lastColumn="0" w:lastRow="0" w:noHBand="0" w:noVBand="1" w:val="04A0"/>
      </w:tblPr>
      <w:tblGrid>
        <w:gridCol w:w="1255"/>
        <w:gridCol w:w="1757"/>
        <w:gridCol w:w="2008"/>
        <w:gridCol w:w="4267"/>
      </w:tblGrid>
      <w:tr>
        <w:trPr>
          <w:tblHeader w:val="true"/>
        </w:trPr>
        <w:tc>
          <w:tcPr>
            <w:tcW w:type="dxa" w:w="1255"/>
            <w:shd w:val="clear" w:color="auto" w:fill="D9D9D9"/>
          </w:tcPr>
          <w:p>
            <w:pPr>
              <w:spacing w:after="20"/>
            </w:pPr>
            <w:r/>
            <w:r>
              <w:rPr>
                <w:b/>
                <w:sz w:val="19"/>
              </w:rPr>
              <w:t>Version</w:t>
            </w:r>
          </w:p>
        </w:tc>
        <w:tc>
          <w:tcPr>
            <w:tcW w:type="dxa" w:w="1757"/>
            <w:shd w:val="clear" w:color="auto" w:fill="D9D9D9"/>
          </w:tcPr>
          <w:p>
            <w:pPr>
              <w:spacing w:after="20"/>
            </w:pPr>
            <w:r/>
            <w:r>
              <w:rPr>
                <w:b/>
                <w:sz w:val="19"/>
              </w:rPr>
              <w:t>Date</w:t>
            </w:r>
          </w:p>
        </w:tc>
        <w:tc>
          <w:tcPr>
            <w:tcW w:type="dxa" w:w="2008"/>
            <w:shd w:val="clear" w:color="auto" w:fill="D9D9D9"/>
          </w:tcPr>
          <w:p>
            <w:pPr>
              <w:spacing w:after="20"/>
            </w:pPr>
            <w:r/>
            <w:r>
              <w:rPr>
                <w:b/>
                <w:sz w:val="19"/>
              </w:rPr>
              <w:t>Author</w:t>
            </w:r>
          </w:p>
        </w:tc>
        <w:tc>
          <w:tcPr>
            <w:tcW w:type="dxa" w:w="4267"/>
            <w:shd w:val="clear" w:color="auto" w:fill="D9D9D9"/>
          </w:tcPr>
          <w:p>
            <w:pPr>
              <w:spacing w:after="20"/>
            </w:pPr>
            <w:r/>
            <w:r>
              <w:rPr>
                <w:b/>
                <w:sz w:val="19"/>
              </w:rPr>
              <w:t>Description</w:t>
            </w:r>
          </w:p>
        </w:tc>
      </w:tr>
      <w:tr>
        <w:tc>
          <w:tcPr>
            <w:tcW w:type="dxa" w:w="1255"/>
          </w:tcPr>
          <w:p>
            <w:pPr>
              <w:spacing w:after="20"/>
            </w:pPr>
            <w:r/>
            <w:r>
              <w:rPr>
                <w:b/>
                <w:sz w:val="19"/>
              </w:rPr>
              <w:t>1.0</w:t>
            </w:r>
          </w:p>
        </w:tc>
        <w:tc>
          <w:tcPr>
            <w:tcW w:type="dxa" w:w="1757"/>
          </w:tcPr>
          <w:p>
            <w:pPr>
              <w:spacing w:after="20"/>
            </w:pPr>
            <w:r/>
            <w:r>
              <w:rPr>
                <w:b w:val="0"/>
                <w:sz w:val="19"/>
              </w:rPr>
              <w:t>02-Oct-2026</w:t>
            </w:r>
          </w:p>
        </w:tc>
        <w:tc>
          <w:tcPr>
            <w:tcW w:type="dxa" w:w="2008"/>
          </w:tcPr>
          <w:p>
            <w:pPr>
              <w:spacing w:after="20"/>
            </w:pPr>
            <w:r/>
            <w:r>
              <w:rPr>
                <w:b w:val="0"/>
                <w:sz w:val="19"/>
              </w:rPr>
              <w:t>Sushanth S Rao</w:t>
            </w:r>
          </w:p>
        </w:tc>
        <w:tc>
          <w:tcPr>
            <w:tcW w:type="dxa" w:w="4267"/>
          </w:tcPr>
          <w:p>
            <w:pPr>
              <w:spacing w:after="20"/>
            </w:pPr>
            <w:r/>
            <w:r>
              <w:rPr>
                <w:b w:val="0"/>
                <w:sz w:val="19"/>
              </w:rPr>
              <w:t>Initial SRS derived from Lab 1 requirements, use cases and architecture</w:t>
            </w:r>
          </w:p>
        </w:tc>
      </w:tr>
    </w:tbl>
    <w:p>
      <w:pPr>
        <w:spacing w:after="40"/>
      </w:pPr>
    </w:p>
    <w:p>
      <w:pPr>
        <w:pStyle w:val="Heading1"/>
      </w:pPr>
      <w:r>
        <w:t>1. Introduction</w:t>
      </w:r>
    </w:p>
    <w:p>
      <w:pPr>
        <w:pStyle w:val="Heading2"/>
      </w:pPr>
      <w:r>
        <w:t>1.1 Purpose</w:t>
      </w:r>
    </w:p>
    <w:p>
      <w:r>
        <w:rPr>
          <w:b w:val="0"/>
          <w:i w:val="0"/>
        </w:rPr>
        <w:t>This document specifies the software requirements for the Local Sports Tournament &amp; Bracket Manager. It is intended for the course instructor and evaluators, and for anyone designing, building or testing the system. It consolidates the requirements table, use cases, architecture and traceability matrix produced earlier in the project.</w:t>
      </w:r>
    </w:p>
    <w:p>
      <w:pPr>
        <w:pStyle w:val="Heading2"/>
      </w:pPr>
      <w:r>
        <w:t>1.2 Scope</w:t>
      </w:r>
    </w:p>
    <w:p>
      <w:r>
        <w:rPr>
          <w:b w:val="0"/>
          <w:i w:val="0"/>
        </w:rPr>
        <w:t>The Local Sports Tournament &amp; Bracket Manager is a tournament administration platform. It will:</w:t>
      </w:r>
    </w:p>
    <w:p>
      <w:pPr>
        <w:pStyle w:val="ListBullet"/>
      </w:pPr>
      <w:r>
        <w:t>let Team Captains register teams and rosters before a deadline;</w:t>
      </w:r>
    </w:p>
    <w:p>
      <w:pPr>
        <w:pStyle w:val="ListBullet"/>
      </w:pPr>
      <w:r>
        <w:t>generate seeded single- and double-elimination brackets, including byes for odd team counts;</w:t>
      </w:r>
    </w:p>
    <w:p>
      <w:pPr>
        <w:pStyle w:val="ListBullet"/>
      </w:pPr>
      <w:r>
        <w:t>let Tournament Directors record live match scores;</w:t>
      </w:r>
    </w:p>
    <w:p>
      <w:pPr>
        <w:pStyle w:val="ListBullet"/>
      </w:pPr>
      <w:r>
        <w:t>advance winners automatically and compute standings with tiebreakers;</w:t>
      </w:r>
    </w:p>
    <w:p>
      <w:pPr>
        <w:pStyle w:val="ListBullet"/>
      </w:pPr>
      <w:r>
        <w:t>publish up-to-date brackets and standings to captains and spectators.</w:t>
      </w:r>
    </w:p>
    <w:p>
      <w:r>
        <w:rPr>
          <w:b w:val="0"/>
          <w:i w:val="0"/>
        </w:rPr>
        <w:t>Out of scope for this version: online payments, player statistics beyond match scores, live video, and native mobile applications.</w:t>
      </w:r>
    </w:p>
    <w:p>
      <w:pPr>
        <w:pStyle w:val="Heading2"/>
      </w:pPr>
      <w:r>
        <w:t>1.3 Definitions, Acronyms and Abbreviations</w:t>
      </w:r>
    </w:p>
    <w:tbl>
      <w:tblPr>
        <w:tblStyle w:val="TableGrid"/>
        <w:tblW w:type="auto" w:w="0"/>
        <w:tblLayout w:type="fixed"/>
        <w:tblLook w:firstColumn="1" w:firstRow="1" w:lastColumn="0" w:lastRow="0" w:noHBand="0" w:noVBand="1" w:val="04A0"/>
      </w:tblPr>
      <w:tblGrid>
        <w:gridCol w:w="2322"/>
        <w:gridCol w:w="6966"/>
      </w:tblGrid>
      <w:tr>
        <w:trPr>
          <w:tblHeader w:val="true"/>
        </w:trPr>
        <w:tc>
          <w:tcPr>
            <w:tcW w:type="dxa" w:w="2322"/>
            <w:shd w:val="clear" w:color="auto" w:fill="D9D9D9"/>
          </w:tcPr>
          <w:p>
            <w:pPr>
              <w:spacing w:after="20"/>
            </w:pPr>
            <w:r/>
            <w:r>
              <w:rPr>
                <w:b/>
                <w:sz w:val="19"/>
              </w:rPr>
              <w:t>Term</w:t>
            </w:r>
          </w:p>
        </w:tc>
        <w:tc>
          <w:tcPr>
            <w:tcW w:type="dxa" w:w="6966"/>
            <w:shd w:val="clear" w:color="auto" w:fill="D9D9D9"/>
          </w:tcPr>
          <w:p>
            <w:pPr>
              <w:spacing w:after="20"/>
            </w:pPr>
            <w:r/>
            <w:r>
              <w:rPr>
                <w:b/>
                <w:sz w:val="19"/>
              </w:rPr>
              <w:t>Meaning</w:t>
            </w:r>
          </w:p>
        </w:tc>
      </w:tr>
      <w:tr>
        <w:tc>
          <w:tcPr>
            <w:tcW w:type="dxa" w:w="2322"/>
          </w:tcPr>
          <w:p>
            <w:pPr>
              <w:spacing w:after="20"/>
            </w:pPr>
            <w:r/>
            <w:r>
              <w:rPr>
                <w:b/>
                <w:sz w:val="19"/>
              </w:rPr>
              <w:t>FR / NFR</w:t>
            </w:r>
          </w:p>
        </w:tc>
        <w:tc>
          <w:tcPr>
            <w:tcW w:type="dxa" w:w="6966"/>
          </w:tcPr>
          <w:p>
            <w:pPr>
              <w:spacing w:after="20"/>
            </w:pPr>
            <w:r/>
            <w:r>
              <w:rPr>
                <w:b w:val="0"/>
                <w:sz w:val="19"/>
              </w:rPr>
              <w:t>Functional / Non-Functional Requirement</w:t>
            </w:r>
          </w:p>
        </w:tc>
      </w:tr>
      <w:tr>
        <w:tc>
          <w:tcPr>
            <w:tcW w:type="dxa" w:w="2322"/>
          </w:tcPr>
          <w:p>
            <w:pPr>
              <w:spacing w:after="20"/>
            </w:pPr>
            <w:r/>
            <w:r>
              <w:rPr>
                <w:b/>
                <w:sz w:val="19"/>
              </w:rPr>
              <w:t>SRS</w:t>
            </w:r>
          </w:p>
        </w:tc>
        <w:tc>
          <w:tcPr>
            <w:tcW w:type="dxa" w:w="6966"/>
          </w:tcPr>
          <w:p>
            <w:pPr>
              <w:spacing w:after="20"/>
            </w:pPr>
            <w:r/>
            <w:r>
              <w:rPr>
                <w:b w:val="0"/>
                <w:sz w:val="19"/>
              </w:rPr>
              <w:t>Software Requirements Specification</w:t>
            </w:r>
          </w:p>
        </w:tc>
      </w:tr>
      <w:tr>
        <w:tc>
          <w:tcPr>
            <w:tcW w:type="dxa" w:w="2322"/>
          </w:tcPr>
          <w:p>
            <w:pPr>
              <w:spacing w:after="20"/>
            </w:pPr>
            <w:r/>
            <w:r>
              <w:rPr>
                <w:b/>
                <w:sz w:val="19"/>
              </w:rPr>
              <w:t>RTM</w:t>
            </w:r>
          </w:p>
        </w:tc>
        <w:tc>
          <w:tcPr>
            <w:tcW w:type="dxa" w:w="6966"/>
          </w:tcPr>
          <w:p>
            <w:pPr>
              <w:spacing w:after="20"/>
            </w:pPr>
            <w:r/>
            <w:r>
              <w:rPr>
                <w:b w:val="0"/>
                <w:sz w:val="19"/>
              </w:rPr>
              <w:t>Requirements Traceability Matrix</w:t>
            </w:r>
          </w:p>
        </w:tc>
      </w:tr>
      <w:tr>
        <w:tc>
          <w:tcPr>
            <w:tcW w:type="dxa" w:w="2322"/>
          </w:tcPr>
          <w:p>
            <w:pPr>
              <w:spacing w:after="20"/>
            </w:pPr>
            <w:r/>
            <w:r>
              <w:rPr>
                <w:b/>
                <w:sz w:val="19"/>
              </w:rPr>
              <w:t>UC</w:t>
            </w:r>
          </w:p>
        </w:tc>
        <w:tc>
          <w:tcPr>
            <w:tcW w:type="dxa" w:w="6966"/>
          </w:tcPr>
          <w:p>
            <w:pPr>
              <w:spacing w:after="20"/>
            </w:pPr>
            <w:r/>
            <w:r>
              <w:rPr>
                <w:b w:val="0"/>
                <w:sz w:val="19"/>
              </w:rPr>
              <w:t>Use Case</w:t>
            </w:r>
          </w:p>
        </w:tc>
      </w:tr>
      <w:tr>
        <w:tc>
          <w:tcPr>
            <w:tcW w:type="dxa" w:w="2322"/>
          </w:tcPr>
          <w:p>
            <w:pPr>
              <w:spacing w:after="20"/>
            </w:pPr>
            <w:r/>
            <w:r>
              <w:rPr>
                <w:b/>
                <w:sz w:val="19"/>
              </w:rPr>
              <w:t>Seeding</w:t>
            </w:r>
          </w:p>
        </w:tc>
        <w:tc>
          <w:tcPr>
            <w:tcW w:type="dxa" w:w="6966"/>
          </w:tcPr>
          <w:p>
            <w:pPr>
              <w:spacing w:after="20"/>
            </w:pPr>
            <w:r/>
            <w:r>
              <w:rPr>
                <w:b w:val="0"/>
                <w:sz w:val="19"/>
              </w:rPr>
              <w:t>Placing teams in a bracket according to their initial ranking</w:t>
            </w:r>
          </w:p>
        </w:tc>
      </w:tr>
      <w:tr>
        <w:tc>
          <w:tcPr>
            <w:tcW w:type="dxa" w:w="2322"/>
          </w:tcPr>
          <w:p>
            <w:pPr>
              <w:spacing w:after="20"/>
            </w:pPr>
            <w:r/>
            <w:r>
              <w:rPr>
                <w:b/>
                <w:sz w:val="19"/>
              </w:rPr>
              <w:t>Bye</w:t>
            </w:r>
          </w:p>
        </w:tc>
        <w:tc>
          <w:tcPr>
            <w:tcW w:type="dxa" w:w="6966"/>
          </w:tcPr>
          <w:p>
            <w:pPr>
              <w:spacing w:after="20"/>
            </w:pPr>
            <w:r/>
            <w:r>
              <w:rPr>
                <w:b w:val="0"/>
                <w:sz w:val="19"/>
              </w:rPr>
              <w:t>An automatic pass to the next round given to a team when the number of teams is odd</w:t>
            </w:r>
          </w:p>
        </w:tc>
      </w:tr>
      <w:tr>
        <w:tc>
          <w:tcPr>
            <w:tcW w:type="dxa" w:w="2322"/>
          </w:tcPr>
          <w:p>
            <w:pPr>
              <w:spacing w:after="20"/>
            </w:pPr>
            <w:r/>
            <w:r>
              <w:rPr>
                <w:b/>
                <w:sz w:val="19"/>
              </w:rPr>
              <w:t>Single / Double elimination</w:t>
            </w:r>
          </w:p>
        </w:tc>
        <w:tc>
          <w:tcPr>
            <w:tcW w:type="dxa" w:w="6966"/>
          </w:tcPr>
          <w:p>
            <w:pPr>
              <w:spacing w:after="20"/>
            </w:pPr>
            <w:r/>
            <w:r>
              <w:rPr>
                <w:b w:val="0"/>
                <w:sz w:val="19"/>
              </w:rPr>
              <w:t>A team is out after one loss / after two losses</w:t>
            </w:r>
          </w:p>
        </w:tc>
      </w:tr>
      <w:tr>
        <w:tc>
          <w:tcPr>
            <w:tcW w:type="dxa" w:w="2322"/>
          </w:tcPr>
          <w:p>
            <w:pPr>
              <w:spacing w:after="20"/>
            </w:pPr>
            <w:r/>
            <w:r>
              <w:rPr>
                <w:b/>
                <w:sz w:val="19"/>
              </w:rPr>
              <w:t>Tiebreaker</w:t>
            </w:r>
          </w:p>
        </w:tc>
        <w:tc>
          <w:tcPr>
            <w:tcW w:type="dxa" w:w="6966"/>
          </w:tcPr>
          <w:p>
            <w:pPr>
              <w:spacing w:after="20"/>
            </w:pPr>
            <w:r/>
            <w:r>
              <w:rPr>
                <w:b w:val="0"/>
                <w:sz w:val="19"/>
              </w:rPr>
              <w:t>Rule used to order teams that are level on points (goal differential, then head-to-head)</w:t>
            </w:r>
          </w:p>
        </w:tc>
      </w:tr>
      <w:tr>
        <w:tc>
          <w:tcPr>
            <w:tcW w:type="dxa" w:w="2322"/>
          </w:tcPr>
          <w:p>
            <w:pPr>
              <w:spacing w:after="20"/>
            </w:pPr>
            <w:r/>
            <w:r>
              <w:rPr>
                <w:b/>
                <w:sz w:val="19"/>
              </w:rPr>
              <w:t>Team Captain</w:t>
            </w:r>
          </w:p>
        </w:tc>
        <w:tc>
          <w:tcPr>
            <w:tcW w:type="dxa" w:w="6966"/>
          </w:tcPr>
          <w:p>
            <w:pPr>
              <w:spacing w:after="20"/>
            </w:pPr>
            <w:r/>
            <w:r>
              <w:rPr>
                <w:b w:val="0"/>
                <w:sz w:val="19"/>
              </w:rPr>
              <w:t>Registered representative of a team</w:t>
            </w:r>
          </w:p>
        </w:tc>
      </w:tr>
      <w:tr>
        <w:tc>
          <w:tcPr>
            <w:tcW w:type="dxa" w:w="2322"/>
          </w:tcPr>
          <w:p>
            <w:pPr>
              <w:spacing w:after="20"/>
            </w:pPr>
            <w:r/>
            <w:r>
              <w:rPr>
                <w:b/>
                <w:sz w:val="19"/>
              </w:rPr>
              <w:t>Tournament Director</w:t>
            </w:r>
          </w:p>
        </w:tc>
        <w:tc>
          <w:tcPr>
            <w:tcW w:type="dxa" w:w="6966"/>
          </w:tcPr>
          <w:p>
            <w:pPr>
              <w:spacing w:after="20"/>
            </w:pPr>
            <w:r/>
            <w:r>
              <w:rPr>
                <w:b w:val="0"/>
                <w:sz w:val="19"/>
              </w:rPr>
              <w:t>Administrator who runs the tournament and enters official scores</w:t>
            </w:r>
          </w:p>
        </w:tc>
      </w:tr>
      <w:tr>
        <w:tc>
          <w:tcPr>
            <w:tcW w:type="dxa" w:w="2322"/>
          </w:tcPr>
          <w:p>
            <w:pPr>
              <w:spacing w:after="20"/>
            </w:pPr>
            <w:r/>
            <w:r>
              <w:rPr>
                <w:b/>
                <w:sz w:val="19"/>
              </w:rPr>
              <w:t>Spectator</w:t>
            </w:r>
          </w:p>
        </w:tc>
        <w:tc>
          <w:tcPr>
            <w:tcW w:type="dxa" w:w="6966"/>
          </w:tcPr>
          <w:p>
            <w:pPr>
              <w:spacing w:after="20"/>
            </w:pPr>
            <w:r/>
            <w:r>
              <w:rPr>
                <w:b w:val="0"/>
                <w:sz w:val="19"/>
              </w:rPr>
              <w:t>Read-only viewer of brackets and standings</w:t>
            </w:r>
          </w:p>
        </w:tc>
      </w:tr>
    </w:tbl>
    <w:p>
      <w:pPr>
        <w:spacing w:after="40"/>
      </w:pPr>
    </w:p>
    <w:p>
      <w:pPr>
        <w:pStyle w:val="Heading2"/>
      </w:pPr>
      <w:r>
        <w:t>1.4 References</w:t>
      </w:r>
    </w:p>
    <w:p>
      <w:pPr>
        <w:pStyle w:val="ListBullet"/>
      </w:pPr>
      <w:r>
        <w:t>IEEE Std 830-1998, Recommended Practice for Software Requirements Specifications.</w:t>
      </w:r>
    </w:p>
    <w:p>
      <w:pPr>
        <w:pStyle w:val="ListBullet"/>
      </w:pPr>
      <w:r>
        <w:t>ISO/IEC/IEEE 29148:2018, Requirements engineering.</w:t>
      </w:r>
    </w:p>
    <w:p>
      <w:pPr>
        <w:pStyle w:val="ListBullet"/>
      </w:pPr>
      <w:r>
        <w:t>Lab 1 Problem Statement #54 (54_SE_Lab1_SE_Problem_Statements.pdf).</w:t>
      </w:r>
    </w:p>
    <w:p>
      <w:pPr>
        <w:pStyle w:val="ListBullet"/>
      </w:pPr>
      <w:r>
        <w:t>Requirements Table, Use-Case Diagram, Use-Case Flow Specification (UC-04): folder 1_RE.</w:t>
      </w:r>
    </w:p>
    <w:p>
      <w:pPr>
        <w:pStyle w:val="ListBullet"/>
      </w:pPr>
      <w:r>
        <w:t>Requirements Traceability Matrix (RTM_PS54.docx): folder 1_RE.</w:t>
      </w:r>
    </w:p>
    <w:p>
      <w:pPr>
        <w:pStyle w:val="ListBullet"/>
      </w:pPr>
      <w:r>
        <w:t>Architecture Diagram (Architecture_Diagram_PS54.png): folder 2_Architecture.</w:t>
      </w:r>
    </w:p>
    <w:p>
      <w:pPr>
        <w:pStyle w:val="Heading2"/>
      </w:pPr>
      <w:r>
        <w:t>1.5 Overview</w:t>
      </w:r>
    </w:p>
    <w:p>
      <w:r>
        <w:rPr>
          <w:b w:val="0"/>
          <w:i w:val="0"/>
        </w:rPr>
        <w:t>Section 2 describes the product in general terms. Section 3 lists the specific functional, non-functional, interface and design requirements. Section 4 contains supporting appendices.</w:t>
      </w:r>
    </w:p>
    <w:p>
      <w:pPr>
        <w:pStyle w:val="Heading1"/>
      </w:pPr>
      <w:r>
        <w:t>2. Overall Description</w:t>
      </w:r>
    </w:p>
    <w:p>
      <w:pPr>
        <w:pStyle w:val="Heading2"/>
      </w:pPr>
      <w:r>
        <w:t>2.1 Product Perspective</w:t>
      </w:r>
    </w:p>
    <w:p>
      <w:r>
        <w:rPr>
          <w:b w:val="0"/>
          <w:i w:val="0"/>
        </w:rPr>
        <w:t>The system is a new, self-contained web application. It follows a layered architecture (Presentation, Application/Service, Data) with cross-cutting authentication and notification services, as shown in the Architecture Diagram. It does not depend on any existing system.</w:t>
      </w:r>
    </w:p>
    <w:p>
      <w:pPr>
        <w:pStyle w:val="Heading2"/>
      </w:pPr>
      <w:r>
        <w:t>2.2 Product Functions</w:t>
      </w:r>
    </w:p>
    <w:tbl>
      <w:tblPr>
        <w:tblStyle w:val="TableGrid"/>
        <w:tblW w:type="auto" w:w="0"/>
        <w:tblLayout w:type="fixed"/>
        <w:tblLook w:firstColumn="1" w:firstRow="1" w:lastColumn="0" w:lastRow="0" w:noHBand="0" w:noVBand="1" w:val="04A0"/>
      </w:tblPr>
      <w:tblGrid>
        <w:gridCol w:w="1327"/>
        <w:gridCol w:w="5307"/>
        <w:gridCol w:w="2654"/>
      </w:tblGrid>
      <w:tr>
        <w:trPr>
          <w:tblHeader w:val="true"/>
        </w:trPr>
        <w:tc>
          <w:tcPr>
            <w:tcW w:type="dxa" w:w="1327"/>
            <w:shd w:val="clear" w:color="auto" w:fill="D9D9D9"/>
          </w:tcPr>
          <w:p>
            <w:pPr>
              <w:spacing w:after="20"/>
            </w:pPr>
            <w:r/>
            <w:r>
              <w:rPr>
                <w:b/>
                <w:sz w:val="19"/>
              </w:rPr>
              <w:t>ID</w:t>
            </w:r>
          </w:p>
        </w:tc>
        <w:tc>
          <w:tcPr>
            <w:tcW w:type="dxa" w:w="5307"/>
            <w:shd w:val="clear" w:color="auto" w:fill="D9D9D9"/>
          </w:tcPr>
          <w:p>
            <w:pPr>
              <w:spacing w:after="20"/>
            </w:pPr>
            <w:r/>
            <w:r>
              <w:rPr>
                <w:b/>
                <w:sz w:val="19"/>
              </w:rPr>
              <w:t>Use Case</w:t>
            </w:r>
          </w:p>
        </w:tc>
        <w:tc>
          <w:tcPr>
            <w:tcW w:type="dxa" w:w="2654"/>
            <w:shd w:val="clear" w:color="auto" w:fill="D9D9D9"/>
          </w:tcPr>
          <w:p>
            <w:pPr>
              <w:spacing w:after="20"/>
            </w:pPr>
            <w:r/>
            <w:r>
              <w:rPr>
                <w:b/>
                <w:sz w:val="19"/>
              </w:rPr>
              <w:t>Main Actor</w:t>
            </w:r>
          </w:p>
        </w:tc>
      </w:tr>
      <w:tr>
        <w:tc>
          <w:tcPr>
            <w:tcW w:type="dxa" w:w="1327"/>
          </w:tcPr>
          <w:p>
            <w:pPr>
              <w:spacing w:after="20"/>
            </w:pPr>
            <w:r/>
            <w:r>
              <w:rPr>
                <w:b/>
                <w:sz w:val="19"/>
              </w:rPr>
              <w:t>UC-01</w:t>
            </w:r>
          </w:p>
        </w:tc>
        <w:tc>
          <w:tcPr>
            <w:tcW w:type="dxa" w:w="5307"/>
          </w:tcPr>
          <w:p>
            <w:pPr>
              <w:spacing w:after="20"/>
            </w:pPr>
            <w:r/>
            <w:r>
              <w:rPr>
                <w:b w:val="0"/>
                <w:sz w:val="19"/>
              </w:rPr>
              <w:t>Register Team</w:t>
            </w:r>
          </w:p>
        </w:tc>
        <w:tc>
          <w:tcPr>
            <w:tcW w:type="dxa" w:w="2654"/>
          </w:tcPr>
          <w:p>
            <w:pPr>
              <w:spacing w:after="20"/>
            </w:pPr>
            <w:r/>
            <w:r>
              <w:rPr>
                <w:b w:val="0"/>
                <w:sz w:val="19"/>
              </w:rPr>
              <w:t>Team Captain</w:t>
            </w:r>
          </w:p>
        </w:tc>
      </w:tr>
      <w:tr>
        <w:tc>
          <w:tcPr>
            <w:tcW w:type="dxa" w:w="1327"/>
          </w:tcPr>
          <w:p>
            <w:pPr>
              <w:spacing w:after="20"/>
            </w:pPr>
            <w:r/>
            <w:r>
              <w:rPr>
                <w:b/>
                <w:sz w:val="19"/>
              </w:rPr>
              <w:t>UC-02</w:t>
            </w:r>
          </w:p>
        </w:tc>
        <w:tc>
          <w:tcPr>
            <w:tcW w:type="dxa" w:w="5307"/>
          </w:tcPr>
          <w:p>
            <w:pPr>
              <w:spacing w:after="20"/>
            </w:pPr>
            <w:r/>
            <w:r>
              <w:rPr>
                <w:b w:val="0"/>
                <w:sz w:val="19"/>
              </w:rPr>
              <w:t>Generate Tournament Bracket</w:t>
            </w:r>
          </w:p>
        </w:tc>
        <w:tc>
          <w:tcPr>
            <w:tcW w:type="dxa" w:w="2654"/>
          </w:tcPr>
          <w:p>
            <w:pPr>
              <w:spacing w:after="20"/>
            </w:pPr>
            <w:r/>
            <w:r>
              <w:rPr>
                <w:b w:val="0"/>
                <w:sz w:val="19"/>
              </w:rPr>
              <w:t>Tournament Director</w:t>
            </w:r>
          </w:p>
        </w:tc>
      </w:tr>
      <w:tr>
        <w:tc>
          <w:tcPr>
            <w:tcW w:type="dxa" w:w="1327"/>
          </w:tcPr>
          <w:p>
            <w:pPr>
              <w:spacing w:after="20"/>
            </w:pPr>
            <w:r/>
            <w:r>
              <w:rPr>
                <w:b/>
                <w:sz w:val="19"/>
              </w:rPr>
              <w:t>UC-03</w:t>
            </w:r>
          </w:p>
        </w:tc>
        <w:tc>
          <w:tcPr>
            <w:tcW w:type="dxa" w:w="5307"/>
          </w:tcPr>
          <w:p>
            <w:pPr>
              <w:spacing w:after="20"/>
            </w:pPr>
            <w:r/>
            <w:r>
              <w:rPr>
                <w:b w:val="0"/>
                <w:sz w:val="19"/>
              </w:rPr>
              <w:t>Seed Teams by Ranking (included by UC-02)</w:t>
            </w:r>
          </w:p>
        </w:tc>
        <w:tc>
          <w:tcPr>
            <w:tcW w:type="dxa" w:w="2654"/>
          </w:tcPr>
          <w:p>
            <w:pPr>
              <w:spacing w:after="20"/>
            </w:pPr>
            <w:r/>
            <w:r>
              <w:rPr>
                <w:b w:val="0"/>
                <w:sz w:val="19"/>
              </w:rPr>
              <w:t>Tournament Director</w:t>
            </w:r>
          </w:p>
        </w:tc>
      </w:tr>
      <w:tr>
        <w:tc>
          <w:tcPr>
            <w:tcW w:type="dxa" w:w="1327"/>
          </w:tcPr>
          <w:p>
            <w:pPr>
              <w:spacing w:after="20"/>
            </w:pPr>
            <w:r/>
            <w:r>
              <w:rPr>
                <w:b/>
                <w:sz w:val="19"/>
              </w:rPr>
              <w:t>UC-04</w:t>
            </w:r>
          </w:p>
        </w:tc>
        <w:tc>
          <w:tcPr>
            <w:tcW w:type="dxa" w:w="5307"/>
          </w:tcPr>
          <w:p>
            <w:pPr>
              <w:spacing w:after="20"/>
            </w:pPr>
            <w:r/>
            <w:r>
              <w:rPr>
                <w:b w:val="0"/>
                <w:sz w:val="19"/>
              </w:rPr>
              <w:t>Submit Match Score</w:t>
            </w:r>
          </w:p>
        </w:tc>
        <w:tc>
          <w:tcPr>
            <w:tcW w:type="dxa" w:w="2654"/>
          </w:tcPr>
          <w:p>
            <w:pPr>
              <w:spacing w:after="20"/>
            </w:pPr>
            <w:r/>
            <w:r>
              <w:rPr>
                <w:b w:val="0"/>
                <w:sz w:val="19"/>
              </w:rPr>
              <w:t>Tournament Director</w:t>
            </w:r>
          </w:p>
        </w:tc>
      </w:tr>
      <w:tr>
        <w:tc>
          <w:tcPr>
            <w:tcW w:type="dxa" w:w="1327"/>
          </w:tcPr>
          <w:p>
            <w:pPr>
              <w:spacing w:after="20"/>
            </w:pPr>
            <w:r/>
            <w:r>
              <w:rPr>
                <w:b/>
                <w:sz w:val="19"/>
              </w:rPr>
              <w:t>UC-05</w:t>
            </w:r>
          </w:p>
        </w:tc>
        <w:tc>
          <w:tcPr>
            <w:tcW w:type="dxa" w:w="5307"/>
          </w:tcPr>
          <w:p>
            <w:pPr>
              <w:spacing w:after="20"/>
            </w:pPr>
            <w:r/>
            <w:r>
              <w:rPr>
                <w:b w:val="0"/>
                <w:sz w:val="19"/>
              </w:rPr>
              <w:t>Update Standings (included by UC-04)</w:t>
            </w:r>
          </w:p>
        </w:tc>
        <w:tc>
          <w:tcPr>
            <w:tcW w:type="dxa" w:w="2654"/>
          </w:tcPr>
          <w:p>
            <w:pPr>
              <w:spacing w:after="20"/>
            </w:pPr>
            <w:r/>
            <w:r>
              <w:rPr>
                <w:b w:val="0"/>
                <w:sz w:val="19"/>
              </w:rPr>
              <w:t>System</w:t>
            </w:r>
          </w:p>
        </w:tc>
      </w:tr>
      <w:tr>
        <w:tc>
          <w:tcPr>
            <w:tcW w:type="dxa" w:w="1327"/>
          </w:tcPr>
          <w:p>
            <w:pPr>
              <w:spacing w:after="20"/>
            </w:pPr>
            <w:r/>
            <w:r>
              <w:rPr>
                <w:b/>
                <w:sz w:val="19"/>
              </w:rPr>
              <w:t>UC-06</w:t>
            </w:r>
          </w:p>
        </w:tc>
        <w:tc>
          <w:tcPr>
            <w:tcW w:type="dxa" w:w="5307"/>
          </w:tcPr>
          <w:p>
            <w:pPr>
              <w:spacing w:after="20"/>
            </w:pPr>
            <w:r/>
            <w:r>
              <w:rPr>
                <w:b w:val="0"/>
                <w:sz w:val="19"/>
              </w:rPr>
              <w:t>Apply Tiebreaker Rules (extends UC-05 when teams are tied)</w:t>
            </w:r>
          </w:p>
        </w:tc>
        <w:tc>
          <w:tcPr>
            <w:tcW w:type="dxa" w:w="2654"/>
          </w:tcPr>
          <w:p>
            <w:pPr>
              <w:spacing w:after="20"/>
            </w:pPr>
            <w:r/>
            <w:r>
              <w:rPr>
                <w:b w:val="0"/>
                <w:sz w:val="19"/>
              </w:rPr>
              <w:t>System</w:t>
            </w:r>
          </w:p>
        </w:tc>
      </w:tr>
      <w:tr>
        <w:tc>
          <w:tcPr>
            <w:tcW w:type="dxa" w:w="1327"/>
          </w:tcPr>
          <w:p>
            <w:pPr>
              <w:spacing w:after="20"/>
            </w:pPr>
            <w:r/>
            <w:r>
              <w:rPr>
                <w:b/>
                <w:sz w:val="19"/>
              </w:rPr>
              <w:t>UC-07</w:t>
            </w:r>
          </w:p>
        </w:tc>
        <w:tc>
          <w:tcPr>
            <w:tcW w:type="dxa" w:w="5307"/>
          </w:tcPr>
          <w:p>
            <w:pPr>
              <w:spacing w:after="20"/>
            </w:pPr>
            <w:r/>
            <w:r>
              <w:rPr>
                <w:b w:val="0"/>
                <w:sz w:val="19"/>
              </w:rPr>
              <w:t>View Standings / Bracket</w:t>
            </w:r>
          </w:p>
        </w:tc>
        <w:tc>
          <w:tcPr>
            <w:tcW w:type="dxa" w:w="2654"/>
          </w:tcPr>
          <w:p>
            <w:pPr>
              <w:spacing w:after="20"/>
            </w:pPr>
            <w:r/>
            <w:r>
              <w:rPr>
                <w:b w:val="0"/>
                <w:sz w:val="19"/>
              </w:rPr>
              <w:t>Team Captain, Spectator</w:t>
            </w:r>
          </w:p>
        </w:tc>
      </w:tr>
    </w:tbl>
    <w:p>
      <w:pPr>
        <w:spacing w:after="40"/>
      </w:pPr>
    </w:p>
    <w:p>
      <w:pPr>
        <w:pStyle w:val="Heading2"/>
      </w:pPr>
      <w:r>
        <w:t>2.3 User Classes and Characteristics</w:t>
      </w:r>
    </w:p>
    <w:tbl>
      <w:tblPr>
        <w:tblStyle w:val="TableGrid"/>
        <w:tblW w:type="auto" w:w="0"/>
        <w:tblLayout w:type="fixed"/>
        <w:tblLook w:firstColumn="1" w:firstRow="1" w:lastColumn="0" w:lastRow="0" w:noHBand="0" w:noVBand="1" w:val="04A0"/>
      </w:tblPr>
      <w:tblGrid>
        <w:gridCol w:w="1990"/>
        <w:gridCol w:w="3981"/>
        <w:gridCol w:w="3317"/>
      </w:tblGrid>
      <w:tr>
        <w:trPr>
          <w:tblHeader w:val="true"/>
        </w:trPr>
        <w:tc>
          <w:tcPr>
            <w:tcW w:type="dxa" w:w="1990"/>
            <w:shd w:val="clear" w:color="auto" w:fill="D9D9D9"/>
          </w:tcPr>
          <w:p>
            <w:pPr>
              <w:spacing w:after="20"/>
            </w:pPr>
            <w:r/>
            <w:r>
              <w:rPr>
                <w:b/>
                <w:sz w:val="19"/>
              </w:rPr>
              <w:t>User</w:t>
            </w:r>
          </w:p>
        </w:tc>
        <w:tc>
          <w:tcPr>
            <w:tcW w:type="dxa" w:w="3981"/>
            <w:shd w:val="clear" w:color="auto" w:fill="D9D9D9"/>
          </w:tcPr>
          <w:p>
            <w:pPr>
              <w:spacing w:after="20"/>
            </w:pPr>
            <w:r/>
            <w:r>
              <w:rPr>
                <w:b/>
                <w:sz w:val="19"/>
              </w:rPr>
              <w:t>Characteristics</w:t>
            </w:r>
          </w:p>
        </w:tc>
        <w:tc>
          <w:tcPr>
            <w:tcW w:type="dxa" w:w="3317"/>
            <w:shd w:val="clear" w:color="auto" w:fill="D9D9D9"/>
          </w:tcPr>
          <w:p>
            <w:pPr>
              <w:spacing w:after="20"/>
            </w:pPr>
            <w:r/>
            <w:r>
              <w:rPr>
                <w:b/>
                <w:sz w:val="19"/>
              </w:rPr>
              <w:t>Access</w:t>
            </w:r>
          </w:p>
        </w:tc>
      </w:tr>
      <w:tr>
        <w:tc>
          <w:tcPr>
            <w:tcW w:type="dxa" w:w="1990"/>
          </w:tcPr>
          <w:p>
            <w:pPr>
              <w:spacing w:after="20"/>
            </w:pPr>
            <w:r/>
            <w:r>
              <w:rPr>
                <w:b/>
                <w:sz w:val="19"/>
              </w:rPr>
              <w:t>Team Captain</w:t>
            </w:r>
          </w:p>
        </w:tc>
        <w:tc>
          <w:tcPr>
            <w:tcW w:type="dxa" w:w="3981"/>
          </w:tcPr>
          <w:p>
            <w:pPr>
              <w:spacing w:after="20"/>
            </w:pPr>
            <w:r/>
            <w:r>
              <w:rPr>
                <w:b w:val="0"/>
                <w:sz w:val="19"/>
              </w:rPr>
              <w:t>Non-technical; registers a team and follows its progress</w:t>
            </w:r>
          </w:p>
        </w:tc>
        <w:tc>
          <w:tcPr>
            <w:tcW w:type="dxa" w:w="3317"/>
          </w:tcPr>
          <w:p>
            <w:pPr>
              <w:spacing w:after="20"/>
            </w:pPr>
            <w:r/>
            <w:r>
              <w:rPr>
                <w:b w:val="0"/>
                <w:sz w:val="19"/>
              </w:rPr>
              <w:t>Register, view bracket/standings, receive notifications</w:t>
            </w:r>
          </w:p>
        </w:tc>
      </w:tr>
      <w:tr>
        <w:tc>
          <w:tcPr>
            <w:tcW w:type="dxa" w:w="1990"/>
          </w:tcPr>
          <w:p>
            <w:pPr>
              <w:spacing w:after="20"/>
            </w:pPr>
            <w:r/>
            <w:r>
              <w:rPr>
                <w:b/>
                <w:sz w:val="19"/>
              </w:rPr>
              <w:t>Tournament Director</w:t>
            </w:r>
          </w:p>
        </w:tc>
        <w:tc>
          <w:tcPr>
            <w:tcW w:type="dxa" w:w="3981"/>
          </w:tcPr>
          <w:p>
            <w:pPr>
              <w:spacing w:after="20"/>
            </w:pPr>
            <w:r/>
            <w:r>
              <w:rPr>
                <w:b w:val="0"/>
                <w:sz w:val="19"/>
              </w:rPr>
              <w:t>Runs the event; needs fast, reliable score entry</w:t>
            </w:r>
          </w:p>
        </w:tc>
        <w:tc>
          <w:tcPr>
            <w:tcW w:type="dxa" w:w="3317"/>
          </w:tcPr>
          <w:p>
            <w:pPr>
              <w:spacing w:after="20"/>
            </w:pPr>
            <w:r/>
            <w:r>
              <w:rPr>
                <w:b w:val="0"/>
                <w:sz w:val="19"/>
              </w:rPr>
              <w:t>Generate bracket, submit scores, view all</w:t>
            </w:r>
          </w:p>
        </w:tc>
      </w:tr>
      <w:tr>
        <w:tc>
          <w:tcPr>
            <w:tcW w:type="dxa" w:w="1990"/>
          </w:tcPr>
          <w:p>
            <w:pPr>
              <w:spacing w:after="20"/>
            </w:pPr>
            <w:r/>
            <w:r>
              <w:rPr>
                <w:b/>
                <w:sz w:val="19"/>
              </w:rPr>
              <w:t>Spectator</w:t>
            </w:r>
          </w:p>
        </w:tc>
        <w:tc>
          <w:tcPr>
            <w:tcW w:type="dxa" w:w="3981"/>
          </w:tcPr>
          <w:p>
            <w:pPr>
              <w:spacing w:after="20"/>
            </w:pPr>
            <w:r/>
            <w:r>
              <w:rPr>
                <w:b w:val="0"/>
                <w:sz w:val="19"/>
              </w:rPr>
              <w:t>Anonymous visitor on phone or laptop</w:t>
            </w:r>
          </w:p>
        </w:tc>
        <w:tc>
          <w:tcPr>
            <w:tcW w:type="dxa" w:w="3317"/>
          </w:tcPr>
          <w:p>
            <w:pPr>
              <w:spacing w:after="20"/>
            </w:pPr>
            <w:r/>
            <w:r>
              <w:rPr>
                <w:b w:val="0"/>
                <w:sz w:val="19"/>
              </w:rPr>
              <w:t>Read-only views</w:t>
            </w:r>
          </w:p>
        </w:tc>
      </w:tr>
    </w:tbl>
    <w:p>
      <w:pPr>
        <w:spacing w:after="40"/>
      </w:pPr>
    </w:p>
    <w:p>
      <w:pPr>
        <w:pStyle w:val="Heading2"/>
      </w:pPr>
      <w:r>
        <w:t>2.4 Operating Environment</w:t>
      </w:r>
    </w:p>
    <w:p>
      <w:r>
        <w:rPr>
          <w:b w:val="0"/>
          <w:i w:val="0"/>
        </w:rPr>
        <w:t>A web application accessed through current versions of common browsers (Chrome, Edge, Firefox, Safari) on desktop and mobile devices, with a server-side application and a relational database hosted on a cloud or campus server.</w:t>
      </w:r>
    </w:p>
    <w:p>
      <w:pPr>
        <w:pStyle w:val="Heading2"/>
      </w:pPr>
      <w:r>
        <w:t>2.5 Design and Implementation Constraints</w:t>
      </w:r>
    </w:p>
    <w:p>
      <w:pPr>
        <w:pStyle w:val="ListBullet"/>
      </w:pPr>
      <w:r>
        <w:t>Must follow the layered architecture in the Architecture Diagram.</w:t>
      </w:r>
    </w:p>
    <w:p>
      <w:pPr>
        <w:pStyle w:val="ListBullet"/>
      </w:pPr>
      <w:r>
        <w:t>Standings must recalculate within 200 ms of score submission (NFR-001).</w:t>
      </w:r>
    </w:p>
    <w:p>
      <w:pPr>
        <w:pStyle w:val="ListBullet"/>
      </w:pPr>
      <w:r>
        <w:t>Registration must close at the stored deadline timestamp (FR-002).</w:t>
      </w:r>
    </w:p>
    <w:p>
      <w:pPr>
        <w:pStyle w:val="Heading2"/>
      </w:pPr>
      <w:r>
        <w:t>2.6 Assumptions and Dependencies</w:t>
      </w:r>
    </w:p>
    <w:p>
      <w:pPr>
        <w:pStyle w:val="ListBullet"/>
      </w:pPr>
      <w:r>
        <w:t>Team rankings used for seeding are supplied or entered by the Tournament Director before bracket generation.</w:t>
      </w:r>
    </w:p>
    <w:p>
      <w:pPr>
        <w:pStyle w:val="ListBullet"/>
      </w:pPr>
      <w:r>
        <w:t>Scores are whole-number goals/points entered by the Tournament Director only.</w:t>
      </w:r>
    </w:p>
    <w:p>
      <w:pPr>
        <w:pStyle w:val="ListBullet"/>
      </w:pPr>
      <w:r>
        <w:t>Notifications are in-app (and optionally email); SMS is not required.</w:t>
      </w:r>
    </w:p>
    <w:p>
      <w:pPr>
        <w:pStyle w:val="ListBullet"/>
      </w:pPr>
      <w:r>
        <w:t>Each tournament is run by one Tournament Director account at a time.</w:t>
      </w:r>
    </w:p>
    <w:p>
      <w:pPr>
        <w:pStyle w:val="Heading1"/>
      </w:pPr>
      <w:r>
        <w:t>3. Specific Requirements</w:t>
      </w:r>
    </w:p>
    <w:p>
      <w:pPr>
        <w:pStyle w:val="Heading2"/>
      </w:pPr>
      <w:r>
        <w:t>3.1 External Interface Requirements</w:t>
      </w:r>
    </w:p>
    <w:p>
      <w:pPr>
        <w:pStyle w:val="Heading3"/>
      </w:pPr>
      <w:r>
        <w:t>3.1.1 User Interfaces</w:t>
      </w:r>
    </w:p>
    <w:p>
      <w:pPr>
        <w:pStyle w:val="ListBullet"/>
      </w:pPr>
      <w:r>
        <w:t>Registration form (team name, captain details, player roster).</w:t>
      </w:r>
    </w:p>
    <w:p>
      <w:pPr>
        <w:pStyle w:val="ListBullet"/>
      </w:pPr>
      <w:r>
        <w:t>Bracket generation page (format: single or double elimination).</w:t>
      </w:r>
    </w:p>
    <w:p>
      <w:pPr>
        <w:pStyle w:val="ListBullet"/>
      </w:pPr>
      <w:r>
        <w:t>Score-entry form for both teams in a match.</w:t>
      </w:r>
    </w:p>
    <w:p>
      <w:pPr>
        <w:pStyle w:val="ListBullet"/>
      </w:pPr>
      <w:r>
        <w:t>Live bracket view and standings/leaderboard page, readable on mobile screens.</w:t>
      </w:r>
    </w:p>
    <w:p>
      <w:pPr>
        <w:pStyle w:val="Heading3"/>
      </w:pPr>
      <w:r>
        <w:t>3.1.2 Software Interfaces</w:t>
      </w:r>
    </w:p>
    <w:p>
      <w:r>
        <w:rPr>
          <w:b w:val="0"/>
          <w:i w:val="0"/>
        </w:rPr>
        <w:t>The browser UI communicates with the server through a REST API (JSON over HTTPS). The services use a relational database for teams, players, matches, brackets, scores and standings.</w:t>
      </w:r>
    </w:p>
    <w:p>
      <w:pPr>
        <w:pStyle w:val="Heading3"/>
      </w:pPr>
      <w:r>
        <w:t>3.1.3 Communication Interfaces</w:t>
      </w:r>
    </w:p>
    <w:p>
      <w:r>
        <w:rPr>
          <w:b w:val="0"/>
          <w:i w:val="0"/>
        </w:rPr>
        <w:t>HTTPS for all client–server traffic. Notifications are sent through the Notification Service (in-app, optionally email).</w:t>
      </w:r>
    </w:p>
    <w:p>
      <w:pPr>
        <w:pStyle w:val="Heading2"/>
      </w:pPr>
      <w:r>
        <w:t>3.2 Functional Requirements</w:t>
      </w:r>
    </w:p>
    <w:p>
      <w:pPr>
        <w:pStyle w:val="Heading3"/>
      </w:pPr>
      <w:r>
        <w:t>3.2.1  FR-001: Generate seeded bracket</w:t>
      </w:r>
    </w:p>
    <w:tbl>
      <w:tblPr>
        <w:tblStyle w:val="TableGrid"/>
        <w:tblW w:type="auto" w:w="0"/>
        <w:tblLayout w:type="fixed"/>
        <w:tblLook w:firstColumn="1" w:firstRow="1" w:lastColumn="0" w:lastRow="0" w:noHBand="0" w:noVBand="1" w:val="04A0"/>
      </w:tblPr>
      <w:tblGrid>
        <w:gridCol w:w="2032"/>
        <w:gridCol w:w="7256"/>
      </w:tblGrid>
      <w:tr>
        <w:trPr>
          <w:tblHeader w:val="true"/>
        </w:trPr>
        <w:tc>
          <w:tcPr>
            <w:tcW w:type="dxa" w:w="2032"/>
            <w:shd w:val="clear" w:color="auto" w:fill="D9D9D9"/>
          </w:tcPr>
          <w:p>
            <w:pPr>
              <w:spacing w:after="20"/>
            </w:pPr>
            <w:r/>
            <w:r>
              <w:rPr>
                <w:b/>
                <w:sz w:val="19"/>
              </w:rPr>
              <w:t>Field</w:t>
            </w:r>
          </w:p>
        </w:tc>
        <w:tc>
          <w:tcPr>
            <w:tcW w:type="dxa" w:w="7256"/>
            <w:shd w:val="clear" w:color="auto" w:fill="D9D9D9"/>
          </w:tcPr>
          <w:p>
            <w:pPr>
              <w:spacing w:after="20"/>
            </w:pPr>
            <w:r/>
            <w:r>
              <w:rPr>
                <w:b/>
                <w:sz w:val="19"/>
              </w:rPr>
              <w:t>Specification</w:t>
            </w:r>
          </w:p>
        </w:tc>
      </w:tr>
      <w:tr>
        <w:tc>
          <w:tcPr>
            <w:tcW w:type="dxa" w:w="2032"/>
          </w:tcPr>
          <w:p>
            <w:pPr>
              <w:spacing w:after="20"/>
            </w:pPr>
            <w:r/>
            <w:r>
              <w:rPr>
                <w:b/>
                <w:sz w:val="19"/>
              </w:rPr>
              <w:t>Priority</w:t>
            </w:r>
          </w:p>
        </w:tc>
        <w:tc>
          <w:tcPr>
            <w:tcW w:type="dxa" w:w="7256"/>
          </w:tcPr>
          <w:p>
            <w:pPr>
              <w:spacing w:after="20"/>
            </w:pPr>
            <w:r/>
            <w:r>
              <w:rPr>
                <w:b w:val="0"/>
                <w:sz w:val="19"/>
              </w:rPr>
              <w:t>High</w:t>
            </w:r>
          </w:p>
        </w:tc>
      </w:tr>
      <w:tr>
        <w:tc>
          <w:tcPr>
            <w:tcW w:type="dxa" w:w="2032"/>
          </w:tcPr>
          <w:p>
            <w:pPr>
              <w:spacing w:after="20"/>
            </w:pPr>
            <w:r/>
            <w:r>
              <w:rPr>
                <w:b/>
                <w:sz w:val="19"/>
              </w:rPr>
              <w:t>Use cases</w:t>
            </w:r>
          </w:p>
        </w:tc>
        <w:tc>
          <w:tcPr>
            <w:tcW w:type="dxa" w:w="7256"/>
          </w:tcPr>
          <w:p>
            <w:pPr>
              <w:spacing w:after="20"/>
            </w:pPr>
            <w:r/>
            <w:r>
              <w:rPr>
                <w:b w:val="0"/>
                <w:sz w:val="19"/>
              </w:rPr>
              <w:t>UC-02, UC-03</w:t>
            </w:r>
          </w:p>
        </w:tc>
      </w:tr>
      <w:tr>
        <w:tc>
          <w:tcPr>
            <w:tcW w:type="dxa" w:w="2032"/>
          </w:tcPr>
          <w:p>
            <w:pPr>
              <w:spacing w:after="20"/>
            </w:pPr>
            <w:r/>
            <w:r>
              <w:rPr>
                <w:b/>
                <w:sz w:val="19"/>
              </w:rPr>
              <w:t>Description</w:t>
            </w:r>
          </w:p>
        </w:tc>
        <w:tc>
          <w:tcPr>
            <w:tcW w:type="dxa" w:w="7256"/>
          </w:tcPr>
          <w:p>
            <w:pPr>
              <w:spacing w:after="20"/>
            </w:pPr>
            <w:r/>
            <w:r>
              <w:rPr>
                <w:b w:val="0"/>
                <w:sz w:val="19"/>
              </w:rPr>
              <w:t>The system shall automatically generate seeded single/double elimination tournament brackets based on initial team rankings.</w:t>
            </w:r>
          </w:p>
        </w:tc>
      </w:tr>
      <w:tr>
        <w:tc>
          <w:tcPr>
            <w:tcW w:type="dxa" w:w="2032"/>
          </w:tcPr>
          <w:p>
            <w:pPr>
              <w:spacing w:after="20"/>
            </w:pPr>
            <w:r/>
            <w:r>
              <w:rPr>
                <w:b/>
                <w:sz w:val="19"/>
              </w:rPr>
              <w:t>Detailed behaviour</w:t>
            </w:r>
          </w:p>
        </w:tc>
        <w:tc>
          <w:tcPr>
            <w:tcW w:type="dxa" w:w="7256"/>
          </w:tcPr>
          <w:p>
            <w:pPr>
              <w:spacing w:after="20"/>
            </w:pPr>
            <w:r/>
            <w:r>
              <w:rPr>
                <w:b w:val="0"/>
                <w:sz w:val="19"/>
              </w:rPr>
              <w:t>- Teams are seeded by ranking so that the top seed meets the lowest seed in round one.</w:t>
            </w:r>
          </w:p>
          <w:p>
            <w:pPr>
              <w:spacing w:after="20"/>
            </w:pPr>
            <w:r>
              <w:rPr>
                <w:b w:val="0"/>
                <w:sz w:val="19"/>
              </w:rPr>
              <w:t>- When the number of teams is odd, a bye is assigned automatically so the bracket is still generated.</w:t>
            </w:r>
          </w:p>
          <w:p>
            <w:pPr>
              <w:spacing w:after="20"/>
            </w:pPr>
            <w:r>
              <w:rPr>
                <w:b w:val="0"/>
                <w:sz w:val="19"/>
              </w:rPr>
              <w:t>- No team is paired against itself and no pairing is duplicated.</w:t>
            </w:r>
          </w:p>
        </w:tc>
      </w:tr>
      <w:tr>
        <w:tc>
          <w:tcPr>
            <w:tcW w:type="dxa" w:w="2032"/>
          </w:tcPr>
          <w:p>
            <w:pPr>
              <w:spacing w:after="20"/>
            </w:pPr>
            <w:r/>
            <w:r>
              <w:rPr>
                <w:b/>
                <w:sz w:val="19"/>
              </w:rPr>
              <w:t>Acceptance criteria</w:t>
            </w:r>
          </w:p>
        </w:tc>
        <w:tc>
          <w:tcPr>
            <w:tcW w:type="dxa" w:w="7256"/>
          </w:tcPr>
          <w:p>
            <w:pPr>
              <w:spacing w:after="20"/>
            </w:pPr>
            <w:r/>
            <w:r>
              <w:rPr>
                <w:b w:val="0"/>
                <w:sz w:val="19"/>
              </w:rPr>
              <w:t>Pass: winner of Match 1 advances automatically to the Match 2 slot. Fail: bracket produces invalid match pairings.</w:t>
            </w:r>
          </w:p>
        </w:tc>
      </w:tr>
    </w:tbl>
    <w:p>
      <w:pPr>
        <w:spacing w:after="40"/>
      </w:pPr>
    </w:p>
    <w:p>
      <w:pPr>
        <w:pStyle w:val="Heading3"/>
      </w:pPr>
      <w:r>
        <w:t>3.2.2  FR-002: Team registration</w:t>
      </w:r>
    </w:p>
    <w:tbl>
      <w:tblPr>
        <w:tblStyle w:val="TableGrid"/>
        <w:tblW w:type="auto" w:w="0"/>
        <w:tblLayout w:type="fixed"/>
        <w:tblLook w:firstColumn="1" w:firstRow="1" w:lastColumn="0" w:lastRow="0" w:noHBand="0" w:noVBand="1" w:val="04A0"/>
      </w:tblPr>
      <w:tblGrid>
        <w:gridCol w:w="2032"/>
        <w:gridCol w:w="7256"/>
      </w:tblGrid>
      <w:tr>
        <w:trPr>
          <w:tblHeader w:val="true"/>
        </w:trPr>
        <w:tc>
          <w:tcPr>
            <w:tcW w:type="dxa" w:w="2032"/>
            <w:shd w:val="clear" w:color="auto" w:fill="D9D9D9"/>
          </w:tcPr>
          <w:p>
            <w:pPr>
              <w:spacing w:after="20"/>
            </w:pPr>
            <w:r/>
            <w:r>
              <w:rPr>
                <w:b/>
                <w:sz w:val="19"/>
              </w:rPr>
              <w:t>Field</w:t>
            </w:r>
          </w:p>
        </w:tc>
        <w:tc>
          <w:tcPr>
            <w:tcW w:type="dxa" w:w="7256"/>
            <w:shd w:val="clear" w:color="auto" w:fill="D9D9D9"/>
          </w:tcPr>
          <w:p>
            <w:pPr>
              <w:spacing w:after="20"/>
            </w:pPr>
            <w:r/>
            <w:r>
              <w:rPr>
                <w:b/>
                <w:sz w:val="19"/>
              </w:rPr>
              <w:t>Specification</w:t>
            </w:r>
          </w:p>
        </w:tc>
      </w:tr>
      <w:tr>
        <w:tc>
          <w:tcPr>
            <w:tcW w:type="dxa" w:w="2032"/>
          </w:tcPr>
          <w:p>
            <w:pPr>
              <w:spacing w:after="20"/>
            </w:pPr>
            <w:r/>
            <w:r>
              <w:rPr>
                <w:b/>
                <w:sz w:val="19"/>
              </w:rPr>
              <w:t>Priority</w:t>
            </w:r>
          </w:p>
        </w:tc>
        <w:tc>
          <w:tcPr>
            <w:tcW w:type="dxa" w:w="7256"/>
          </w:tcPr>
          <w:p>
            <w:pPr>
              <w:spacing w:after="20"/>
            </w:pPr>
            <w:r/>
            <w:r>
              <w:rPr>
                <w:b w:val="0"/>
                <w:sz w:val="19"/>
              </w:rPr>
              <w:t>High</w:t>
            </w:r>
          </w:p>
        </w:tc>
      </w:tr>
      <w:tr>
        <w:tc>
          <w:tcPr>
            <w:tcW w:type="dxa" w:w="2032"/>
          </w:tcPr>
          <w:p>
            <w:pPr>
              <w:spacing w:after="20"/>
            </w:pPr>
            <w:r/>
            <w:r>
              <w:rPr>
                <w:b/>
                <w:sz w:val="19"/>
              </w:rPr>
              <w:t>Use cases</w:t>
            </w:r>
          </w:p>
        </w:tc>
        <w:tc>
          <w:tcPr>
            <w:tcW w:type="dxa" w:w="7256"/>
          </w:tcPr>
          <w:p>
            <w:pPr>
              <w:spacing w:after="20"/>
            </w:pPr>
            <w:r/>
            <w:r>
              <w:rPr>
                <w:b w:val="0"/>
                <w:sz w:val="19"/>
              </w:rPr>
              <w:t>UC-01</w:t>
            </w:r>
          </w:p>
        </w:tc>
      </w:tr>
      <w:tr>
        <w:tc>
          <w:tcPr>
            <w:tcW w:type="dxa" w:w="2032"/>
          </w:tcPr>
          <w:p>
            <w:pPr>
              <w:spacing w:after="20"/>
            </w:pPr>
            <w:r/>
            <w:r>
              <w:rPr>
                <w:b/>
                <w:sz w:val="19"/>
              </w:rPr>
              <w:t>Description</w:t>
            </w:r>
          </w:p>
        </w:tc>
        <w:tc>
          <w:tcPr>
            <w:tcW w:type="dxa" w:w="7256"/>
          </w:tcPr>
          <w:p>
            <w:pPr>
              <w:spacing w:after="20"/>
            </w:pPr>
            <w:r/>
            <w:r>
              <w:rPr>
                <w:b w:val="0"/>
                <w:sz w:val="19"/>
              </w:rPr>
              <w:t>The system shall allow a Team Captain to register their team and submit a player roster before the registration deadline.</w:t>
            </w:r>
          </w:p>
        </w:tc>
      </w:tr>
      <w:tr>
        <w:tc>
          <w:tcPr>
            <w:tcW w:type="dxa" w:w="2032"/>
          </w:tcPr>
          <w:p>
            <w:pPr>
              <w:spacing w:after="20"/>
            </w:pPr>
            <w:r/>
            <w:r>
              <w:rPr>
                <w:b/>
                <w:sz w:val="19"/>
              </w:rPr>
              <w:t>Detailed behaviour</w:t>
            </w:r>
          </w:p>
        </w:tc>
        <w:tc>
          <w:tcPr>
            <w:tcW w:type="dxa" w:w="7256"/>
          </w:tcPr>
          <w:p>
            <w:pPr>
              <w:spacing w:after="20"/>
            </w:pPr>
            <w:r/>
            <w:r>
              <w:rPr>
                <w:b w:val="0"/>
                <w:sz w:val="19"/>
              </w:rPr>
              <w:t>- A registration contains a team name, captain and a complete roster.</w:t>
            </w:r>
          </w:p>
          <w:p>
            <w:pPr>
              <w:spacing w:after="20"/>
            </w:pPr>
            <w:r>
              <w:rPr>
                <w:b w:val="0"/>
                <w:sz w:val="19"/>
              </w:rPr>
              <w:t>- Registration is locked and rejected once the deadline timestamp has passed.</w:t>
            </w:r>
          </w:p>
          <w:p>
            <w:pPr>
              <w:spacing w:after="20"/>
            </w:pPr>
            <w:r>
              <w:rPr>
                <w:b w:val="0"/>
                <w:sz w:val="19"/>
              </w:rPr>
              <w:t>- A team cannot register twice.</w:t>
            </w:r>
          </w:p>
        </w:tc>
      </w:tr>
      <w:tr>
        <w:tc>
          <w:tcPr>
            <w:tcW w:type="dxa" w:w="2032"/>
          </w:tcPr>
          <w:p>
            <w:pPr>
              <w:spacing w:after="20"/>
            </w:pPr>
            <w:r/>
            <w:r>
              <w:rPr>
                <w:b/>
                <w:sz w:val="19"/>
              </w:rPr>
              <w:t>Acceptance criteria</w:t>
            </w:r>
          </w:p>
        </w:tc>
        <w:tc>
          <w:tcPr>
            <w:tcW w:type="dxa" w:w="7256"/>
          </w:tcPr>
          <w:p>
            <w:pPr>
              <w:spacing w:after="20"/>
            </w:pPr>
            <w:r/>
            <w:r>
              <w:rPr>
                <w:b w:val="0"/>
                <w:sz w:val="19"/>
              </w:rPr>
              <w:t>Pass: team appears in the participant list with a complete roster and a locked registration timestamp. Fail: team is registered with a missing roster or after the deadline.</w:t>
            </w:r>
          </w:p>
        </w:tc>
      </w:tr>
    </w:tbl>
    <w:p>
      <w:pPr>
        <w:spacing w:after="40"/>
      </w:pPr>
    </w:p>
    <w:p>
      <w:pPr>
        <w:pStyle w:val="Heading3"/>
      </w:pPr>
      <w:r>
        <w:t>3.2.3  FR-003: Submit match score</w:t>
      </w:r>
    </w:p>
    <w:tbl>
      <w:tblPr>
        <w:tblStyle w:val="TableGrid"/>
        <w:tblW w:type="auto" w:w="0"/>
        <w:tblLayout w:type="fixed"/>
        <w:tblLook w:firstColumn="1" w:firstRow="1" w:lastColumn="0" w:lastRow="0" w:noHBand="0" w:noVBand="1" w:val="04A0"/>
      </w:tblPr>
      <w:tblGrid>
        <w:gridCol w:w="2032"/>
        <w:gridCol w:w="7256"/>
      </w:tblGrid>
      <w:tr>
        <w:trPr>
          <w:tblHeader w:val="true"/>
        </w:trPr>
        <w:tc>
          <w:tcPr>
            <w:tcW w:type="dxa" w:w="2032"/>
            <w:shd w:val="clear" w:color="auto" w:fill="D9D9D9"/>
          </w:tcPr>
          <w:p>
            <w:pPr>
              <w:spacing w:after="20"/>
            </w:pPr>
            <w:r/>
            <w:r>
              <w:rPr>
                <w:b/>
                <w:sz w:val="19"/>
              </w:rPr>
              <w:t>Field</w:t>
            </w:r>
          </w:p>
        </w:tc>
        <w:tc>
          <w:tcPr>
            <w:tcW w:type="dxa" w:w="7256"/>
            <w:shd w:val="clear" w:color="auto" w:fill="D9D9D9"/>
          </w:tcPr>
          <w:p>
            <w:pPr>
              <w:spacing w:after="20"/>
            </w:pPr>
            <w:r/>
            <w:r>
              <w:rPr>
                <w:b/>
                <w:sz w:val="19"/>
              </w:rPr>
              <w:t>Specification</w:t>
            </w:r>
          </w:p>
        </w:tc>
      </w:tr>
      <w:tr>
        <w:tc>
          <w:tcPr>
            <w:tcW w:type="dxa" w:w="2032"/>
          </w:tcPr>
          <w:p>
            <w:pPr>
              <w:spacing w:after="20"/>
            </w:pPr>
            <w:r/>
            <w:r>
              <w:rPr>
                <w:b/>
                <w:sz w:val="19"/>
              </w:rPr>
              <w:t>Priority</w:t>
            </w:r>
          </w:p>
        </w:tc>
        <w:tc>
          <w:tcPr>
            <w:tcW w:type="dxa" w:w="7256"/>
          </w:tcPr>
          <w:p>
            <w:pPr>
              <w:spacing w:after="20"/>
            </w:pPr>
            <w:r/>
            <w:r>
              <w:rPr>
                <w:b w:val="0"/>
                <w:sz w:val="19"/>
              </w:rPr>
              <w:t>High</w:t>
            </w:r>
          </w:p>
        </w:tc>
      </w:tr>
      <w:tr>
        <w:tc>
          <w:tcPr>
            <w:tcW w:type="dxa" w:w="2032"/>
          </w:tcPr>
          <w:p>
            <w:pPr>
              <w:spacing w:after="20"/>
            </w:pPr>
            <w:r/>
            <w:r>
              <w:rPr>
                <w:b/>
                <w:sz w:val="19"/>
              </w:rPr>
              <w:t>Use cases</w:t>
            </w:r>
          </w:p>
        </w:tc>
        <w:tc>
          <w:tcPr>
            <w:tcW w:type="dxa" w:w="7256"/>
          </w:tcPr>
          <w:p>
            <w:pPr>
              <w:spacing w:after="20"/>
            </w:pPr>
            <w:r/>
            <w:r>
              <w:rPr>
                <w:b w:val="0"/>
                <w:sz w:val="19"/>
              </w:rPr>
              <w:t>UC-04</w:t>
            </w:r>
          </w:p>
        </w:tc>
      </w:tr>
      <w:tr>
        <w:tc>
          <w:tcPr>
            <w:tcW w:type="dxa" w:w="2032"/>
          </w:tcPr>
          <w:p>
            <w:pPr>
              <w:spacing w:after="20"/>
            </w:pPr>
            <w:r/>
            <w:r>
              <w:rPr>
                <w:b/>
                <w:sz w:val="19"/>
              </w:rPr>
              <w:t>Description</w:t>
            </w:r>
          </w:p>
        </w:tc>
        <w:tc>
          <w:tcPr>
            <w:tcW w:type="dxa" w:w="7256"/>
          </w:tcPr>
          <w:p>
            <w:pPr>
              <w:spacing w:after="20"/>
            </w:pPr>
            <w:r/>
            <w:r>
              <w:rPr>
                <w:b w:val="0"/>
                <w:sz w:val="19"/>
              </w:rPr>
              <w:t>The system shall allow a Tournament Director to submit the final score for an in-progress match.</w:t>
            </w:r>
          </w:p>
        </w:tc>
      </w:tr>
      <w:tr>
        <w:tc>
          <w:tcPr>
            <w:tcW w:type="dxa" w:w="2032"/>
          </w:tcPr>
          <w:p>
            <w:pPr>
              <w:spacing w:after="20"/>
            </w:pPr>
            <w:r/>
            <w:r>
              <w:rPr>
                <w:b/>
                <w:sz w:val="19"/>
              </w:rPr>
              <w:t>Detailed behaviour</w:t>
            </w:r>
          </w:p>
        </w:tc>
        <w:tc>
          <w:tcPr>
            <w:tcW w:type="dxa" w:w="7256"/>
          </w:tcPr>
          <w:p>
            <w:pPr>
              <w:spacing w:after="20"/>
            </w:pPr>
            <w:r/>
            <w:r>
              <w:rPr>
                <w:b w:val="0"/>
                <w:sz w:val="19"/>
              </w:rPr>
              <w:t>- Both scores must be non-negative integers; negative or non-numeric values are rejected with an error message.</w:t>
            </w:r>
          </w:p>
          <w:p>
            <w:pPr>
              <w:spacing w:after="20"/>
            </w:pPr>
            <w:r>
              <w:rPr>
                <w:b w:val="0"/>
                <w:sz w:val="19"/>
              </w:rPr>
              <w:t>- A score can only be saved for a match in 'In Progress' status and is stored only once.</w:t>
            </w:r>
          </w:p>
          <w:p>
            <w:pPr>
              <w:spacing w:after="20"/>
            </w:pPr>
            <w:r>
              <w:rPr>
                <w:b w:val="0"/>
                <w:sz w:val="19"/>
              </w:rPr>
              <w:t>- For knockout matches a tied score requires a tiebreaker result (e.g., penalty shootout) before saving.</w:t>
            </w:r>
          </w:p>
        </w:tc>
      </w:tr>
      <w:tr>
        <w:tc>
          <w:tcPr>
            <w:tcW w:type="dxa" w:w="2032"/>
          </w:tcPr>
          <w:p>
            <w:pPr>
              <w:spacing w:after="20"/>
            </w:pPr>
            <w:r/>
            <w:r>
              <w:rPr>
                <w:b/>
                <w:sz w:val="19"/>
              </w:rPr>
              <w:t>Acceptance criteria</w:t>
            </w:r>
          </w:p>
        </w:tc>
        <w:tc>
          <w:tcPr>
            <w:tcW w:type="dxa" w:w="7256"/>
          </w:tcPr>
          <w:p>
            <w:pPr>
              <w:spacing w:after="20"/>
            </w:pPr>
            <w:r/>
            <w:r>
              <w:rPr>
                <w:b w:val="0"/>
                <w:sz w:val="19"/>
              </w:rPr>
              <w:t>Pass: score is saved, match status changes to 'Completed', and the winning team is recorded. Fail: score is saved against a match that is not in 'In Progress' status.</w:t>
            </w:r>
          </w:p>
        </w:tc>
      </w:tr>
    </w:tbl>
    <w:p>
      <w:pPr>
        <w:spacing w:after="40"/>
      </w:pPr>
    </w:p>
    <w:p>
      <w:pPr>
        <w:pStyle w:val="Heading3"/>
      </w:pPr>
      <w:r>
        <w:t>3.2.4  FR-004: Automatic winner advancement</w:t>
      </w:r>
    </w:p>
    <w:tbl>
      <w:tblPr>
        <w:tblStyle w:val="TableGrid"/>
        <w:tblW w:type="auto" w:w="0"/>
        <w:tblLayout w:type="fixed"/>
        <w:tblLook w:firstColumn="1" w:firstRow="1" w:lastColumn="0" w:lastRow="0" w:noHBand="0" w:noVBand="1" w:val="04A0"/>
      </w:tblPr>
      <w:tblGrid>
        <w:gridCol w:w="2032"/>
        <w:gridCol w:w="7256"/>
      </w:tblGrid>
      <w:tr>
        <w:trPr>
          <w:tblHeader w:val="true"/>
        </w:trPr>
        <w:tc>
          <w:tcPr>
            <w:tcW w:type="dxa" w:w="2032"/>
            <w:shd w:val="clear" w:color="auto" w:fill="D9D9D9"/>
          </w:tcPr>
          <w:p>
            <w:pPr>
              <w:spacing w:after="20"/>
            </w:pPr>
            <w:r/>
            <w:r>
              <w:rPr>
                <w:b/>
                <w:sz w:val="19"/>
              </w:rPr>
              <w:t>Field</w:t>
            </w:r>
          </w:p>
        </w:tc>
        <w:tc>
          <w:tcPr>
            <w:tcW w:type="dxa" w:w="7256"/>
            <w:shd w:val="clear" w:color="auto" w:fill="D9D9D9"/>
          </w:tcPr>
          <w:p>
            <w:pPr>
              <w:spacing w:after="20"/>
            </w:pPr>
            <w:r/>
            <w:r>
              <w:rPr>
                <w:b/>
                <w:sz w:val="19"/>
              </w:rPr>
              <w:t>Specification</w:t>
            </w:r>
          </w:p>
        </w:tc>
      </w:tr>
      <w:tr>
        <w:tc>
          <w:tcPr>
            <w:tcW w:type="dxa" w:w="2032"/>
          </w:tcPr>
          <w:p>
            <w:pPr>
              <w:spacing w:after="20"/>
            </w:pPr>
            <w:r/>
            <w:r>
              <w:rPr>
                <w:b/>
                <w:sz w:val="19"/>
              </w:rPr>
              <w:t>Priority</w:t>
            </w:r>
          </w:p>
        </w:tc>
        <w:tc>
          <w:tcPr>
            <w:tcW w:type="dxa" w:w="7256"/>
          </w:tcPr>
          <w:p>
            <w:pPr>
              <w:spacing w:after="20"/>
            </w:pPr>
            <w:r/>
            <w:r>
              <w:rPr>
                <w:b w:val="0"/>
                <w:sz w:val="19"/>
              </w:rPr>
              <w:t>High</w:t>
            </w:r>
          </w:p>
        </w:tc>
      </w:tr>
      <w:tr>
        <w:tc>
          <w:tcPr>
            <w:tcW w:type="dxa" w:w="2032"/>
          </w:tcPr>
          <w:p>
            <w:pPr>
              <w:spacing w:after="20"/>
            </w:pPr>
            <w:r/>
            <w:r>
              <w:rPr>
                <w:b/>
                <w:sz w:val="19"/>
              </w:rPr>
              <w:t>Use cases</w:t>
            </w:r>
          </w:p>
        </w:tc>
        <w:tc>
          <w:tcPr>
            <w:tcW w:type="dxa" w:w="7256"/>
          </w:tcPr>
          <w:p>
            <w:pPr>
              <w:spacing w:after="20"/>
            </w:pPr>
            <w:r/>
            <w:r>
              <w:rPr>
                <w:b w:val="0"/>
                <w:sz w:val="19"/>
              </w:rPr>
              <w:t>UC-04, UC-05</w:t>
            </w:r>
          </w:p>
        </w:tc>
      </w:tr>
      <w:tr>
        <w:tc>
          <w:tcPr>
            <w:tcW w:type="dxa" w:w="2032"/>
          </w:tcPr>
          <w:p>
            <w:pPr>
              <w:spacing w:after="20"/>
            </w:pPr>
            <w:r/>
            <w:r>
              <w:rPr>
                <w:b/>
                <w:sz w:val="19"/>
              </w:rPr>
              <w:t>Description</w:t>
            </w:r>
          </w:p>
        </w:tc>
        <w:tc>
          <w:tcPr>
            <w:tcW w:type="dxa" w:w="7256"/>
          </w:tcPr>
          <w:p>
            <w:pPr>
              <w:spacing w:after="20"/>
            </w:pPr>
            <w:r/>
            <w:r>
              <w:rPr>
                <w:b w:val="0"/>
                <w:sz w:val="19"/>
              </w:rPr>
              <w:t>The system shall automatically advance the winning team of a completed match into their next scheduled bracket slot.</w:t>
            </w:r>
          </w:p>
        </w:tc>
      </w:tr>
      <w:tr>
        <w:tc>
          <w:tcPr>
            <w:tcW w:type="dxa" w:w="2032"/>
          </w:tcPr>
          <w:p>
            <w:pPr>
              <w:spacing w:after="20"/>
            </w:pPr>
            <w:r/>
            <w:r>
              <w:rPr>
                <w:b/>
                <w:sz w:val="19"/>
              </w:rPr>
              <w:t>Detailed behaviour</w:t>
            </w:r>
          </w:p>
        </w:tc>
        <w:tc>
          <w:tcPr>
            <w:tcW w:type="dxa" w:w="7256"/>
          </w:tcPr>
          <w:p>
            <w:pPr>
              <w:spacing w:after="20"/>
            </w:pPr>
            <w:r/>
            <w:r>
              <w:rPr>
                <w:b w:val="0"/>
                <w:sz w:val="19"/>
              </w:rPr>
              <w:t>- Advancement happens without manual action.</w:t>
            </w:r>
          </w:p>
          <w:p>
            <w:pPr>
              <w:spacing w:after="20"/>
            </w:pPr>
            <w:r>
              <w:rPr>
                <w:b w:val="0"/>
                <w:sz w:val="19"/>
              </w:rPr>
              <w:t>- The winner appears in the correct next-round slot within 5 seconds of score submission.</w:t>
            </w:r>
          </w:p>
          <w:p>
            <w:pPr>
              <w:spacing w:after="20"/>
            </w:pPr>
            <w:r>
              <w:rPr>
                <w:b w:val="0"/>
                <w:sz w:val="19"/>
              </w:rPr>
              <w:t>- If the match has no next round (final), the winner is recorded as champion.</w:t>
            </w:r>
          </w:p>
        </w:tc>
      </w:tr>
      <w:tr>
        <w:tc>
          <w:tcPr>
            <w:tcW w:type="dxa" w:w="2032"/>
          </w:tcPr>
          <w:p>
            <w:pPr>
              <w:spacing w:after="20"/>
            </w:pPr>
            <w:r/>
            <w:r>
              <w:rPr>
                <w:b/>
                <w:sz w:val="19"/>
              </w:rPr>
              <w:t>Acceptance criteria</w:t>
            </w:r>
          </w:p>
        </w:tc>
        <w:tc>
          <w:tcPr>
            <w:tcW w:type="dxa" w:w="7256"/>
          </w:tcPr>
          <w:p>
            <w:pPr>
              <w:spacing w:after="20"/>
            </w:pPr>
            <w:r/>
            <w:r>
              <w:rPr>
                <w:b w:val="0"/>
                <w:sz w:val="19"/>
              </w:rPr>
              <w:t>Pass: winning team appears in the correct next-round match within 5 seconds of score submission. Fail: winner is placed in the wrong slot or bracket is left unchanged.</w:t>
            </w:r>
          </w:p>
        </w:tc>
      </w:tr>
    </w:tbl>
    <w:p>
      <w:pPr>
        <w:spacing w:after="40"/>
      </w:pPr>
    </w:p>
    <w:p>
      <w:pPr>
        <w:pStyle w:val="Heading3"/>
      </w:pPr>
      <w:r>
        <w:t>3.2.5  FR-005: Tiebreaker rules</w:t>
      </w:r>
    </w:p>
    <w:tbl>
      <w:tblPr>
        <w:tblStyle w:val="TableGrid"/>
        <w:tblW w:type="auto" w:w="0"/>
        <w:tblLayout w:type="fixed"/>
        <w:tblLook w:firstColumn="1" w:firstRow="1" w:lastColumn="0" w:lastRow="0" w:noHBand="0" w:noVBand="1" w:val="04A0"/>
      </w:tblPr>
      <w:tblGrid>
        <w:gridCol w:w="2032"/>
        <w:gridCol w:w="7256"/>
      </w:tblGrid>
      <w:tr>
        <w:trPr>
          <w:tblHeader w:val="true"/>
        </w:trPr>
        <w:tc>
          <w:tcPr>
            <w:tcW w:type="dxa" w:w="2032"/>
            <w:shd w:val="clear" w:color="auto" w:fill="D9D9D9"/>
          </w:tcPr>
          <w:p>
            <w:pPr>
              <w:spacing w:after="20"/>
            </w:pPr>
            <w:r/>
            <w:r>
              <w:rPr>
                <w:b/>
                <w:sz w:val="19"/>
              </w:rPr>
              <w:t>Field</w:t>
            </w:r>
          </w:p>
        </w:tc>
        <w:tc>
          <w:tcPr>
            <w:tcW w:type="dxa" w:w="7256"/>
            <w:shd w:val="clear" w:color="auto" w:fill="D9D9D9"/>
          </w:tcPr>
          <w:p>
            <w:pPr>
              <w:spacing w:after="20"/>
            </w:pPr>
            <w:r/>
            <w:r>
              <w:rPr>
                <w:b/>
                <w:sz w:val="19"/>
              </w:rPr>
              <w:t>Specification</w:t>
            </w:r>
          </w:p>
        </w:tc>
      </w:tr>
      <w:tr>
        <w:tc>
          <w:tcPr>
            <w:tcW w:type="dxa" w:w="2032"/>
          </w:tcPr>
          <w:p>
            <w:pPr>
              <w:spacing w:after="20"/>
            </w:pPr>
            <w:r/>
            <w:r>
              <w:rPr>
                <w:b/>
                <w:sz w:val="19"/>
              </w:rPr>
              <w:t>Priority</w:t>
            </w:r>
          </w:p>
        </w:tc>
        <w:tc>
          <w:tcPr>
            <w:tcW w:type="dxa" w:w="7256"/>
          </w:tcPr>
          <w:p>
            <w:pPr>
              <w:spacing w:after="20"/>
            </w:pPr>
            <w:r/>
            <w:r>
              <w:rPr>
                <w:b w:val="0"/>
                <w:sz w:val="19"/>
              </w:rPr>
              <w:t>Medium</w:t>
            </w:r>
          </w:p>
        </w:tc>
      </w:tr>
      <w:tr>
        <w:tc>
          <w:tcPr>
            <w:tcW w:type="dxa" w:w="2032"/>
          </w:tcPr>
          <w:p>
            <w:pPr>
              <w:spacing w:after="20"/>
            </w:pPr>
            <w:r/>
            <w:r>
              <w:rPr>
                <w:b/>
                <w:sz w:val="19"/>
              </w:rPr>
              <w:t>Use cases</w:t>
            </w:r>
          </w:p>
        </w:tc>
        <w:tc>
          <w:tcPr>
            <w:tcW w:type="dxa" w:w="7256"/>
          </w:tcPr>
          <w:p>
            <w:pPr>
              <w:spacing w:after="20"/>
            </w:pPr>
            <w:r/>
            <w:r>
              <w:rPr>
                <w:b w:val="0"/>
                <w:sz w:val="19"/>
              </w:rPr>
              <w:t>UC-06, UC-07</w:t>
            </w:r>
          </w:p>
        </w:tc>
      </w:tr>
      <w:tr>
        <w:tc>
          <w:tcPr>
            <w:tcW w:type="dxa" w:w="2032"/>
          </w:tcPr>
          <w:p>
            <w:pPr>
              <w:spacing w:after="20"/>
            </w:pPr>
            <w:r/>
            <w:r>
              <w:rPr>
                <w:b/>
                <w:sz w:val="19"/>
              </w:rPr>
              <w:t>Description</w:t>
            </w:r>
          </w:p>
        </w:tc>
        <w:tc>
          <w:tcPr>
            <w:tcW w:type="dxa" w:w="7256"/>
          </w:tcPr>
          <w:p>
            <w:pPr>
              <w:spacing w:after="20"/>
            </w:pPr>
            <w:r/>
            <w:r>
              <w:rPr>
                <w:b w:val="0"/>
                <w:sz w:val="19"/>
              </w:rPr>
              <w:t>The system shall compute and apply tiebreaker rules (e.g., goal differential, then head-to-head result) whenever two or more teams are level on points in the standings.</w:t>
            </w:r>
          </w:p>
        </w:tc>
      </w:tr>
      <w:tr>
        <w:tc>
          <w:tcPr>
            <w:tcW w:type="dxa" w:w="2032"/>
          </w:tcPr>
          <w:p>
            <w:pPr>
              <w:spacing w:after="20"/>
            </w:pPr>
            <w:r/>
            <w:r>
              <w:rPr>
                <w:b/>
                <w:sz w:val="19"/>
              </w:rPr>
              <w:t>Detailed behaviour</w:t>
            </w:r>
          </w:p>
        </w:tc>
        <w:tc>
          <w:tcPr>
            <w:tcW w:type="dxa" w:w="7256"/>
          </w:tcPr>
          <w:p>
            <w:pPr>
              <w:spacing w:after="20"/>
            </w:pPr>
            <w:r/>
            <w:r>
              <w:rPr>
                <w:b w:val="0"/>
                <w:sz w:val="19"/>
              </w:rPr>
              <w:t>- Tiebreakers are applied in a configured order: goal differential, then head-to-head.</w:t>
            </w:r>
          </w:p>
          <w:p>
            <w:pPr>
              <w:spacing w:after="20"/>
            </w:pPr>
            <w:r>
              <w:rPr>
                <w:b w:val="0"/>
                <w:sz w:val="19"/>
              </w:rPr>
              <w:t>- The standings page shows the reason a team is ranked above another.</w:t>
            </w:r>
          </w:p>
        </w:tc>
      </w:tr>
      <w:tr>
        <w:tc>
          <w:tcPr>
            <w:tcW w:type="dxa" w:w="2032"/>
          </w:tcPr>
          <w:p>
            <w:pPr>
              <w:spacing w:after="20"/>
            </w:pPr>
            <w:r/>
            <w:r>
              <w:rPr>
                <w:b/>
                <w:sz w:val="19"/>
              </w:rPr>
              <w:t>Acceptance criteria</w:t>
            </w:r>
          </w:p>
        </w:tc>
        <w:tc>
          <w:tcPr>
            <w:tcW w:type="dxa" w:w="7256"/>
          </w:tcPr>
          <w:p>
            <w:pPr>
              <w:spacing w:after="20"/>
            </w:pPr>
            <w:r/>
            <w:r>
              <w:rPr>
                <w:b w:val="0"/>
                <w:sz w:val="19"/>
              </w:rPr>
              <w:t>Pass: tied teams are re-ordered per the configured tiebreaker sequence and the reason is shown on hover. Fail: tied teams are left in an arbitrary or unexplained order.</w:t>
            </w:r>
          </w:p>
        </w:tc>
      </w:tr>
    </w:tbl>
    <w:p>
      <w:pPr>
        <w:spacing w:after="40"/>
      </w:pPr>
    </w:p>
    <w:p>
      <w:pPr>
        <w:pStyle w:val="Heading2"/>
      </w:pPr>
      <w:r>
        <w:t>3.3 Non-Functional Requirements</w:t>
      </w:r>
    </w:p>
    <w:p>
      <w:pPr>
        <w:pStyle w:val="Heading3"/>
      </w:pPr>
      <w:r>
        <w:t>NFR-001: Performance &amp; Security</w:t>
      </w:r>
    </w:p>
    <w:tbl>
      <w:tblPr>
        <w:tblStyle w:val="TableGrid"/>
        <w:tblW w:type="auto" w:w="0"/>
        <w:tblLayout w:type="fixed"/>
        <w:tblLook w:firstColumn="1" w:firstRow="1" w:lastColumn="0" w:lastRow="0" w:noHBand="0" w:noVBand="1" w:val="04A0"/>
      </w:tblPr>
      <w:tblGrid>
        <w:gridCol w:w="2032"/>
        <w:gridCol w:w="7256"/>
      </w:tblGrid>
      <w:tr>
        <w:trPr>
          <w:tblHeader w:val="true"/>
        </w:trPr>
        <w:tc>
          <w:tcPr>
            <w:tcW w:type="dxa" w:w="2032"/>
            <w:shd w:val="clear" w:color="auto" w:fill="D9D9D9"/>
          </w:tcPr>
          <w:p>
            <w:pPr>
              <w:spacing w:after="20"/>
            </w:pPr>
            <w:r/>
            <w:r>
              <w:rPr>
                <w:b/>
                <w:sz w:val="19"/>
              </w:rPr>
              <w:t>Field</w:t>
            </w:r>
          </w:p>
        </w:tc>
        <w:tc>
          <w:tcPr>
            <w:tcW w:type="dxa" w:w="7256"/>
            <w:shd w:val="clear" w:color="auto" w:fill="D9D9D9"/>
          </w:tcPr>
          <w:p>
            <w:pPr>
              <w:spacing w:after="20"/>
            </w:pPr>
            <w:r/>
            <w:r>
              <w:rPr>
                <w:b/>
                <w:sz w:val="19"/>
              </w:rPr>
              <w:t>Specification</w:t>
            </w:r>
          </w:p>
        </w:tc>
      </w:tr>
      <w:tr>
        <w:tc>
          <w:tcPr>
            <w:tcW w:type="dxa" w:w="2032"/>
          </w:tcPr>
          <w:p>
            <w:pPr>
              <w:spacing w:after="20"/>
            </w:pPr>
            <w:r/>
            <w:r>
              <w:rPr>
                <w:b/>
                <w:sz w:val="19"/>
              </w:rPr>
              <w:t>Type</w:t>
            </w:r>
          </w:p>
        </w:tc>
        <w:tc>
          <w:tcPr>
            <w:tcW w:type="dxa" w:w="7256"/>
          </w:tcPr>
          <w:p>
            <w:pPr>
              <w:spacing w:after="20"/>
            </w:pPr>
            <w:r/>
            <w:r>
              <w:rPr>
                <w:b w:val="0"/>
                <w:sz w:val="19"/>
              </w:rPr>
              <w:t>Performance &amp; Security</w:t>
            </w:r>
          </w:p>
        </w:tc>
      </w:tr>
      <w:tr>
        <w:tc>
          <w:tcPr>
            <w:tcW w:type="dxa" w:w="2032"/>
          </w:tcPr>
          <w:p>
            <w:pPr>
              <w:spacing w:after="20"/>
            </w:pPr>
            <w:r/>
            <w:r>
              <w:rPr>
                <w:b/>
                <w:sz w:val="19"/>
              </w:rPr>
              <w:t>Priority</w:t>
            </w:r>
          </w:p>
        </w:tc>
        <w:tc>
          <w:tcPr>
            <w:tcW w:type="dxa" w:w="7256"/>
          </w:tcPr>
          <w:p>
            <w:pPr>
              <w:spacing w:after="20"/>
            </w:pPr>
            <w:r/>
            <w:r>
              <w:rPr>
                <w:b w:val="0"/>
                <w:sz w:val="19"/>
              </w:rPr>
              <w:t>High</w:t>
            </w:r>
          </w:p>
        </w:tc>
      </w:tr>
      <w:tr>
        <w:tc>
          <w:tcPr>
            <w:tcW w:type="dxa" w:w="2032"/>
          </w:tcPr>
          <w:p>
            <w:pPr>
              <w:spacing w:after="20"/>
            </w:pPr>
            <w:r/>
            <w:r>
              <w:rPr>
                <w:b/>
                <w:sz w:val="19"/>
              </w:rPr>
              <w:t>Description</w:t>
            </w:r>
          </w:p>
        </w:tc>
        <w:tc>
          <w:tcPr>
            <w:tcW w:type="dxa" w:w="7256"/>
          </w:tcPr>
          <w:p>
            <w:pPr>
              <w:spacing w:after="20"/>
            </w:pPr>
            <w:r/>
            <w:r>
              <w:rPr>
                <w:b w:val="0"/>
                <w:sz w:val="19"/>
              </w:rPr>
              <w:t>Standings, goal differentials, and tournament leaderboard updates must recalculate within 200 ms of score submission.</w:t>
            </w:r>
          </w:p>
        </w:tc>
      </w:tr>
      <w:tr>
        <w:tc>
          <w:tcPr>
            <w:tcW w:type="dxa" w:w="2032"/>
          </w:tcPr>
          <w:p>
            <w:pPr>
              <w:spacing w:after="20"/>
            </w:pPr>
            <w:r/>
            <w:r>
              <w:rPr>
                <w:b/>
                <w:sz w:val="19"/>
              </w:rPr>
              <w:t>Acceptance criteria</w:t>
            </w:r>
          </w:p>
        </w:tc>
        <w:tc>
          <w:tcPr>
            <w:tcW w:type="dxa" w:w="7256"/>
          </w:tcPr>
          <w:p>
            <w:pPr>
              <w:spacing w:after="20"/>
            </w:pPr>
            <w:r/>
            <w:r>
              <w:rPr>
                <w:b w:val="0"/>
                <w:sz w:val="19"/>
              </w:rPr>
              <w:t>Pass: benchmarking tests confirm target latency and security standards under simulated peak load.</w:t>
            </w:r>
          </w:p>
        </w:tc>
      </w:tr>
      <w:tr>
        <w:tc>
          <w:tcPr>
            <w:tcW w:type="dxa" w:w="2032"/>
          </w:tcPr>
          <w:p>
            <w:pPr>
              <w:spacing w:after="20"/>
            </w:pPr>
            <w:r/>
            <w:r>
              <w:rPr>
                <w:b/>
                <w:sz w:val="19"/>
              </w:rPr>
              <w:t>Rationale</w:t>
            </w:r>
          </w:p>
        </w:tc>
        <w:tc>
          <w:tcPr>
            <w:tcW w:type="dxa" w:w="7256"/>
          </w:tcPr>
          <w:p>
            <w:pPr>
              <w:spacing w:after="20"/>
            </w:pPr>
            <w:r/>
            <w:r>
              <w:rPr>
                <w:b w:val="0"/>
                <w:sz w:val="19"/>
              </w:rPr>
              <w:t>Spectators and captains expect the live leaderboard to feel instant during a match.</w:t>
            </w:r>
          </w:p>
        </w:tc>
      </w:tr>
    </w:tbl>
    <w:p>
      <w:pPr>
        <w:spacing w:after="40"/>
      </w:pPr>
    </w:p>
    <w:p>
      <w:pPr>
        <w:pStyle w:val="Heading3"/>
      </w:pPr>
      <w:r>
        <w:t>NFR-002: Availability</w:t>
      </w:r>
    </w:p>
    <w:tbl>
      <w:tblPr>
        <w:tblStyle w:val="TableGrid"/>
        <w:tblW w:type="auto" w:w="0"/>
        <w:tblLayout w:type="fixed"/>
        <w:tblLook w:firstColumn="1" w:firstRow="1" w:lastColumn="0" w:lastRow="0" w:noHBand="0" w:noVBand="1" w:val="04A0"/>
      </w:tblPr>
      <w:tblGrid>
        <w:gridCol w:w="2032"/>
        <w:gridCol w:w="7256"/>
      </w:tblGrid>
      <w:tr>
        <w:trPr>
          <w:tblHeader w:val="true"/>
        </w:trPr>
        <w:tc>
          <w:tcPr>
            <w:tcW w:type="dxa" w:w="2032"/>
            <w:shd w:val="clear" w:color="auto" w:fill="D9D9D9"/>
          </w:tcPr>
          <w:p>
            <w:pPr>
              <w:spacing w:after="20"/>
            </w:pPr>
            <w:r/>
            <w:r>
              <w:rPr>
                <w:b/>
                <w:sz w:val="19"/>
              </w:rPr>
              <w:t>Field</w:t>
            </w:r>
          </w:p>
        </w:tc>
        <w:tc>
          <w:tcPr>
            <w:tcW w:type="dxa" w:w="7256"/>
            <w:shd w:val="clear" w:color="auto" w:fill="D9D9D9"/>
          </w:tcPr>
          <w:p>
            <w:pPr>
              <w:spacing w:after="20"/>
            </w:pPr>
            <w:r/>
            <w:r>
              <w:rPr>
                <w:b/>
                <w:sz w:val="19"/>
              </w:rPr>
              <w:t>Specification</w:t>
            </w:r>
          </w:p>
        </w:tc>
      </w:tr>
      <w:tr>
        <w:tc>
          <w:tcPr>
            <w:tcW w:type="dxa" w:w="2032"/>
          </w:tcPr>
          <w:p>
            <w:pPr>
              <w:spacing w:after="20"/>
            </w:pPr>
            <w:r/>
            <w:r>
              <w:rPr>
                <w:b/>
                <w:sz w:val="19"/>
              </w:rPr>
              <w:t>Type</w:t>
            </w:r>
          </w:p>
        </w:tc>
        <w:tc>
          <w:tcPr>
            <w:tcW w:type="dxa" w:w="7256"/>
          </w:tcPr>
          <w:p>
            <w:pPr>
              <w:spacing w:after="20"/>
            </w:pPr>
            <w:r/>
            <w:r>
              <w:rPr>
                <w:b w:val="0"/>
                <w:sz w:val="19"/>
              </w:rPr>
              <w:t>Availability</w:t>
            </w:r>
          </w:p>
        </w:tc>
      </w:tr>
      <w:tr>
        <w:tc>
          <w:tcPr>
            <w:tcW w:type="dxa" w:w="2032"/>
          </w:tcPr>
          <w:p>
            <w:pPr>
              <w:spacing w:after="20"/>
            </w:pPr>
            <w:r/>
            <w:r>
              <w:rPr>
                <w:b/>
                <w:sz w:val="19"/>
              </w:rPr>
              <w:t>Priority</w:t>
            </w:r>
          </w:p>
        </w:tc>
        <w:tc>
          <w:tcPr>
            <w:tcW w:type="dxa" w:w="7256"/>
          </w:tcPr>
          <w:p>
            <w:pPr>
              <w:spacing w:after="20"/>
            </w:pPr>
            <w:r/>
            <w:r>
              <w:rPr>
                <w:b w:val="0"/>
                <w:sz w:val="19"/>
              </w:rPr>
              <w:t>Medium</w:t>
            </w:r>
          </w:p>
        </w:tc>
      </w:tr>
      <w:tr>
        <w:tc>
          <w:tcPr>
            <w:tcW w:type="dxa" w:w="2032"/>
          </w:tcPr>
          <w:p>
            <w:pPr>
              <w:spacing w:after="20"/>
            </w:pPr>
            <w:r/>
            <w:r>
              <w:rPr>
                <w:b/>
                <w:sz w:val="19"/>
              </w:rPr>
              <w:t>Description</w:t>
            </w:r>
          </w:p>
        </w:tc>
        <w:tc>
          <w:tcPr>
            <w:tcW w:type="dxa" w:w="7256"/>
          </w:tcPr>
          <w:p>
            <w:pPr>
              <w:spacing w:after="20"/>
            </w:pPr>
            <w:r/>
            <w:r>
              <w:rPr>
                <w:b w:val="0"/>
                <w:sz w:val="19"/>
              </w:rPr>
              <w:t>The system shall maintain at least 99.5% uptime during scheduled tournament hours so live scores and standings are not disrupted.</w:t>
            </w:r>
          </w:p>
        </w:tc>
      </w:tr>
      <w:tr>
        <w:tc>
          <w:tcPr>
            <w:tcW w:type="dxa" w:w="2032"/>
          </w:tcPr>
          <w:p>
            <w:pPr>
              <w:spacing w:after="20"/>
            </w:pPr>
            <w:r/>
            <w:r>
              <w:rPr>
                <w:b/>
                <w:sz w:val="19"/>
              </w:rPr>
              <w:t>Acceptance criteria</w:t>
            </w:r>
          </w:p>
        </w:tc>
        <w:tc>
          <w:tcPr>
            <w:tcW w:type="dxa" w:w="7256"/>
          </w:tcPr>
          <w:p>
            <w:pPr>
              <w:spacing w:after="20"/>
            </w:pPr>
            <w:r/>
            <w:r>
              <w:rPr>
                <w:b w:val="0"/>
                <w:sz w:val="19"/>
              </w:rPr>
              <w:t>Pass: uptime monitoring over a tournament weekend shows at least 99.5% availability during scheduled play windows. Fail: any unplanned outage occurs during an active match.</w:t>
            </w:r>
          </w:p>
        </w:tc>
      </w:tr>
      <w:tr>
        <w:tc>
          <w:tcPr>
            <w:tcW w:type="dxa" w:w="2032"/>
          </w:tcPr>
          <w:p>
            <w:pPr>
              <w:spacing w:after="20"/>
            </w:pPr>
            <w:r/>
            <w:r>
              <w:rPr>
                <w:b/>
                <w:sz w:val="19"/>
              </w:rPr>
              <w:t>Rationale</w:t>
            </w:r>
          </w:p>
        </w:tc>
        <w:tc>
          <w:tcPr>
            <w:tcW w:type="dxa" w:w="7256"/>
          </w:tcPr>
          <w:p>
            <w:pPr>
              <w:spacing w:after="20"/>
            </w:pPr>
            <w:r/>
            <w:r>
              <w:rPr>
                <w:b w:val="0"/>
                <w:sz w:val="19"/>
              </w:rPr>
              <w:t>A bracket manager that goes down mid-match blocks every downstream match from being scored or advanced.</w:t>
            </w:r>
          </w:p>
        </w:tc>
      </w:tr>
    </w:tbl>
    <w:p>
      <w:pPr>
        <w:spacing w:after="40"/>
      </w:pPr>
    </w:p>
    <w:p>
      <w:pPr>
        <w:pStyle w:val="Heading2"/>
      </w:pPr>
      <w:r>
        <w:t>3.4 Software System Attributes</w:t>
      </w:r>
    </w:p>
    <w:tbl>
      <w:tblPr>
        <w:tblStyle w:val="TableGrid"/>
        <w:tblW w:type="auto" w:w="0"/>
        <w:tblLayout w:type="fixed"/>
        <w:tblLook w:firstColumn="1" w:firstRow="1" w:lastColumn="0" w:lastRow="0" w:noHBand="0" w:noVBand="1" w:val="04A0"/>
      </w:tblPr>
      <w:tblGrid>
        <w:gridCol w:w="2032"/>
        <w:gridCol w:w="7256"/>
      </w:tblGrid>
      <w:tr>
        <w:trPr>
          <w:tblHeader w:val="true"/>
        </w:trPr>
        <w:tc>
          <w:tcPr>
            <w:tcW w:type="dxa" w:w="2032"/>
            <w:shd w:val="clear" w:color="auto" w:fill="D9D9D9"/>
          </w:tcPr>
          <w:p>
            <w:pPr>
              <w:spacing w:after="20"/>
            </w:pPr>
            <w:r/>
            <w:r>
              <w:rPr>
                <w:b/>
                <w:sz w:val="19"/>
              </w:rPr>
              <w:t>Attribute</w:t>
            </w:r>
          </w:p>
        </w:tc>
        <w:tc>
          <w:tcPr>
            <w:tcW w:type="dxa" w:w="7256"/>
            <w:shd w:val="clear" w:color="auto" w:fill="D9D9D9"/>
          </w:tcPr>
          <w:p>
            <w:pPr>
              <w:spacing w:after="20"/>
            </w:pPr>
            <w:r/>
            <w:r>
              <w:rPr>
                <w:b/>
                <w:sz w:val="19"/>
              </w:rPr>
              <w:t>Requirement</w:t>
            </w:r>
          </w:p>
        </w:tc>
      </w:tr>
      <w:tr>
        <w:tc>
          <w:tcPr>
            <w:tcW w:type="dxa" w:w="2032"/>
          </w:tcPr>
          <w:p>
            <w:pPr>
              <w:spacing w:after="20"/>
            </w:pPr>
            <w:r/>
            <w:r>
              <w:rPr>
                <w:b/>
                <w:sz w:val="19"/>
              </w:rPr>
              <w:t>Security</w:t>
            </w:r>
          </w:p>
        </w:tc>
        <w:tc>
          <w:tcPr>
            <w:tcW w:type="dxa" w:w="7256"/>
          </w:tcPr>
          <w:p>
            <w:pPr>
              <w:spacing w:after="20"/>
            </w:pPr>
            <w:r/>
            <w:r>
              <w:rPr>
                <w:b w:val="0"/>
                <w:sz w:val="19"/>
              </w:rPr>
              <w:t>Only authenticated Tournament Directors may submit scores or generate brackets; captains may only edit their own registration; spectators are read-only (enforced by the Auth &amp; Role Service). Inputs are validated server-side.</w:t>
            </w:r>
          </w:p>
        </w:tc>
      </w:tr>
      <w:tr>
        <w:tc>
          <w:tcPr>
            <w:tcW w:type="dxa" w:w="2032"/>
          </w:tcPr>
          <w:p>
            <w:pPr>
              <w:spacing w:after="20"/>
            </w:pPr>
            <w:r/>
            <w:r>
              <w:rPr>
                <w:b/>
                <w:sz w:val="19"/>
              </w:rPr>
              <w:t>Reliability</w:t>
            </w:r>
          </w:p>
        </w:tc>
        <w:tc>
          <w:tcPr>
            <w:tcW w:type="dxa" w:w="7256"/>
          </w:tcPr>
          <w:p>
            <w:pPr>
              <w:spacing w:after="20"/>
            </w:pPr>
            <w:r/>
            <w:r>
              <w:rPr>
                <w:b w:val="0"/>
                <w:sz w:val="19"/>
              </w:rPr>
              <w:t>Score submission is atomic: either the score, advancement and standings are all saved, or none are (use-case failure postcondition).</w:t>
            </w:r>
          </w:p>
        </w:tc>
      </w:tr>
      <w:tr>
        <w:tc>
          <w:tcPr>
            <w:tcW w:type="dxa" w:w="2032"/>
          </w:tcPr>
          <w:p>
            <w:pPr>
              <w:spacing w:after="20"/>
            </w:pPr>
            <w:r/>
            <w:r>
              <w:rPr>
                <w:b/>
                <w:sz w:val="19"/>
              </w:rPr>
              <w:t>Maintainability</w:t>
            </w:r>
          </w:p>
        </w:tc>
        <w:tc>
          <w:tcPr>
            <w:tcW w:type="dxa" w:w="7256"/>
          </w:tcPr>
          <w:p>
            <w:pPr>
              <w:spacing w:after="20"/>
            </w:pPr>
            <w:r/>
            <w:r>
              <w:rPr>
                <w:b w:val="0"/>
                <w:sz w:val="19"/>
              </w:rPr>
              <w:t>Each service has one responsibility and communicates only through the API/data layer, so changes stay local.</w:t>
            </w:r>
          </w:p>
        </w:tc>
      </w:tr>
      <w:tr>
        <w:tc>
          <w:tcPr>
            <w:tcW w:type="dxa" w:w="2032"/>
          </w:tcPr>
          <w:p>
            <w:pPr>
              <w:spacing w:after="20"/>
            </w:pPr>
            <w:r/>
            <w:r>
              <w:rPr>
                <w:b/>
                <w:sz w:val="19"/>
              </w:rPr>
              <w:t>Usability</w:t>
            </w:r>
          </w:p>
        </w:tc>
        <w:tc>
          <w:tcPr>
            <w:tcW w:type="dxa" w:w="7256"/>
          </w:tcPr>
          <w:p>
            <w:pPr>
              <w:spacing w:after="20"/>
            </w:pPr>
            <w:r/>
            <w:r>
              <w:rPr>
                <w:b w:val="0"/>
                <w:sz w:val="19"/>
              </w:rPr>
              <w:t>Score entry takes at most a few clicks; validation messages are clear; pages work on mobile screens.</w:t>
            </w:r>
          </w:p>
        </w:tc>
      </w:tr>
    </w:tbl>
    <w:p>
      <w:pPr>
        <w:spacing w:after="40"/>
      </w:pPr>
    </w:p>
    <w:p>
      <w:pPr>
        <w:pStyle w:val="Heading1"/>
      </w:pPr>
      <w:r>
        <w:t>4. Appendices</w:t>
      </w:r>
    </w:p>
    <w:p>
      <w:pPr>
        <w:pStyle w:val="Heading2"/>
      </w:pPr>
      <w:r>
        <w:t>Appendix A: Requirements Traceability</w:t>
      </w:r>
    </w:p>
    <w:p>
      <w:r>
        <w:rPr>
          <w:b w:val="0"/>
          <w:i w:val="0"/>
        </w:rPr>
        <w:t>The full RTM linking requirements to use cases, architecture components, Jira stories, test cases and bugs is in RTM_PS54.docx (folder 1_RE). A summary:</w:t>
      </w:r>
    </w:p>
    <w:tbl>
      <w:tblPr>
        <w:tblStyle w:val="TableGrid"/>
        <w:tblW w:type="auto" w:w="0"/>
        <w:tblLayout w:type="fixed"/>
        <w:tblLook w:firstColumn="1" w:firstRow="1" w:lastColumn="0" w:lastRow="0" w:noHBand="0" w:noVBand="1" w:val="04A0"/>
      </w:tblPr>
      <w:tblGrid>
        <w:gridCol w:w="1407"/>
        <w:gridCol w:w="2252"/>
        <w:gridCol w:w="3377"/>
        <w:gridCol w:w="2252"/>
      </w:tblGrid>
      <w:tr>
        <w:trPr>
          <w:tblHeader w:val="true"/>
        </w:trPr>
        <w:tc>
          <w:tcPr>
            <w:tcW w:type="dxa" w:w="1407"/>
            <w:shd w:val="clear" w:color="auto" w:fill="D9D9D9"/>
          </w:tcPr>
          <w:p>
            <w:pPr>
              <w:spacing w:after="20"/>
            </w:pPr>
            <w:r/>
            <w:r>
              <w:rPr>
                <w:b/>
                <w:sz w:val="19"/>
              </w:rPr>
              <w:t>Req</w:t>
            </w:r>
          </w:p>
        </w:tc>
        <w:tc>
          <w:tcPr>
            <w:tcW w:type="dxa" w:w="2252"/>
            <w:shd w:val="clear" w:color="auto" w:fill="D9D9D9"/>
          </w:tcPr>
          <w:p>
            <w:pPr>
              <w:spacing w:after="20"/>
            </w:pPr>
            <w:r/>
            <w:r>
              <w:rPr>
                <w:b/>
                <w:sz w:val="19"/>
              </w:rPr>
              <w:t>Use cases</w:t>
            </w:r>
          </w:p>
        </w:tc>
        <w:tc>
          <w:tcPr>
            <w:tcW w:type="dxa" w:w="3377"/>
            <w:shd w:val="clear" w:color="auto" w:fill="D9D9D9"/>
          </w:tcPr>
          <w:p>
            <w:pPr>
              <w:spacing w:after="20"/>
            </w:pPr>
            <w:r/>
            <w:r>
              <w:rPr>
                <w:b/>
                <w:sz w:val="19"/>
              </w:rPr>
              <w:t>Component</w:t>
            </w:r>
          </w:p>
        </w:tc>
        <w:tc>
          <w:tcPr>
            <w:tcW w:type="dxa" w:w="2252"/>
            <w:shd w:val="clear" w:color="auto" w:fill="D9D9D9"/>
          </w:tcPr>
          <w:p>
            <w:pPr>
              <w:spacing w:after="20"/>
            </w:pPr>
            <w:r/>
            <w:r>
              <w:rPr>
                <w:b/>
                <w:sz w:val="19"/>
              </w:rPr>
              <w:t>Test cases</w:t>
            </w:r>
          </w:p>
        </w:tc>
      </w:tr>
      <w:tr>
        <w:tc>
          <w:tcPr>
            <w:tcW w:type="dxa" w:w="1407"/>
          </w:tcPr>
          <w:p>
            <w:pPr>
              <w:spacing w:after="20"/>
            </w:pPr>
            <w:r/>
            <w:r>
              <w:rPr>
                <w:b/>
                <w:sz w:val="19"/>
              </w:rPr>
              <w:t>FR-001</w:t>
            </w:r>
          </w:p>
        </w:tc>
        <w:tc>
          <w:tcPr>
            <w:tcW w:type="dxa" w:w="2252"/>
          </w:tcPr>
          <w:p>
            <w:pPr>
              <w:spacing w:after="20"/>
            </w:pPr>
            <w:r/>
            <w:r>
              <w:rPr>
                <w:b w:val="0"/>
                <w:sz w:val="19"/>
              </w:rPr>
              <w:t>UC-02, UC-03</w:t>
            </w:r>
          </w:p>
        </w:tc>
        <w:tc>
          <w:tcPr>
            <w:tcW w:type="dxa" w:w="3377"/>
          </w:tcPr>
          <w:p>
            <w:pPr>
              <w:spacing w:after="20"/>
            </w:pPr>
            <w:r/>
            <w:r>
              <w:rPr>
                <w:b w:val="0"/>
                <w:sz w:val="19"/>
              </w:rPr>
              <w:t>Bracket Engine</w:t>
            </w:r>
          </w:p>
        </w:tc>
        <w:tc>
          <w:tcPr>
            <w:tcW w:type="dxa" w:w="2252"/>
          </w:tcPr>
          <w:p>
            <w:pPr>
              <w:spacing w:after="20"/>
            </w:pPr>
            <w:r/>
            <w:r>
              <w:rPr>
                <w:b w:val="0"/>
                <w:sz w:val="19"/>
              </w:rPr>
              <w:t>TC-001, TC-002</w:t>
            </w:r>
          </w:p>
        </w:tc>
      </w:tr>
      <w:tr>
        <w:tc>
          <w:tcPr>
            <w:tcW w:type="dxa" w:w="1407"/>
          </w:tcPr>
          <w:p>
            <w:pPr>
              <w:spacing w:after="20"/>
            </w:pPr>
            <w:r/>
            <w:r>
              <w:rPr>
                <w:b/>
                <w:sz w:val="19"/>
              </w:rPr>
              <w:t>FR-002</w:t>
            </w:r>
          </w:p>
        </w:tc>
        <w:tc>
          <w:tcPr>
            <w:tcW w:type="dxa" w:w="2252"/>
          </w:tcPr>
          <w:p>
            <w:pPr>
              <w:spacing w:after="20"/>
            </w:pPr>
            <w:r/>
            <w:r>
              <w:rPr>
                <w:b w:val="0"/>
                <w:sz w:val="19"/>
              </w:rPr>
              <w:t>UC-01</w:t>
            </w:r>
          </w:p>
        </w:tc>
        <w:tc>
          <w:tcPr>
            <w:tcW w:type="dxa" w:w="3377"/>
          </w:tcPr>
          <w:p>
            <w:pPr>
              <w:spacing w:after="20"/>
            </w:pPr>
            <w:r/>
            <w:r>
              <w:rPr>
                <w:b w:val="0"/>
                <w:sz w:val="19"/>
              </w:rPr>
              <w:t>Registration Service</w:t>
            </w:r>
          </w:p>
        </w:tc>
        <w:tc>
          <w:tcPr>
            <w:tcW w:type="dxa" w:w="2252"/>
          </w:tcPr>
          <w:p>
            <w:pPr>
              <w:spacing w:after="20"/>
            </w:pPr>
            <w:r/>
            <w:r>
              <w:rPr>
                <w:b w:val="0"/>
                <w:sz w:val="19"/>
              </w:rPr>
              <w:t>TC-003, TC-004</w:t>
            </w:r>
          </w:p>
        </w:tc>
      </w:tr>
      <w:tr>
        <w:tc>
          <w:tcPr>
            <w:tcW w:type="dxa" w:w="1407"/>
          </w:tcPr>
          <w:p>
            <w:pPr>
              <w:spacing w:after="20"/>
            </w:pPr>
            <w:r/>
            <w:r>
              <w:rPr>
                <w:b/>
                <w:sz w:val="19"/>
              </w:rPr>
              <w:t>FR-003</w:t>
            </w:r>
          </w:p>
        </w:tc>
        <w:tc>
          <w:tcPr>
            <w:tcW w:type="dxa" w:w="2252"/>
          </w:tcPr>
          <w:p>
            <w:pPr>
              <w:spacing w:after="20"/>
            </w:pPr>
            <w:r/>
            <w:r>
              <w:rPr>
                <w:b w:val="0"/>
                <w:sz w:val="19"/>
              </w:rPr>
              <w:t>UC-04</w:t>
            </w:r>
          </w:p>
        </w:tc>
        <w:tc>
          <w:tcPr>
            <w:tcW w:type="dxa" w:w="3377"/>
          </w:tcPr>
          <w:p>
            <w:pPr>
              <w:spacing w:after="20"/>
            </w:pPr>
            <w:r/>
            <w:r>
              <w:rPr>
                <w:b w:val="0"/>
                <w:sz w:val="19"/>
              </w:rPr>
              <w:t>Score Service</w:t>
            </w:r>
          </w:p>
        </w:tc>
        <w:tc>
          <w:tcPr>
            <w:tcW w:type="dxa" w:w="2252"/>
          </w:tcPr>
          <w:p>
            <w:pPr>
              <w:spacing w:after="20"/>
            </w:pPr>
            <w:r/>
            <w:r>
              <w:rPr>
                <w:b w:val="0"/>
                <w:sz w:val="19"/>
              </w:rPr>
              <w:t>TC-005, TC-006</w:t>
            </w:r>
          </w:p>
        </w:tc>
      </w:tr>
      <w:tr>
        <w:tc>
          <w:tcPr>
            <w:tcW w:type="dxa" w:w="1407"/>
          </w:tcPr>
          <w:p>
            <w:pPr>
              <w:spacing w:after="20"/>
            </w:pPr>
            <w:r/>
            <w:r>
              <w:rPr>
                <w:b/>
                <w:sz w:val="19"/>
              </w:rPr>
              <w:t>FR-004</w:t>
            </w:r>
          </w:p>
        </w:tc>
        <w:tc>
          <w:tcPr>
            <w:tcW w:type="dxa" w:w="2252"/>
          </w:tcPr>
          <w:p>
            <w:pPr>
              <w:spacing w:after="20"/>
            </w:pPr>
            <w:r/>
            <w:r>
              <w:rPr>
                <w:b w:val="0"/>
                <w:sz w:val="19"/>
              </w:rPr>
              <w:t>UC-04, UC-05</w:t>
            </w:r>
          </w:p>
        </w:tc>
        <w:tc>
          <w:tcPr>
            <w:tcW w:type="dxa" w:w="3377"/>
          </w:tcPr>
          <w:p>
            <w:pPr>
              <w:spacing w:after="20"/>
            </w:pPr>
            <w:r/>
            <w:r>
              <w:rPr>
                <w:b w:val="0"/>
                <w:sz w:val="19"/>
              </w:rPr>
              <w:t>Bracket Engine, Score Service</w:t>
            </w:r>
          </w:p>
        </w:tc>
        <w:tc>
          <w:tcPr>
            <w:tcW w:type="dxa" w:w="2252"/>
          </w:tcPr>
          <w:p>
            <w:pPr>
              <w:spacing w:after="20"/>
            </w:pPr>
            <w:r/>
            <w:r>
              <w:rPr>
                <w:b w:val="0"/>
                <w:sz w:val="19"/>
              </w:rPr>
              <w:t>TC-007</w:t>
            </w:r>
          </w:p>
        </w:tc>
      </w:tr>
      <w:tr>
        <w:tc>
          <w:tcPr>
            <w:tcW w:type="dxa" w:w="1407"/>
          </w:tcPr>
          <w:p>
            <w:pPr>
              <w:spacing w:after="20"/>
            </w:pPr>
            <w:r/>
            <w:r>
              <w:rPr>
                <w:b/>
                <w:sz w:val="19"/>
              </w:rPr>
              <w:t>FR-005</w:t>
            </w:r>
          </w:p>
        </w:tc>
        <w:tc>
          <w:tcPr>
            <w:tcW w:type="dxa" w:w="2252"/>
          </w:tcPr>
          <w:p>
            <w:pPr>
              <w:spacing w:after="20"/>
            </w:pPr>
            <w:r/>
            <w:r>
              <w:rPr>
                <w:b w:val="0"/>
                <w:sz w:val="19"/>
              </w:rPr>
              <w:t>UC-06, UC-07</w:t>
            </w:r>
          </w:p>
        </w:tc>
        <w:tc>
          <w:tcPr>
            <w:tcW w:type="dxa" w:w="3377"/>
          </w:tcPr>
          <w:p>
            <w:pPr>
              <w:spacing w:after="20"/>
            </w:pPr>
            <w:r/>
            <w:r>
              <w:rPr>
                <w:b w:val="0"/>
                <w:sz w:val="19"/>
              </w:rPr>
              <w:t>Standings Service</w:t>
            </w:r>
          </w:p>
        </w:tc>
        <w:tc>
          <w:tcPr>
            <w:tcW w:type="dxa" w:w="2252"/>
          </w:tcPr>
          <w:p>
            <w:pPr>
              <w:spacing w:after="20"/>
            </w:pPr>
            <w:r/>
            <w:r>
              <w:rPr>
                <w:b w:val="0"/>
                <w:sz w:val="19"/>
              </w:rPr>
              <w:t>TC-008</w:t>
            </w:r>
          </w:p>
        </w:tc>
      </w:tr>
      <w:tr>
        <w:tc>
          <w:tcPr>
            <w:tcW w:type="dxa" w:w="1407"/>
          </w:tcPr>
          <w:p>
            <w:pPr>
              <w:spacing w:after="20"/>
            </w:pPr>
            <w:r/>
            <w:r>
              <w:rPr>
                <w:b/>
                <w:sz w:val="19"/>
              </w:rPr>
              <w:t>NFR-001</w:t>
            </w:r>
          </w:p>
        </w:tc>
        <w:tc>
          <w:tcPr>
            <w:tcW w:type="dxa" w:w="2252"/>
          </w:tcPr>
          <w:p>
            <w:pPr>
              <w:spacing w:after="20"/>
            </w:pPr>
            <w:r/>
            <w:r>
              <w:rPr>
                <w:b w:val="0"/>
                <w:sz w:val="19"/>
              </w:rPr>
              <w:t>UC-05, UC-07</w:t>
            </w:r>
          </w:p>
        </w:tc>
        <w:tc>
          <w:tcPr>
            <w:tcW w:type="dxa" w:w="3377"/>
          </w:tcPr>
          <w:p>
            <w:pPr>
              <w:spacing w:after="20"/>
            </w:pPr>
            <w:r/>
            <w:r>
              <w:rPr>
                <w:b w:val="0"/>
                <w:sz w:val="19"/>
              </w:rPr>
              <w:t>Standings Service, Database</w:t>
            </w:r>
          </w:p>
        </w:tc>
        <w:tc>
          <w:tcPr>
            <w:tcW w:type="dxa" w:w="2252"/>
          </w:tcPr>
          <w:p>
            <w:pPr>
              <w:spacing w:after="20"/>
            </w:pPr>
            <w:r/>
            <w:r>
              <w:rPr>
                <w:b w:val="0"/>
                <w:sz w:val="19"/>
              </w:rPr>
              <w:t>TC-009</w:t>
            </w:r>
          </w:p>
        </w:tc>
      </w:tr>
      <w:tr>
        <w:tc>
          <w:tcPr>
            <w:tcW w:type="dxa" w:w="1407"/>
          </w:tcPr>
          <w:p>
            <w:pPr>
              <w:spacing w:after="20"/>
            </w:pPr>
            <w:r/>
            <w:r>
              <w:rPr>
                <w:b/>
                <w:sz w:val="19"/>
              </w:rPr>
              <w:t>NFR-002</w:t>
            </w:r>
          </w:p>
        </w:tc>
        <w:tc>
          <w:tcPr>
            <w:tcW w:type="dxa" w:w="2252"/>
          </w:tcPr>
          <w:p>
            <w:pPr>
              <w:spacing w:after="20"/>
            </w:pPr>
            <w:r/>
            <w:r>
              <w:rPr>
                <w:b w:val="0"/>
                <w:sz w:val="19"/>
              </w:rPr>
              <w:t>All</w:t>
            </w:r>
          </w:p>
        </w:tc>
        <w:tc>
          <w:tcPr>
            <w:tcW w:type="dxa" w:w="3377"/>
          </w:tcPr>
          <w:p>
            <w:pPr>
              <w:spacing w:after="20"/>
            </w:pPr>
            <w:r/>
            <w:r>
              <w:rPr>
                <w:b w:val="0"/>
                <w:sz w:val="19"/>
              </w:rPr>
              <w:t>Hosting / Monitoring</w:t>
            </w:r>
          </w:p>
        </w:tc>
        <w:tc>
          <w:tcPr>
            <w:tcW w:type="dxa" w:w="2252"/>
          </w:tcPr>
          <w:p>
            <w:pPr>
              <w:spacing w:after="20"/>
            </w:pPr>
            <w:r/>
            <w:r>
              <w:rPr>
                <w:b w:val="0"/>
                <w:sz w:val="19"/>
              </w:rPr>
              <w:t>TC-010</w:t>
            </w:r>
          </w:p>
        </w:tc>
      </w:tr>
    </w:tbl>
    <w:p>
      <w:pPr>
        <w:spacing w:after="40"/>
      </w:pPr>
    </w:p>
    <w:p>
      <w:pPr>
        <w:pStyle w:val="Heading2"/>
      </w:pPr>
      <w:r>
        <w:t>Appendix B: Known Defects Identified in Testing</w:t>
      </w:r>
    </w:p>
    <w:tbl>
      <w:tblPr>
        <w:tblStyle w:val="TableGrid"/>
        <w:tblW w:type="auto" w:w="0"/>
        <w:tblLayout w:type="fixed"/>
        <w:tblLook w:firstColumn="1" w:firstRow="1" w:lastColumn="0" w:lastRow="0" w:noHBand="0" w:noVBand="1" w:val="04A0"/>
      </w:tblPr>
      <w:tblGrid>
        <w:gridCol w:w="871"/>
        <w:gridCol w:w="6385"/>
        <w:gridCol w:w="2032"/>
      </w:tblGrid>
      <w:tr>
        <w:trPr>
          <w:tblHeader w:val="true"/>
        </w:trPr>
        <w:tc>
          <w:tcPr>
            <w:tcW w:type="dxa" w:w="871"/>
            <w:shd w:val="clear" w:color="auto" w:fill="D9D9D9"/>
          </w:tcPr>
          <w:p>
            <w:pPr>
              <w:spacing w:after="20"/>
            </w:pPr>
            <w:r/>
            <w:r>
              <w:rPr>
                <w:b/>
                <w:sz w:val="19"/>
              </w:rPr>
              <w:t>Bug</w:t>
            </w:r>
          </w:p>
        </w:tc>
        <w:tc>
          <w:tcPr>
            <w:tcW w:type="dxa" w:w="6385"/>
            <w:shd w:val="clear" w:color="auto" w:fill="D9D9D9"/>
          </w:tcPr>
          <w:p>
            <w:pPr>
              <w:spacing w:after="20"/>
            </w:pPr>
            <w:r/>
            <w:r>
              <w:rPr>
                <w:b/>
                <w:sz w:val="19"/>
              </w:rPr>
              <w:t>Description</w:t>
            </w:r>
          </w:p>
        </w:tc>
        <w:tc>
          <w:tcPr>
            <w:tcW w:type="dxa" w:w="2032"/>
            <w:shd w:val="clear" w:color="auto" w:fill="D9D9D9"/>
          </w:tcPr>
          <w:p>
            <w:pPr>
              <w:spacing w:after="20"/>
            </w:pPr>
            <w:r/>
            <w:r>
              <w:rPr>
                <w:b/>
                <w:sz w:val="19"/>
              </w:rPr>
              <w:t>Related requirement</w:t>
            </w:r>
          </w:p>
        </w:tc>
      </w:tr>
      <w:tr>
        <w:tc>
          <w:tcPr>
            <w:tcW w:type="dxa" w:w="871"/>
          </w:tcPr>
          <w:p>
            <w:pPr>
              <w:spacing w:after="20"/>
            </w:pPr>
            <w:r/>
            <w:r>
              <w:rPr>
                <w:b/>
                <w:sz w:val="19"/>
              </w:rPr>
              <w:t>1</w:t>
            </w:r>
          </w:p>
        </w:tc>
        <w:tc>
          <w:tcPr>
            <w:tcW w:type="dxa" w:w="6385"/>
          </w:tcPr>
          <w:p>
            <w:pPr>
              <w:spacing w:after="20"/>
            </w:pPr>
            <w:r/>
            <w:r>
              <w:rPr>
                <w:b w:val="0"/>
                <w:sz w:val="19"/>
              </w:rPr>
              <w:t>Bracket generator fails with an odd number of teams (no bye assigned)</w:t>
            </w:r>
          </w:p>
        </w:tc>
        <w:tc>
          <w:tcPr>
            <w:tcW w:type="dxa" w:w="2032"/>
          </w:tcPr>
          <w:p>
            <w:pPr>
              <w:spacing w:after="20"/>
            </w:pPr>
            <w:r/>
            <w:r>
              <w:rPr>
                <w:b w:val="0"/>
                <w:sz w:val="19"/>
              </w:rPr>
              <w:t>FR-001</w:t>
            </w:r>
          </w:p>
        </w:tc>
      </w:tr>
      <w:tr>
        <w:tc>
          <w:tcPr>
            <w:tcW w:type="dxa" w:w="871"/>
          </w:tcPr>
          <w:p>
            <w:pPr>
              <w:spacing w:after="20"/>
            </w:pPr>
            <w:r/>
            <w:r>
              <w:rPr>
                <w:b/>
                <w:sz w:val="19"/>
              </w:rPr>
              <w:t>2</w:t>
            </w:r>
          </w:p>
        </w:tc>
        <w:tc>
          <w:tcPr>
            <w:tcW w:type="dxa" w:w="6385"/>
          </w:tcPr>
          <w:p>
            <w:pPr>
              <w:spacing w:after="20"/>
            </w:pPr>
            <w:r/>
            <w:r>
              <w:rPr>
                <w:b w:val="0"/>
                <w:sz w:val="19"/>
              </w:rPr>
              <w:t>Second registration accepted after the deadline</w:t>
            </w:r>
          </w:p>
        </w:tc>
        <w:tc>
          <w:tcPr>
            <w:tcW w:type="dxa" w:w="2032"/>
          </w:tcPr>
          <w:p>
            <w:pPr>
              <w:spacing w:after="20"/>
            </w:pPr>
            <w:r/>
            <w:r>
              <w:rPr>
                <w:b w:val="0"/>
                <w:sz w:val="19"/>
              </w:rPr>
              <w:t>FR-002</w:t>
            </w:r>
          </w:p>
        </w:tc>
      </w:tr>
      <w:tr>
        <w:tc>
          <w:tcPr>
            <w:tcW w:type="dxa" w:w="871"/>
          </w:tcPr>
          <w:p>
            <w:pPr>
              <w:spacing w:after="20"/>
            </w:pPr>
            <w:r/>
            <w:r>
              <w:rPr>
                <w:b/>
                <w:sz w:val="19"/>
              </w:rPr>
              <w:t>3</w:t>
            </w:r>
          </w:p>
        </w:tc>
        <w:tc>
          <w:tcPr>
            <w:tcW w:type="dxa" w:w="6385"/>
          </w:tcPr>
          <w:p>
            <w:pPr>
              <w:spacing w:after="20"/>
            </w:pPr>
            <w:r/>
            <w:r>
              <w:rPr>
                <w:b w:val="0"/>
                <w:sz w:val="19"/>
              </w:rPr>
              <w:t>Negative score accepted on submission</w:t>
            </w:r>
          </w:p>
        </w:tc>
        <w:tc>
          <w:tcPr>
            <w:tcW w:type="dxa" w:w="2032"/>
          </w:tcPr>
          <w:p>
            <w:pPr>
              <w:spacing w:after="20"/>
            </w:pPr>
            <w:r/>
            <w:r>
              <w:rPr>
                <w:b w:val="0"/>
                <w:sz w:val="19"/>
              </w:rPr>
              <w:t>FR-003</w:t>
            </w:r>
          </w:p>
        </w:tc>
      </w:tr>
      <w:tr>
        <w:tc>
          <w:tcPr>
            <w:tcW w:type="dxa" w:w="871"/>
          </w:tcPr>
          <w:p>
            <w:pPr>
              <w:spacing w:after="20"/>
            </w:pPr>
            <w:r/>
            <w:r>
              <w:rPr>
                <w:b/>
                <w:sz w:val="19"/>
              </w:rPr>
              <w:t>4</w:t>
            </w:r>
          </w:p>
        </w:tc>
        <w:tc>
          <w:tcPr>
            <w:tcW w:type="dxa" w:w="6385"/>
          </w:tcPr>
          <w:p>
            <w:pPr>
              <w:spacing w:after="20"/>
            </w:pPr>
            <w:r/>
            <w:r>
              <w:rPr>
                <w:b w:val="0"/>
                <w:sz w:val="19"/>
              </w:rPr>
              <w:t>Winner not auto-advanced after score submission</w:t>
            </w:r>
          </w:p>
        </w:tc>
        <w:tc>
          <w:tcPr>
            <w:tcW w:type="dxa" w:w="2032"/>
          </w:tcPr>
          <w:p>
            <w:pPr>
              <w:spacing w:after="20"/>
            </w:pPr>
            <w:r/>
            <w:r>
              <w:rPr>
                <w:b w:val="0"/>
                <w:sz w:val="19"/>
              </w:rPr>
              <w:t>FR-004</w:t>
            </w:r>
          </w:p>
        </w:tc>
      </w:tr>
      <w:tr>
        <w:tc>
          <w:tcPr>
            <w:tcW w:type="dxa" w:w="871"/>
          </w:tcPr>
          <w:p>
            <w:pPr>
              <w:spacing w:after="20"/>
            </w:pPr>
            <w:r/>
            <w:r>
              <w:rPr>
                <w:b/>
                <w:sz w:val="19"/>
              </w:rPr>
              <w:t>5</w:t>
            </w:r>
          </w:p>
        </w:tc>
        <w:tc>
          <w:tcPr>
            <w:tcW w:type="dxa" w:w="6385"/>
          </w:tcPr>
          <w:p>
            <w:pPr>
              <w:spacing w:after="20"/>
            </w:pPr>
            <w:r/>
            <w:r>
              <w:rPr>
                <w:b w:val="0"/>
                <w:sz w:val="19"/>
              </w:rPr>
              <w:t>Standings take longer than 200 ms under high load</w:t>
            </w:r>
          </w:p>
        </w:tc>
        <w:tc>
          <w:tcPr>
            <w:tcW w:type="dxa" w:w="2032"/>
          </w:tcPr>
          <w:p>
            <w:pPr>
              <w:spacing w:after="20"/>
            </w:pPr>
            <w:r/>
            <w:r>
              <w:rPr>
                <w:b w:val="0"/>
                <w:sz w:val="19"/>
              </w:rPr>
              <w:t>NFR-001</w:t>
            </w:r>
          </w:p>
        </w:tc>
      </w:tr>
    </w:tbl>
    <w:p>
      <w:pPr>
        <w:spacing w:after="40"/>
      </w:pP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