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A" w:val="clear"/>
            <w:tcMar>
              <w:top w:type="dxa" w:w="140"/>
              <w:left w:type="dxa" w:w="240"/>
              <w:bottom w:type="dxa" w:w="140"/>
              <w:right w:type="dxa" w:w="240"/>
            </w:tcMar>
          </w:tcPr>
          <w:p>
            <w:pPr>
              <w:spacing w:after="80" w:before="0"/>
            </w:pPr>
            <w:r>
              <w:rPr>
                <w:rFonts w:ascii="Arial" w:cs="Arial" w:eastAsia="Arial" w:hAnsi="Arial"/>
                <w:b/>
                <w:bCs/>
                <w:color w:val="0A2463"/>
                <w:sz w:val="18"/>
                <w:szCs w:val="18"/>
              </w:rPr>
              <w:t xml:space="preserve">SEO METADATA — ARTICLE 7 (PILLAR)</w:t>
            </w:r>
          </w:p>
          <w:p>
            <w:pPr>
              <w:spacing w:after="40" w:before="0"/>
            </w:pPr>
            <w:r>
              <w:rPr>
                <w:rFonts w:ascii="Arial" w:cs="Arial" w:eastAsia="Arial" w:hAnsi="Arial"/>
                <w:b/>
                <w:bCs/>
                <w:color w:val="333333"/>
                <w:sz w:val="18"/>
                <w:szCs w:val="18"/>
              </w:rPr>
              <w:t xml:space="preserve">Focus Keyword: </w:t>
            </w:r>
            <w:r>
              <w:rPr>
                <w:rFonts w:ascii="Arial" w:cs="Arial" w:eastAsia="Arial" w:hAnsi="Arial"/>
                <w:color w:val="333333"/>
                <w:sz w:val="18"/>
                <w:szCs w:val="18"/>
              </w:rPr>
              <w:t xml:space="preserve">commercial construction Florida</w:t>
            </w:r>
          </w:p>
          <w:p>
            <w:pPr>
              <w:spacing w:after="40" w:before="0"/>
            </w:pPr>
            <w:r>
              <w:rPr>
                <w:rFonts w:ascii="Arial" w:cs="Arial" w:eastAsia="Arial" w:hAnsi="Arial"/>
                <w:b/>
                <w:bCs/>
                <w:color w:val="333333"/>
                <w:sz w:val="18"/>
                <w:szCs w:val="18"/>
              </w:rPr>
              <w:t xml:space="preserve">Secondary Keywords: </w:t>
            </w:r>
            <w:r>
              <w:rPr>
                <w:rFonts w:ascii="Arial" w:cs="Arial" w:eastAsia="Arial" w:hAnsi="Arial"/>
                <w:color w:val="333333"/>
                <w:sz w:val="18"/>
                <w:szCs w:val="18"/>
              </w:rPr>
              <w:t xml:space="preserve">commercial construction guide Florida, Florida commercial building, commercial contractor Florida, commercial construction process Florida, general contractor Florida</w:t>
            </w:r>
          </w:p>
          <w:p>
            <w:pPr>
              <w:spacing w:after="40" w:before="0"/>
            </w:pPr>
            <w:r>
              <w:rPr>
                <w:rFonts w:ascii="Arial" w:cs="Arial" w:eastAsia="Arial" w:hAnsi="Arial"/>
                <w:b/>
                <w:bCs/>
                <w:color w:val="333333"/>
                <w:sz w:val="18"/>
                <w:szCs w:val="18"/>
              </w:rPr>
              <w:t xml:space="preserve">URL Slug: </w:t>
            </w:r>
            <w:r>
              <w:rPr>
                <w:rFonts w:ascii="Arial" w:cs="Arial" w:eastAsia="Arial" w:hAnsi="Arial"/>
                <w:color w:val="333333"/>
                <w:sz w:val="18"/>
                <w:szCs w:val="18"/>
              </w:rPr>
              <w:t xml:space="preserve">/blog/complete-guide-commercial-construction-florida/</w:t>
            </w:r>
          </w:p>
          <w:p>
            <w:pPr>
              <w:spacing w:after="40" w:before="0"/>
            </w:pPr>
            <w:r>
              <w:rPr>
                <w:rFonts w:ascii="Arial" w:cs="Arial" w:eastAsia="Arial" w:hAnsi="Arial"/>
                <w:b/>
                <w:bCs/>
                <w:color w:val="333333"/>
                <w:sz w:val="18"/>
                <w:szCs w:val="18"/>
              </w:rPr>
              <w:t xml:space="preserve">Meta Title: </w:t>
            </w:r>
            <w:r>
              <w:rPr>
                <w:rFonts w:ascii="Arial" w:cs="Arial" w:eastAsia="Arial" w:hAnsi="Arial"/>
                <w:color w:val="333333"/>
                <w:sz w:val="18"/>
                <w:szCs w:val="18"/>
              </w:rPr>
              <w:t xml:space="preserve">The Complete Guide to Commercial Construction in Florida | Keentel GC</w:t>
            </w:r>
          </w:p>
          <w:p>
            <w:pPr>
              <w:spacing w:after="40" w:before="0"/>
            </w:pPr>
            <w:r>
              <w:rPr>
                <w:rFonts w:ascii="Arial" w:cs="Arial" w:eastAsia="Arial" w:hAnsi="Arial"/>
                <w:b/>
                <w:bCs/>
                <w:color w:val="333333"/>
                <w:sz w:val="18"/>
                <w:szCs w:val="18"/>
              </w:rPr>
              <w:t xml:space="preserve">Meta Description: </w:t>
            </w:r>
            <w:r>
              <w:rPr>
                <w:rFonts w:ascii="Arial" w:cs="Arial" w:eastAsia="Arial" w:hAnsi="Arial"/>
                <w:color w:val="333333"/>
                <w:sz w:val="18"/>
                <w:szCs w:val="18"/>
              </w:rPr>
              <w:t xml:space="preserve">Everything Florida developers, business owners, and property investors need to know about commercial construction — costs, timelines, codes, contractors, and how to get it right.</w:t>
            </w:r>
          </w:p>
          <w:p>
            <w:pPr>
              <w:spacing w:after="40" w:before="0"/>
            </w:pPr>
            <w:r>
              <w:rPr>
                <w:rFonts w:ascii="Arial" w:cs="Arial" w:eastAsia="Arial" w:hAnsi="Arial"/>
                <w:b/>
                <w:bCs/>
                <w:color w:val="333333"/>
                <w:sz w:val="18"/>
                <w:szCs w:val="18"/>
              </w:rPr>
              <w:t xml:space="preserve">Word Count Target: </w:t>
            </w:r>
            <w:r>
              <w:rPr>
                <w:rFonts w:ascii="Arial" w:cs="Arial" w:eastAsia="Arial" w:hAnsi="Arial"/>
                <w:color w:val="333333"/>
                <w:sz w:val="18"/>
                <w:szCs w:val="18"/>
              </w:rPr>
              <w:t xml:space="preserve">3,000–3,500 words — this is the pillar article</w:t>
            </w:r>
          </w:p>
          <w:p>
            <w:pPr>
              <w:spacing w:after="40" w:before="0"/>
            </w:pPr>
            <w:r>
              <w:rPr>
                <w:rFonts w:ascii="Arial" w:cs="Arial" w:eastAsia="Arial" w:hAnsi="Arial"/>
                <w:b/>
                <w:bCs/>
                <w:color w:val="333333"/>
                <w:sz w:val="18"/>
                <w:szCs w:val="18"/>
              </w:rPr>
              <w:t xml:space="preserve">Schema: </w:t>
            </w:r>
            <w:r>
              <w:rPr>
                <w:rFonts w:ascii="Arial" w:cs="Arial" w:eastAsia="Arial" w:hAnsi="Arial"/>
                <w:color w:val="333333"/>
                <w:sz w:val="18"/>
                <w:szCs w:val="18"/>
              </w:rPr>
              <w:t xml:space="preserve">Article, FAQPage, BreadcrumbList, HowTo</w:t>
            </w:r>
          </w:p>
          <w:p>
            <w:pPr>
              <w:spacing w:after="40" w:before="0"/>
            </w:pPr>
            <w:r>
              <w:rPr>
                <w:rFonts w:ascii="Arial" w:cs="Arial" w:eastAsia="Arial" w:hAnsi="Arial"/>
                <w:b/>
                <w:bCs/>
                <w:color w:val="333333"/>
                <w:sz w:val="18"/>
                <w:szCs w:val="18"/>
              </w:rPr>
              <w:t xml:space="preserve">Pillar Article Note: </w:t>
            </w:r>
            <w:r>
              <w:rPr>
                <w:rFonts w:ascii="Arial" w:cs="Arial" w:eastAsia="Arial" w:hAnsi="Arial"/>
                <w:color w:val="333333"/>
                <w:sz w:val="18"/>
                <w:szCs w:val="18"/>
              </w:rPr>
              <w:t xml:space="preserve">Every other blog article links back to this one. This article links to all 7 service pages, all county service areas, and all other blog articles. It is the authority hub for the entire site.</w:t>
            </w:r>
          </w:p>
          <w:p>
            <w:pPr>
              <w:spacing w:after="40" w:before="0"/>
            </w:pPr>
            <w:r>
              <w:rPr>
                <w:rFonts w:ascii="Arial" w:cs="Arial" w:eastAsia="Arial" w:hAnsi="Arial"/>
                <w:b/>
                <w:bCs/>
                <w:color w:val="333333"/>
                <w:sz w:val="18"/>
                <w:szCs w:val="18"/>
              </w:rPr>
              <w:t xml:space="preserve">Internal Links: </w:t>
            </w:r>
            <w:r>
              <w:rPr>
                <w:rFonts w:ascii="Arial" w:cs="Arial" w:eastAsia="Arial" w:hAnsi="Arial"/>
                <w:color w:val="333333"/>
                <w:sz w:val="18"/>
                <w:szCs w:val="18"/>
              </w:rPr>
              <w:t xml:space="preserve">ALL service pages + ALL county service areas + ALL blog articles on site</w:t>
            </w:r>
          </w:p>
        </w:tc>
      </w:tr>
    </w:tbl>
    <w:p>
      <w:pPr>
        <w:spacing w:before="320"/>
      </w:pPr>
    </w:p>
    <w:p>
      <w:pPr>
        <w:spacing w:after="80" w:before="0"/>
      </w:pPr>
      <w:r>
        <w:rPr>
          <w:rFonts w:ascii="Arial" w:cs="Arial" w:eastAsia="Arial" w:hAnsi="Arial"/>
          <w:b/>
          <w:bCs/>
          <w:color w:val="5A1FBE"/>
          <w:sz w:val="18"/>
          <w:szCs w:val="18"/>
        </w:rPr>
        <w:t xml:space="preserve">PILLAR ARTICLE  •  COMMERCIAL CONSTRUCTION  •  FLORIDA  •  COMPLETE GUIDE</w:t>
      </w:r>
    </w:p>
    <w:p>
      <w:pPr>
        <w:spacing w:after="200" w:before="0"/>
      </w:pPr>
      <w:r>
        <w:rPr>
          <w:rFonts w:ascii="Georgia" w:cs="Georgia" w:eastAsia="Georgia" w:hAnsi="Georgia"/>
          <w:b/>
          <w:bCs/>
          <w:color w:val="0A2463"/>
          <w:sz w:val="48"/>
          <w:szCs w:val="48"/>
        </w:rPr>
        <w:t xml:space="preserve">The Complete Guide to Commercial Construction in Florida</w:t>
      </w:r>
    </w:p>
    <w:p>
      <w:pPr>
        <w:spacing w:after="60" w:before="0"/>
      </w:pPr>
      <w:r>
        <w:rPr>
          <w:rFonts w:ascii="Arial" w:cs="Arial" w:eastAsia="Arial" w:hAnsi="Arial"/>
          <w:color w:val="5A6B7B"/>
          <w:sz w:val="19"/>
          <w:szCs w:val="19"/>
        </w:rPr>
        <w:t xml:space="preserve">By Sonny Patel, Keentel General Contractors  |  </w:t>
      </w:r>
      <w:r>
        <w:rPr>
          <w:rFonts w:ascii="Arial" w:cs="Arial" w:eastAsia="Arial" w:hAnsi="Arial"/>
          <w:color w:val="5A6B7B"/>
          <w:sz w:val="19"/>
          <w:szCs w:val="19"/>
        </w:rPr>
        <w:t xml:space="preserve">Tampa Bay, Florida  |  July 2026  |  15 min read</w:t>
      </w:r>
    </w:p>
    <w:p>
      <w:pPr>
        <w:pBdr>
          <w:bottom w:val="single" w:color="E0E0E0" w:sz="2" w:space="1"/>
        </w:pBdr>
        <w:spacing w:after="28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4FF" w:val="clear"/>
            <w:tcMar>
              <w:top w:type="dxa" w:w="160"/>
              <w:left w:type="dxa" w:w="240"/>
              <w:bottom w:type="dxa" w:w="160"/>
              <w:right w:type="dxa" w:w="240"/>
            </w:tcMar>
          </w:tcPr>
          <w:p>
            <w:pPr>
              <w:spacing w:after="100" w:before="0"/>
            </w:pPr>
            <w:r>
              <w:rPr>
                <w:rFonts w:ascii="Arial" w:cs="Arial" w:eastAsia="Arial" w:hAnsi="Arial"/>
                <w:b/>
                <w:bCs/>
                <w:color w:val="0A2463"/>
                <w:sz w:val="20"/>
                <w:szCs w:val="20"/>
              </w:rPr>
              <w:t xml:space="preserve">TABLE OF CONTENTS</w:t>
            </w:r>
          </w:p>
          <w:p>
            <w:pPr>
              <w:spacing w:after="40" w:before="0"/>
            </w:pPr>
            <w:r>
              <w:rPr>
                <w:rFonts w:ascii="Arial" w:cs="Arial" w:eastAsia="Arial" w:hAnsi="Arial"/>
                <w:color w:val="5A1FBE"/>
                <w:sz w:val="20"/>
                <w:szCs w:val="20"/>
              </w:rPr>
              <w:t xml:space="preserve">→  1. Why Florida Commercial Construction Is Different</w:t>
            </w:r>
          </w:p>
          <w:p>
            <w:pPr>
              <w:spacing w:after="40" w:before="0"/>
            </w:pPr>
            <w:r>
              <w:rPr>
                <w:rFonts w:ascii="Arial" w:cs="Arial" w:eastAsia="Arial" w:hAnsi="Arial"/>
                <w:color w:val="5A1FBE"/>
                <w:sz w:val="20"/>
                <w:szCs w:val="20"/>
              </w:rPr>
              <w:t xml:space="preserve">→  2. What Counts as Commercial Construction</w:t>
            </w:r>
          </w:p>
          <w:p>
            <w:pPr>
              <w:spacing w:after="40" w:before="0"/>
            </w:pPr>
            <w:r>
              <w:rPr>
                <w:rFonts w:ascii="Arial" w:cs="Arial" w:eastAsia="Arial" w:hAnsi="Arial"/>
                <w:color w:val="5A1FBE"/>
                <w:sz w:val="20"/>
                <w:szCs w:val="20"/>
              </w:rPr>
              <w:t xml:space="preserve">→  3. The Complete Commercial Construction Process (8 Phases)</w:t>
            </w:r>
          </w:p>
          <w:p>
            <w:pPr>
              <w:spacing w:after="40" w:before="0"/>
            </w:pPr>
            <w:r>
              <w:rPr>
                <w:rFonts w:ascii="Arial" w:cs="Arial" w:eastAsia="Arial" w:hAnsi="Arial"/>
                <w:color w:val="5A1FBE"/>
                <w:sz w:val="20"/>
                <w:szCs w:val="20"/>
              </w:rPr>
              <w:t xml:space="preserve">→  4. Commercial Construction Costs in Florida</w:t>
            </w:r>
          </w:p>
          <w:p>
            <w:pPr>
              <w:spacing w:after="40" w:before="0"/>
            </w:pPr>
            <w:r>
              <w:rPr>
                <w:rFonts w:ascii="Arial" w:cs="Arial" w:eastAsia="Arial" w:hAnsi="Arial"/>
                <w:color w:val="5A1FBE"/>
                <w:sz w:val="20"/>
                <w:szCs w:val="20"/>
              </w:rPr>
              <w:t xml:space="preserve">→  5. Florida Building Code — What Every Owner Must Know</w:t>
            </w:r>
          </w:p>
          <w:p>
            <w:pPr>
              <w:spacing w:after="40" w:before="0"/>
            </w:pPr>
            <w:r>
              <w:rPr>
                <w:rFonts w:ascii="Arial" w:cs="Arial" w:eastAsia="Arial" w:hAnsi="Arial"/>
                <w:color w:val="5A1FBE"/>
                <w:sz w:val="20"/>
                <w:szCs w:val="20"/>
              </w:rPr>
              <w:t xml:space="preserve">→  6. Permitting in Florida — The Real Timeline</w:t>
            </w:r>
          </w:p>
          <w:p>
            <w:pPr>
              <w:spacing w:after="40" w:before="0"/>
            </w:pPr>
            <w:r>
              <w:rPr>
                <w:rFonts w:ascii="Arial" w:cs="Arial" w:eastAsia="Arial" w:hAnsi="Arial"/>
                <w:color w:val="5A1FBE"/>
                <w:sz w:val="20"/>
                <w:szCs w:val="20"/>
              </w:rPr>
              <w:t xml:space="preserve">→  7. How to Choose a General Contractor in Florida</w:t>
            </w:r>
          </w:p>
          <w:p>
            <w:pPr>
              <w:spacing w:after="40" w:before="0"/>
            </w:pPr>
            <w:r>
              <w:rPr>
                <w:rFonts w:ascii="Arial" w:cs="Arial" w:eastAsia="Arial" w:hAnsi="Arial"/>
                <w:color w:val="5A1FBE"/>
                <w:sz w:val="20"/>
                <w:szCs w:val="20"/>
              </w:rPr>
              <w:t xml:space="preserve">→  8. Delivery Methods — Design-Build vs. Traditional</w:t>
            </w:r>
          </w:p>
          <w:p>
            <w:pPr>
              <w:spacing w:after="40" w:before="0"/>
            </w:pPr>
            <w:r>
              <w:rPr>
                <w:rFonts w:ascii="Arial" w:cs="Arial" w:eastAsia="Arial" w:hAnsi="Arial"/>
                <w:color w:val="5A1FBE"/>
                <w:sz w:val="20"/>
                <w:szCs w:val="20"/>
              </w:rPr>
              <w:t xml:space="preserve">→  9. Commercial Construction by Project Type</w:t>
            </w:r>
          </w:p>
          <w:p>
            <w:pPr>
              <w:spacing w:after="40" w:before="0"/>
            </w:pPr>
            <w:r>
              <w:rPr>
                <w:rFonts w:ascii="Arial" w:cs="Arial" w:eastAsia="Arial" w:hAnsi="Arial"/>
                <w:color w:val="5A1FBE"/>
                <w:sz w:val="20"/>
                <w:szCs w:val="20"/>
              </w:rPr>
              <w:t xml:space="preserve">→  10. Serving Tampa Bay and All of Florida</w:t>
            </w:r>
          </w:p>
          <w:p>
            <w:pPr>
              <w:spacing w:after="40" w:before="0"/>
            </w:pPr>
            <w:r>
              <w:rPr>
                <w:rFonts w:ascii="Arial" w:cs="Arial" w:eastAsia="Arial" w:hAnsi="Arial"/>
                <w:color w:val="5A1FBE"/>
                <w:sz w:val="20"/>
                <w:szCs w:val="20"/>
              </w:rPr>
              <w:t xml:space="preserve">→  11. FAQs</w:t>
            </w:r>
          </w:p>
        </w:tc>
      </w:tr>
    </w:tbl>
    <w:p>
      <w:pPr>
        <w:spacing w:before="200"/>
      </w:pPr>
    </w:p>
    <w:p>
      <w:pPr>
        <w:spacing w:after="160" w:before="0"/>
      </w:pPr>
      <w:r>
        <w:rPr>
          <w:rFonts w:ascii="Georgia" w:cs="Georgia" w:eastAsia="Georgia" w:hAnsi="Georgia"/>
          <w:b w:val="false"/>
          <w:bCs w:val="false"/>
          <w:i w:val="false"/>
          <w:iCs w:val="false"/>
          <w:color w:val="1A1A1A"/>
          <w:sz w:val="23"/>
          <w:szCs w:val="23"/>
        </w:rPr>
        <w:t xml:space="preserve">Florida is one of the most active commercial construction markets in the United States.</w:t>
      </w:r>
    </w:p>
    <w:p>
      <w:pPr>
        <w:spacing w:after="160" w:before="0"/>
      </w:pPr>
      <w:r>
        <w:rPr>
          <w:rFonts w:ascii="Georgia" w:cs="Georgia" w:eastAsia="Georgia" w:hAnsi="Georgia"/>
          <w:b w:val="false"/>
          <w:bCs w:val="false"/>
          <w:i w:val="false"/>
          <w:iCs w:val="false"/>
          <w:color w:val="1A1A1A"/>
          <w:sz w:val="23"/>
          <w:szCs w:val="23"/>
        </w:rPr>
        <w:t xml:space="preserve">It's also one of the most misunderstood.</w:t>
      </w:r>
    </w:p>
    <w:p>
      <w:pPr>
        <w:spacing w:after="160" w:before="0"/>
      </w:pPr>
      <w:r>
        <w:rPr>
          <w:rFonts w:ascii="Georgia" w:cs="Georgia" w:eastAsia="Georgia" w:hAnsi="Georgia"/>
          <w:b w:val="false"/>
          <w:bCs w:val="false"/>
          <w:i w:val="false"/>
          <w:iCs w:val="false"/>
          <w:color w:val="1A1A1A"/>
          <w:sz w:val="23"/>
          <w:szCs w:val="23"/>
        </w:rPr>
        <w:t xml:space="preserve">Owners who have built in other states arrive in Florida expecting a familiar process. They find different building codes, different permit timelines, different geological conditions, and a construction market with its own pace, its own pressures, and its own rules.</w:t>
      </w:r>
    </w:p>
    <w:p>
      <w:pPr>
        <w:spacing w:after="160" w:before="0"/>
      </w:pPr>
      <w:r>
        <w:rPr>
          <w:rFonts w:ascii="Georgia" w:cs="Georgia" w:eastAsia="Georgia" w:hAnsi="Georgia"/>
          <w:b w:val="false"/>
          <w:bCs w:val="false"/>
          <w:i w:val="false"/>
          <w:iCs w:val="false"/>
          <w:color w:val="1A1A1A"/>
          <w:sz w:val="23"/>
          <w:szCs w:val="23"/>
        </w:rPr>
        <w:t xml:space="preserve">Owners building in Florida for the first time arrive with no frame of reference at all.</w:t>
      </w:r>
    </w:p>
    <w:p>
      <w:pPr>
        <w:spacing w:after="160" w:before="0"/>
      </w:pPr>
      <w:r>
        <w:rPr>
          <w:rFonts w:ascii="Georgia" w:cs="Georgia" w:eastAsia="Georgia" w:hAnsi="Georgia"/>
          <w:b w:val="false"/>
          <w:bCs w:val="false"/>
          <w:i w:val="false"/>
          <w:iCs w:val="false"/>
          <w:color w:val="1A1A1A"/>
          <w:sz w:val="23"/>
          <w:szCs w:val="23"/>
        </w:rPr>
        <w:t xml:space="preserve">This guide is for both.</w:t>
      </w:r>
    </w:p>
    <w:p>
      <w:pPr>
        <w:spacing w:after="160" w:before="0"/>
      </w:pPr>
      <w:r>
        <w:rPr>
          <w:rFonts w:ascii="Georgia" w:cs="Georgia" w:eastAsia="Georgia" w:hAnsi="Georgia"/>
          <w:b w:val="false"/>
          <w:bCs w:val="false"/>
          <w:i w:val="false"/>
          <w:iCs w:val="false"/>
          <w:color w:val="1A1A1A"/>
          <w:sz w:val="23"/>
          <w:szCs w:val="23"/>
        </w:rPr>
        <w:t xml:space="preserve">After 30+ years of delivering commercial construction projects across Tampa Bay, Orlando, Miami, Jacksonville, Fort Lauderdale, and throughout the state, we've written the guide we wish every Florida project owner had before they started.</w:t>
      </w:r>
    </w:p>
    <w:p>
      <w:pPr>
        <w:spacing w:after="160" w:before="0"/>
      </w:pPr>
      <w:r>
        <w:rPr>
          <w:rFonts w:ascii="Georgia" w:cs="Georgia" w:eastAsia="Georgia" w:hAnsi="Georgia"/>
          <w:b w:val="false"/>
          <w:bCs w:val="false"/>
          <w:i w:val="false"/>
          <w:iCs w:val="false"/>
          <w:color w:val="1A1A1A"/>
          <w:sz w:val="23"/>
          <w:szCs w:val="23"/>
        </w:rPr>
        <w:t xml:space="preserve">Bookmark it. Share it. Come back to it when something surprises you.</w:t>
      </w:r>
    </w:p>
    <w:p>
      <w:pPr>
        <w:pBdr>
          <w:left w:val="single" w:color="5A1FBE" w:sz="20" w:space="16"/>
        </w:pBdr>
        <w:shd w:fill="F0EDFB" w:val="clear"/>
        <w:spacing w:after="200" w:before="200"/>
        <w:ind w:left="600" w:right="600"/>
      </w:pPr>
      <w:r>
        <w:rPr>
          <w:rFonts w:ascii="Georgia" w:cs="Georgia" w:eastAsia="Georgia" w:hAnsi="Georgia"/>
          <w:b/>
          <w:bCs/>
          <w:i/>
          <w:iCs/>
          <w:color w:val="5A1FBE"/>
          <w:sz w:val="26"/>
          <w:szCs w:val="26"/>
        </w:rPr>
        <w:t xml:space="preserve">Commercial construction in Florida is not just construction in a warm climate. It's a distinct regulatory, geological, and market environment that rewards experience and punishes assumptions.</w:t>
      </w:r>
    </w:p>
    <w:p>
      <w:pPr>
        <w:pBdr>
          <w:bottom w:val="single" w:color="5A1FBE" w:sz="4" w:space="6"/>
        </w:pBdr>
        <w:spacing w:after="120" w:before="360"/>
      </w:pPr>
      <w:r>
        <w:rPr>
          <w:rFonts w:ascii="Arial" w:cs="Arial" w:eastAsia="Arial" w:hAnsi="Arial"/>
          <w:b/>
          <w:bCs/>
          <w:color w:val="0A2463"/>
          <w:sz w:val="32"/>
          <w:szCs w:val="32"/>
        </w:rPr>
        <w:t xml:space="preserve">1. Why Florida Commercial Construction Is Different</w:t>
      </w:r>
    </w:p>
    <w:p>
      <w:pPr>
        <w:spacing w:after="80" w:before="240"/>
      </w:pPr>
      <w:r>
        <w:rPr>
          <w:rFonts w:ascii="Arial" w:cs="Arial" w:eastAsia="Arial" w:hAnsi="Arial"/>
          <w:b/>
          <w:bCs/>
          <w:color w:val="1B4F9C"/>
          <w:sz w:val="26"/>
          <w:szCs w:val="26"/>
        </w:rPr>
        <w:t xml:space="preserve">The Florida Building Code</w:t>
      </w:r>
    </w:p>
    <w:p>
      <w:pPr>
        <w:spacing w:after="160" w:before="0"/>
      </w:pPr>
      <w:r>
        <w:rPr>
          <w:rFonts w:ascii="Georgia" w:cs="Georgia" w:eastAsia="Georgia" w:hAnsi="Georgia"/>
          <w:b w:val="false"/>
          <w:bCs w:val="false"/>
          <w:i w:val="false"/>
          <w:iCs w:val="false"/>
          <w:color w:val="1A1A1A"/>
          <w:sz w:val="23"/>
          <w:szCs w:val="23"/>
        </w:rPr>
        <w:t xml:space="preserve">Florida operates under one of the strictest building codes in the United States. The Florida Building Code (FBC) establishes minimum construction standards that exceed national codes in several critical areas:</w:t>
      </w:r>
    </w:p>
    <w:p>
      <w:pPr>
        <w:pStyle w:val="ListParagraph"/>
        <w:numPr>
          <w:ilvl w:val="0"/>
          <w:numId w:val="2"/>
        </w:numPr>
        <w:spacing w:after="60" w:before="60"/>
      </w:pPr>
      <w:r>
        <w:rPr>
          <w:rFonts w:ascii="Georgia" w:cs="Georgia" w:eastAsia="Georgia" w:hAnsi="Georgia"/>
          <w:color w:val="1A1A1A"/>
          <w:sz w:val="23"/>
          <w:szCs w:val="23"/>
        </w:rPr>
        <w:t xml:space="preserve">Wind resistance — Florida's hurricane exposure drives stringent wind load design requirements that vary by county and wind zone</w:t>
      </w:r>
    </w:p>
    <w:p>
      <w:pPr>
        <w:pStyle w:val="ListParagraph"/>
        <w:numPr>
          <w:ilvl w:val="0"/>
          <w:numId w:val="2"/>
        </w:numPr>
        <w:spacing w:after="60" w:before="60"/>
      </w:pPr>
      <w:r>
        <w:rPr>
          <w:rFonts w:ascii="Georgia" w:cs="Georgia" w:eastAsia="Georgia" w:hAnsi="Georgia"/>
          <w:color w:val="1A1A1A"/>
          <w:sz w:val="23"/>
          <w:szCs w:val="23"/>
        </w:rPr>
        <w:t xml:space="preserve">Energy efficiency — Florida Energy Code requirements for commercial buildings are among the most demanding in the nation</w:t>
      </w:r>
    </w:p>
    <w:p>
      <w:pPr>
        <w:pStyle w:val="ListParagraph"/>
        <w:numPr>
          <w:ilvl w:val="0"/>
          <w:numId w:val="2"/>
        </w:numPr>
        <w:spacing w:after="60" w:before="60"/>
      </w:pPr>
      <w:r>
        <w:rPr>
          <w:rFonts w:ascii="Georgia" w:cs="Georgia" w:eastAsia="Georgia" w:hAnsi="Georgia"/>
          <w:color w:val="1A1A1A"/>
          <w:sz w:val="23"/>
          <w:szCs w:val="23"/>
        </w:rPr>
        <w:t xml:space="preserve">Flood zone construction — much of Florida's coastline and low-lying inland areas require elevated construction and flood-resistant design</w:t>
      </w:r>
    </w:p>
    <w:p>
      <w:pPr>
        <w:pStyle w:val="ListParagraph"/>
        <w:numPr>
          <w:ilvl w:val="0"/>
          <w:numId w:val="2"/>
        </w:numPr>
        <w:spacing w:after="60" w:before="60"/>
      </w:pPr>
      <w:r>
        <w:rPr>
          <w:rFonts w:ascii="Georgia" w:cs="Georgia" w:eastAsia="Georgia" w:hAnsi="Georgia"/>
          <w:color w:val="1A1A1A"/>
          <w:sz w:val="23"/>
          <w:szCs w:val="23"/>
        </w:rPr>
        <w:t xml:space="preserve">High-velocity hurricane zone requirements — Miami-Dade and Broward counties operate under the most stringent wind standards in the continental US</w:t>
      </w:r>
    </w:p>
    <w:p>
      <w:pPr>
        <w:spacing w:after="160" w:before="0"/>
      </w:pPr>
      <w:r>
        <w:rPr>
          <w:rFonts w:ascii="Georgia" w:cs="Georgia" w:eastAsia="Georgia" w:hAnsi="Georgia"/>
          <w:b w:val="false"/>
          <w:bCs w:val="false"/>
          <w:i w:val="false"/>
          <w:iCs w:val="false"/>
          <w:color w:val="1A1A1A"/>
          <w:sz w:val="23"/>
          <w:szCs w:val="23"/>
        </w:rPr>
        <w:t xml:space="preserve">These requirements are not bureaucratic obstacles. They're the reason Florida buildings survive storms that would destroy structures built to lesser codes. A contractor who knows the FBC intimately builds it efficiently. One who doesn't over-engineers to cover uncertainty — and you pay for that uncertainty.</w:t>
      </w:r>
    </w:p>
    <w:p>
      <w:pPr>
        <w:spacing w:after="80" w:before="240"/>
      </w:pPr>
      <w:r>
        <w:rPr>
          <w:rFonts w:ascii="Arial" w:cs="Arial" w:eastAsia="Arial" w:hAnsi="Arial"/>
          <w:b/>
          <w:bCs/>
          <w:color w:val="1B4F9C"/>
          <w:sz w:val="26"/>
          <w:szCs w:val="26"/>
        </w:rPr>
        <w:t xml:space="preserve">Florida's Geology</w:t>
      </w:r>
    </w:p>
    <w:p>
      <w:pPr>
        <w:spacing w:after="160" w:before="0"/>
      </w:pPr>
      <w:r>
        <w:rPr>
          <w:rFonts w:ascii="Georgia" w:cs="Georgia" w:eastAsia="Georgia" w:hAnsi="Georgia"/>
          <w:b w:val="false"/>
          <w:bCs w:val="false"/>
          <w:i w:val="false"/>
          <w:iCs w:val="false"/>
          <w:color w:val="1A1A1A"/>
          <w:sz w:val="23"/>
          <w:szCs w:val="23"/>
        </w:rPr>
        <w:t xml:space="preserve">Florida's subsurface geology is among the most variable in the nation.</w:t>
      </w:r>
    </w:p>
    <w:p>
      <w:pPr>
        <w:spacing w:after="160" w:before="0"/>
      </w:pPr>
      <w:r>
        <w:rPr>
          <w:rFonts w:ascii="Georgia" w:cs="Georgia" w:eastAsia="Georgia" w:hAnsi="Georgia"/>
          <w:b w:val="false"/>
          <w:bCs w:val="false"/>
          <w:i w:val="false"/>
          <w:iCs w:val="false"/>
          <w:color w:val="1A1A1A"/>
          <w:sz w:val="23"/>
          <w:szCs w:val="23"/>
        </w:rPr>
        <w:t xml:space="preserve">The limestone bedrock underlying much of the state creates karst geology — a system prone to dissolution and, in some areas, sinkhole formation. Soil bearing capacity varies dramatically across short distances. The water table across much of the Florida peninsula sits within a few feet of the surface.</w:t>
      </w:r>
    </w:p>
    <w:p>
      <w:pPr>
        <w:spacing w:after="160" w:before="0"/>
      </w:pPr>
      <w:r>
        <w:rPr>
          <w:rFonts w:ascii="Georgia" w:cs="Georgia" w:eastAsia="Georgia" w:hAnsi="Georgia"/>
          <w:b w:val="false"/>
          <w:bCs w:val="false"/>
          <w:i w:val="false"/>
          <w:iCs w:val="false"/>
          <w:color w:val="1A1A1A"/>
          <w:sz w:val="23"/>
          <w:szCs w:val="23"/>
        </w:rPr>
        <w:t xml:space="preserve">A geotechnical investigation is not optional on Florida commercial projects. It's the only way to know what you're building on before you're already building on it.</w:t>
      </w:r>
    </w:p>
    <w:p>
      <w:pPr>
        <w:spacing w:after="80" w:before="240"/>
      </w:pPr>
      <w:r>
        <w:rPr>
          <w:rFonts w:ascii="Arial" w:cs="Arial" w:eastAsia="Arial" w:hAnsi="Arial"/>
          <w:b/>
          <w:bCs/>
          <w:color w:val="1B4F9C"/>
          <w:sz w:val="26"/>
          <w:szCs w:val="26"/>
        </w:rPr>
        <w:t xml:space="preserve">Florida's Permitting Environment</w:t>
      </w:r>
    </w:p>
    <w:p>
      <w:pPr>
        <w:spacing w:after="160" w:before="0"/>
      </w:pPr>
      <w:r>
        <w:rPr>
          <w:rFonts w:ascii="Georgia" w:cs="Georgia" w:eastAsia="Georgia" w:hAnsi="Georgia"/>
          <w:b w:val="false"/>
          <w:bCs w:val="false"/>
          <w:i w:val="false"/>
          <w:iCs w:val="false"/>
          <w:color w:val="1A1A1A"/>
          <w:sz w:val="23"/>
          <w:szCs w:val="23"/>
        </w:rPr>
        <w:t xml:space="preserve">Commercial permitting in Florida is managed at the county and municipal level. Timelines, processes, fee structures, and reviewer expectations vary significantly between jurisdictions.</w:t>
      </w:r>
    </w:p>
    <w:p>
      <w:pPr>
        <w:spacing w:after="160" w:before="0"/>
      </w:pPr>
      <w:r>
        <w:rPr>
          <w:rFonts w:ascii="Georgia" w:cs="Georgia" w:eastAsia="Georgia" w:hAnsi="Georgia"/>
          <w:b w:val="false"/>
          <w:bCs w:val="false"/>
          <w:i w:val="false"/>
          <w:iCs w:val="false"/>
          <w:color w:val="1A1A1A"/>
          <w:sz w:val="23"/>
          <w:szCs w:val="23"/>
        </w:rPr>
        <w:t xml:space="preserve">A contractor who works regularly in Hillsborough County knows things about that permitting office that no out-of-county contractor knows. That knowledge has schedule value.</w:t>
      </w:r>
    </w:p>
    <w:p>
      <w:pPr>
        <w:spacing w:after="80" w:before="240"/>
      </w:pPr>
      <w:r>
        <w:rPr>
          <w:rFonts w:ascii="Arial" w:cs="Arial" w:eastAsia="Arial" w:hAnsi="Arial"/>
          <w:b/>
          <w:bCs/>
          <w:color w:val="1B4F9C"/>
          <w:sz w:val="26"/>
          <w:szCs w:val="26"/>
        </w:rPr>
        <w:t xml:space="preserve">The Market</w:t>
      </w:r>
    </w:p>
    <w:p>
      <w:pPr>
        <w:spacing w:after="160" w:before="0"/>
      </w:pPr>
      <w:r>
        <w:rPr>
          <w:rFonts w:ascii="Georgia" w:cs="Georgia" w:eastAsia="Georgia" w:hAnsi="Georgia"/>
          <w:b w:val="false"/>
          <w:bCs w:val="false"/>
          <w:i w:val="false"/>
          <w:iCs w:val="false"/>
          <w:color w:val="1A1A1A"/>
          <w:sz w:val="23"/>
          <w:szCs w:val="23"/>
        </w:rPr>
        <w:t xml:space="preserve">Florida's construction market is active, competitive, and subject to significant labor and material price volatility. The state's population growth, business relocation, and development activity keep construction demand high.</w:t>
      </w:r>
    </w:p>
    <w:p>
      <w:pPr>
        <w:spacing w:after="160" w:before="0"/>
      </w:pPr>
      <w:r>
        <w:rPr>
          <w:rFonts w:ascii="Georgia" w:cs="Georgia" w:eastAsia="Georgia" w:hAnsi="Georgia"/>
          <w:b w:val="false"/>
          <w:bCs w:val="false"/>
          <w:i w:val="false"/>
          <w:iCs w:val="false"/>
          <w:color w:val="1A1A1A"/>
          <w:sz w:val="23"/>
          <w:szCs w:val="23"/>
        </w:rPr>
        <w:t xml:space="preserve">Good subcontractors are in demand. A GC with established subcontractor relationships gets priority. A GC without them scrambles — and scrambling shows up in your schedule.</w:t>
      </w:r>
    </w:p>
    <w:p>
      <w:pPr>
        <w:pBdr>
          <w:left w:val="single" w:color="E8631A" w:sz="16" w:space="12"/>
        </w:pBdr>
        <w:shd w:fill="FFF3E8" w:val="clear"/>
        <w:spacing w:after="180" w:before="180"/>
      </w:pPr>
      <w:r>
        <w:rPr>
          <w:rFonts w:ascii="Arial" w:cs="Arial" w:eastAsia="Arial" w:hAnsi="Arial"/>
          <w:b/>
          <w:bCs/>
          <w:color w:val="E8631A"/>
          <w:sz w:val="21"/>
          <w:szCs w:val="21"/>
        </w:rPr>
        <w:t xml:space="preserve">Keentel's Florida Depth →  </w:t>
      </w:r>
      <w:r>
        <w:rPr>
          <w:rFonts w:ascii="Georgia" w:cs="Georgia" w:eastAsia="Georgia" w:hAnsi="Georgia"/>
          <w:color w:val="333333"/>
          <w:sz w:val="21"/>
          <w:szCs w:val="21"/>
        </w:rPr>
        <w:t xml:space="preserve">We've delivered commercial projects in Hillsborough, Pinellas, Pasco, Hernando, Manatee, Sarasota, Polk, and Citrus counties — and across the state from Miami to Jacksonville. We know Florida construction from the inside.</w:t>
      </w:r>
    </w:p>
    <w:p>
      <w:pPr>
        <w:pBdr>
          <w:bottom w:val="single" w:color="5A1FBE" w:sz="4" w:space="6"/>
        </w:pBdr>
        <w:spacing w:after="120" w:before="360"/>
      </w:pPr>
      <w:r>
        <w:rPr>
          <w:rFonts w:ascii="Arial" w:cs="Arial" w:eastAsia="Arial" w:hAnsi="Arial"/>
          <w:b/>
          <w:bCs/>
          <w:color w:val="0A2463"/>
          <w:sz w:val="32"/>
          <w:szCs w:val="32"/>
        </w:rPr>
        <w:t xml:space="preserve">2. What Counts as Commercial Construction</w:t>
      </w:r>
    </w:p>
    <w:p>
      <w:pPr>
        <w:spacing w:after="160" w:before="0"/>
      </w:pPr>
      <w:r>
        <w:rPr>
          <w:rFonts w:ascii="Georgia" w:cs="Georgia" w:eastAsia="Georgia" w:hAnsi="Georgia"/>
          <w:b w:val="false"/>
          <w:bCs w:val="false"/>
          <w:i w:val="false"/>
          <w:iCs w:val="false"/>
          <w:color w:val="1A1A1A"/>
          <w:sz w:val="23"/>
          <w:szCs w:val="23"/>
        </w:rPr>
        <w:t xml:space="preserve">Commercial construction covers any project built for business, institutional, or investment use. In Florida, the term encompasses:</w:t>
      </w:r>
    </w:p>
    <w:p>
      <w:pPr>
        <w:pStyle w:val="ListParagraph"/>
        <w:numPr>
          <w:ilvl w:val="0"/>
          <w:numId w:val="2"/>
        </w:numPr>
        <w:spacing w:after="60" w:before="60"/>
      </w:pPr>
      <w:r>
        <w:rPr>
          <w:rFonts w:ascii="Georgia" w:cs="Georgia" w:eastAsia="Georgia" w:hAnsi="Georgia"/>
          <w:color w:val="1A1A1A"/>
          <w:sz w:val="23"/>
          <w:szCs w:val="23"/>
        </w:rPr>
        <w:t xml:space="preserve">Office buildings and corporate campuses</w:t>
      </w:r>
    </w:p>
    <w:p>
      <w:pPr>
        <w:pStyle w:val="ListParagraph"/>
        <w:numPr>
          <w:ilvl w:val="0"/>
          <w:numId w:val="2"/>
        </w:numPr>
        <w:spacing w:after="60" w:before="60"/>
      </w:pPr>
      <w:r>
        <w:rPr>
          <w:rFonts w:ascii="Georgia" w:cs="Georgia" w:eastAsia="Georgia" w:hAnsi="Georgia"/>
          <w:color w:val="1A1A1A"/>
          <w:sz w:val="23"/>
          <w:szCs w:val="23"/>
        </w:rPr>
        <w:t xml:space="preserve">Retail stores, shopping centers, and mixed-use developments</w:t>
      </w:r>
    </w:p>
    <w:p>
      <w:pPr>
        <w:pStyle w:val="ListParagraph"/>
        <w:numPr>
          <w:ilvl w:val="0"/>
          <w:numId w:val="2"/>
        </w:numPr>
        <w:spacing w:after="60" w:before="60"/>
      </w:pPr>
      <w:r>
        <w:rPr>
          <w:rFonts w:ascii="Georgia" w:cs="Georgia" w:eastAsia="Georgia" w:hAnsi="Georgia"/>
          <w:color w:val="1A1A1A"/>
          <w:sz w:val="23"/>
          <w:szCs w:val="23"/>
        </w:rPr>
        <w:t xml:space="preserve">Restaurants, bars, and food service facilities</w:t>
      </w:r>
    </w:p>
    <w:p>
      <w:pPr>
        <w:pStyle w:val="ListParagraph"/>
        <w:numPr>
          <w:ilvl w:val="0"/>
          <w:numId w:val="2"/>
        </w:numPr>
        <w:spacing w:after="60" w:before="60"/>
      </w:pPr>
      <w:r>
        <w:rPr>
          <w:rFonts w:ascii="Georgia" w:cs="Georgia" w:eastAsia="Georgia" w:hAnsi="Georgia"/>
          <w:color w:val="1A1A1A"/>
          <w:sz w:val="23"/>
          <w:szCs w:val="23"/>
        </w:rPr>
        <w:t xml:space="preserve">Hotels, resorts, and hospitality properties</w:t>
      </w:r>
    </w:p>
    <w:p>
      <w:pPr>
        <w:pStyle w:val="ListParagraph"/>
        <w:numPr>
          <w:ilvl w:val="0"/>
          <w:numId w:val="2"/>
        </w:numPr>
        <w:spacing w:after="60" w:before="60"/>
      </w:pPr>
      <w:r>
        <w:rPr>
          <w:rFonts w:ascii="Georgia" w:cs="Georgia" w:eastAsia="Georgia" w:hAnsi="Georgia"/>
          <w:color w:val="1A1A1A"/>
          <w:sz w:val="23"/>
          <w:szCs w:val="23"/>
        </w:rPr>
        <w:t xml:space="preserve">Healthcare facilities, medical offices, and assisted living</w:t>
      </w:r>
    </w:p>
    <w:p>
      <w:pPr>
        <w:pStyle w:val="ListParagraph"/>
        <w:numPr>
          <w:ilvl w:val="0"/>
          <w:numId w:val="2"/>
        </w:numPr>
        <w:spacing w:after="60" w:before="60"/>
      </w:pPr>
      <w:r>
        <w:rPr>
          <w:rFonts w:ascii="Georgia" w:cs="Georgia" w:eastAsia="Georgia" w:hAnsi="Georgia"/>
          <w:color w:val="1A1A1A"/>
          <w:sz w:val="23"/>
          <w:szCs w:val="23"/>
        </w:rPr>
        <w:t xml:space="preserve">Industrial plants, warehouses, and distribution centers</w:t>
      </w:r>
    </w:p>
    <w:p>
      <w:pPr>
        <w:pStyle w:val="ListParagraph"/>
        <w:numPr>
          <w:ilvl w:val="0"/>
          <w:numId w:val="2"/>
        </w:numPr>
        <w:spacing w:after="60" w:before="60"/>
      </w:pPr>
      <w:r>
        <w:rPr>
          <w:rFonts w:ascii="Georgia" w:cs="Georgia" w:eastAsia="Georgia" w:hAnsi="Georgia"/>
          <w:color w:val="1A1A1A"/>
          <w:sz w:val="23"/>
          <w:szCs w:val="23"/>
        </w:rPr>
        <w:t xml:space="preserve">Educational facilities — private schools, training centers, universities</w:t>
      </w:r>
    </w:p>
    <w:p>
      <w:pPr>
        <w:pStyle w:val="ListParagraph"/>
        <w:numPr>
          <w:ilvl w:val="0"/>
          <w:numId w:val="2"/>
        </w:numPr>
        <w:spacing w:after="60" w:before="60"/>
      </w:pPr>
      <w:r>
        <w:rPr>
          <w:rFonts w:ascii="Georgia" w:cs="Georgia" w:eastAsia="Georgia" w:hAnsi="Georgia"/>
          <w:color w:val="1A1A1A"/>
          <w:sz w:val="23"/>
          <w:szCs w:val="23"/>
        </w:rPr>
        <w:t xml:space="preserve">Government and institutional buildings</w:t>
      </w:r>
    </w:p>
    <w:p>
      <w:pPr>
        <w:pStyle w:val="ListParagraph"/>
        <w:numPr>
          <w:ilvl w:val="0"/>
          <w:numId w:val="2"/>
        </w:numPr>
        <w:spacing w:after="60" w:before="60"/>
      </w:pPr>
      <w:r>
        <w:rPr>
          <w:rFonts w:ascii="Georgia" w:cs="Georgia" w:eastAsia="Georgia" w:hAnsi="Georgia"/>
          <w:color w:val="1A1A1A"/>
          <w:sz w:val="23"/>
          <w:szCs w:val="23"/>
        </w:rPr>
        <w:t xml:space="preserve">Multi-family residential — apartments, condos, senior living</w:t>
      </w:r>
    </w:p>
    <w:p>
      <w:pPr>
        <w:pStyle w:val="ListParagraph"/>
        <w:numPr>
          <w:ilvl w:val="0"/>
          <w:numId w:val="2"/>
        </w:numPr>
        <w:spacing w:after="60" w:before="60"/>
      </w:pPr>
      <w:r>
        <w:rPr>
          <w:rFonts w:ascii="Georgia" w:cs="Georgia" w:eastAsia="Georgia" w:hAnsi="Georgia"/>
          <w:color w:val="1A1A1A"/>
          <w:sz w:val="23"/>
          <w:szCs w:val="23"/>
        </w:rPr>
        <w:t xml:space="preserve">Religious facilities and non-profit buildings</w:t>
      </w:r>
    </w:p>
    <w:p>
      <w:pPr>
        <w:spacing w:after="160" w:before="0"/>
      </w:pPr>
      <w:r>
        <w:rPr>
          <w:rFonts w:ascii="Georgia" w:cs="Georgia" w:eastAsia="Georgia" w:hAnsi="Georgia"/>
          <w:b w:val="false"/>
          <w:bCs w:val="false"/>
          <w:i w:val="false"/>
          <w:iCs w:val="false"/>
          <w:color w:val="1A1A1A"/>
          <w:sz w:val="23"/>
          <w:szCs w:val="23"/>
        </w:rPr>
        <w:t xml:space="preserve">Each category has its own zoning requirements, building code applications, MEP specifications, and permitting pathways. A contractor who is expert in warehouse construction may lack the specific knowledge required for a healthcare build-out. Match experience to project type.</w:t>
      </w:r>
    </w:p>
    <w:p>
      <w:pPr>
        <w:pBdr>
          <w:bottom w:val="single" w:color="5A1FBE" w:sz="4" w:space="6"/>
        </w:pBdr>
        <w:spacing w:after="120" w:before="360"/>
      </w:pPr>
      <w:r>
        <w:rPr>
          <w:rFonts w:ascii="Arial" w:cs="Arial" w:eastAsia="Arial" w:hAnsi="Arial"/>
          <w:b/>
          <w:bCs/>
          <w:color w:val="0A2463"/>
          <w:sz w:val="32"/>
          <w:szCs w:val="32"/>
        </w:rPr>
        <w:t xml:space="preserve">3. The Complete Commercial Construction Process</w:t>
      </w:r>
    </w:p>
    <w:p>
      <w:pPr>
        <w:spacing w:after="160" w:before="0"/>
      </w:pPr>
      <w:r>
        <w:rPr>
          <w:rFonts w:ascii="Georgia" w:cs="Georgia" w:eastAsia="Georgia" w:hAnsi="Georgia"/>
          <w:b w:val="false"/>
          <w:bCs w:val="false"/>
          <w:i w:val="false"/>
          <w:iCs w:val="false"/>
          <w:color w:val="1A1A1A"/>
          <w:sz w:val="23"/>
          <w:szCs w:val="23"/>
        </w:rPr>
        <w:t xml:space="preserve">Eight phases. Every commercial project moves through them in roughly this sequence — with some overlap depending on delivery method and project type.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360"/>
        <w:gridCol w:w="2600"/>
      </w:tblGrid>
      <w:tr>
        <w:tc>
          <w:tcPr>
            <w:tcW w:type="dxa" w:w="140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00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436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260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Owner's Role</w:t>
            </w:r>
          </w:p>
        </w:tc>
      </w:tr>
      <w:tr>
        <w:tc>
          <w:tcPr>
            <w:tcW w:type="dxa" w:w="14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Arial" w:cs="Arial" w:eastAsia="Arial" w:hAnsi="Arial"/>
                <w:b/>
                <w:bCs/>
                <w:color w:val="5A1FBE"/>
                <w:sz w:val="19"/>
                <w:szCs w:val="19"/>
              </w:rPr>
              <w:t xml:space="preserve">1. Pre-Construction</w:t>
            </w:r>
          </w:p>
        </w:tc>
        <w:tc>
          <w:tcPr>
            <w:tcW w:type="dxa" w:w="10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4–16 wks</w:t>
            </w:r>
          </w:p>
        </w:tc>
        <w:tc>
          <w:tcPr>
            <w:tcW w:type="dxa" w:w="436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Planning, budgeting, design coordination, permitting strategy, procurement</w:t>
            </w:r>
          </w:p>
        </w:tc>
        <w:tc>
          <w:tcPr>
            <w:tcW w:type="dxa" w:w="26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Approve scope, budget, schedule. Make selections.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5A1FBE"/>
                <w:sz w:val="19"/>
                <w:szCs w:val="19"/>
              </w:rPr>
              <w:t xml:space="preserve">2. Site Preparation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1–4 wks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Clearing, grading, erosion control, underground utilities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Confirm site access. Notify adjacent tenants if applicable.</w:t>
            </w:r>
          </w:p>
        </w:tc>
      </w:tr>
      <w:tr>
        <w:tc>
          <w:tcPr>
            <w:tcW w:type="dxa" w:w="14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Arial" w:cs="Arial" w:eastAsia="Arial" w:hAnsi="Arial"/>
                <w:b/>
                <w:bCs/>
                <w:color w:val="5A1FBE"/>
                <w:sz w:val="19"/>
                <w:szCs w:val="19"/>
              </w:rPr>
              <w:t xml:space="preserve">3. Foundation</w:t>
            </w:r>
          </w:p>
        </w:tc>
        <w:tc>
          <w:tcPr>
            <w:tcW w:type="dxa" w:w="10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2–6 wks</w:t>
            </w:r>
          </w:p>
        </w:tc>
        <w:tc>
          <w:tcPr>
            <w:tcW w:type="dxa" w:w="436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Excavation, footings, grade beams, slab pour, curing, inspection</w:t>
            </w:r>
          </w:p>
        </w:tc>
        <w:tc>
          <w:tcPr>
            <w:tcW w:type="dxa" w:w="26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Patience. Curing is not optional. Inspection holds are legal.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5A1FBE"/>
                <w:sz w:val="19"/>
                <w:szCs w:val="19"/>
              </w:rPr>
              <w:t xml:space="preserve">4. Structural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3–10 wks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Steel erection or framing. Building takes shape.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Site visit opportunity. First time to understand spaces.</w:t>
            </w:r>
          </w:p>
        </w:tc>
      </w:tr>
      <w:tr>
        <w:tc>
          <w:tcPr>
            <w:tcW w:type="dxa" w:w="14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Arial" w:cs="Arial" w:eastAsia="Arial" w:hAnsi="Arial"/>
                <w:b/>
                <w:bCs/>
                <w:color w:val="5A1FBE"/>
                <w:sz w:val="19"/>
                <w:szCs w:val="19"/>
              </w:rPr>
              <w:t xml:space="preserve">5. MEP Rough-In</w:t>
            </w:r>
          </w:p>
        </w:tc>
        <w:tc>
          <w:tcPr>
            <w:tcW w:type="dxa" w:w="10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4–10 wks</w:t>
            </w:r>
          </w:p>
        </w:tc>
        <w:tc>
          <w:tcPr>
            <w:tcW w:type="dxa" w:w="436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Mechanical, electrical, plumbing inside walls before closing</w:t>
            </w:r>
          </w:p>
        </w:tc>
        <w:tc>
          <w:tcPr>
            <w:tcW w:type="dxa" w:w="26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Zero on-site direction to subs. All feedback through GC.</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5A1FBE"/>
                <w:sz w:val="19"/>
                <w:szCs w:val="19"/>
              </w:rPr>
              <w:t xml:space="preserve">6. Drywall &amp; Insulation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3–8 wks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Insulation, drywall, taping, mudding, sanding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Dust management on occupied sites. Review dust barriers.</w:t>
            </w:r>
          </w:p>
        </w:tc>
      </w:tr>
      <w:tr>
        <w:tc>
          <w:tcPr>
            <w:tcW w:type="dxa" w:w="14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Arial" w:cs="Arial" w:eastAsia="Arial" w:hAnsi="Arial"/>
                <w:b/>
                <w:bCs/>
                <w:color w:val="5A1FBE"/>
                <w:sz w:val="19"/>
                <w:szCs w:val="19"/>
              </w:rPr>
              <w:t xml:space="preserve">7. Finishes</w:t>
            </w:r>
          </w:p>
        </w:tc>
        <w:tc>
          <w:tcPr>
            <w:tcW w:type="dxa" w:w="10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4–12 wks</w:t>
            </w:r>
          </w:p>
        </w:tc>
        <w:tc>
          <w:tcPr>
            <w:tcW w:type="dxa" w:w="436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Flooring, paint, ceilings, millwork, fixtures, MEP trim-out</w:t>
            </w:r>
          </w:p>
        </w:tc>
        <w:tc>
          <w:tcPr>
            <w:tcW w:type="dxa" w:w="26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Prompt approvals on any substitutions or field conditions.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5A1FBE"/>
                <w:sz w:val="19"/>
                <w:szCs w:val="19"/>
              </w:rPr>
              <w:t xml:space="preserve">8. Closeout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2–6 wks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Final inspections, punch list, Certificate of Occupancy, handover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Walkthrough, punch list sign-off, documentation review.</w:t>
            </w:r>
          </w:p>
        </w:tc>
      </w:tr>
    </w:tbl>
    <w:p>
      <w:pPr>
        <w:spacing w:after="80" w:before="80"/>
      </w:pPr>
    </w:p>
    <w:p>
      <w:pPr>
        <w:pBdr>
          <w:left w:val="single" w:color="5A1FBE" w:sz="16" w:space="12"/>
        </w:pBdr>
        <w:shd w:fill="F0EDFB" w:val="clear"/>
        <w:spacing w:after="180" w:before="180"/>
      </w:pPr>
      <w:r>
        <w:rPr>
          <w:rFonts w:ascii="Arial" w:cs="Arial" w:eastAsia="Arial" w:hAnsi="Arial"/>
          <w:b/>
          <w:bCs/>
          <w:color w:val="5A1FBE"/>
          <w:sz w:val="21"/>
          <w:szCs w:val="21"/>
        </w:rPr>
        <w:t xml:space="preserve">Deep Dive →  </w:t>
      </w:r>
      <w:r>
        <w:rPr>
          <w:rFonts w:ascii="Georgia" w:cs="Georgia" w:eastAsia="Georgia" w:hAnsi="Georgia"/>
          <w:color w:val="333333"/>
          <w:sz w:val="21"/>
          <w:szCs w:val="21"/>
        </w:rPr>
        <w:t xml:space="preserve">For a detailed walkthrough of each phase from the owner's perspective, including what to expect at each stage and how to be a great construction client, read: 'What to Expect During a Commercial Construction Project' at keentelgeneralcontractors.com/blog/what-to-expect-during-a-commercial-construction-project</w:t>
      </w:r>
    </w:p>
    <w:p>
      <w:pPr>
        <w:spacing w:after="80" w:before="240"/>
      </w:pPr>
      <w:r>
        <w:rPr>
          <w:rFonts w:ascii="Arial" w:cs="Arial" w:eastAsia="Arial" w:hAnsi="Arial"/>
          <w:b/>
          <w:bCs/>
          <w:color w:val="1B4F9C"/>
          <w:sz w:val="26"/>
          <w:szCs w:val="26"/>
        </w:rPr>
        <w:t xml:space="preserve">The Phase Most Projects Undervalue: Pre-Construction</w:t>
      </w:r>
    </w:p>
    <w:p>
      <w:pPr>
        <w:spacing w:after="160" w:before="0"/>
      </w:pPr>
      <w:r>
        <w:rPr>
          <w:rFonts w:ascii="Georgia" w:cs="Georgia" w:eastAsia="Georgia" w:hAnsi="Georgia"/>
          <w:b w:val="false"/>
          <w:bCs w:val="false"/>
          <w:i w:val="false"/>
          <w:iCs w:val="false"/>
          <w:color w:val="1A1A1A"/>
          <w:sz w:val="23"/>
          <w:szCs w:val="23"/>
        </w:rPr>
        <w:t xml:space="preserve">Pre-construction is where commercial projects succeed or fail.</w:t>
      </w:r>
    </w:p>
    <w:p>
      <w:pPr>
        <w:spacing w:after="160" w:before="0"/>
      </w:pPr>
      <w:r>
        <w:rPr>
          <w:rFonts w:ascii="Georgia" w:cs="Georgia" w:eastAsia="Georgia" w:hAnsi="Georgia"/>
          <w:b w:val="false"/>
          <w:bCs w:val="false"/>
          <w:i w:val="false"/>
          <w:iCs w:val="false"/>
          <w:color w:val="1A1A1A"/>
          <w:sz w:val="23"/>
          <w:szCs w:val="23"/>
        </w:rPr>
        <w:t xml:space="preserve">Not during the build. Before it.</w:t>
      </w:r>
    </w:p>
    <w:p>
      <w:pPr>
        <w:spacing w:after="160" w:before="0"/>
      </w:pPr>
      <w:r>
        <w:rPr>
          <w:rFonts w:ascii="Georgia" w:cs="Georgia" w:eastAsia="Georgia" w:hAnsi="Georgia"/>
          <w:b w:val="false"/>
          <w:bCs w:val="false"/>
          <w:i w:val="false"/>
          <w:iCs w:val="false"/>
          <w:color w:val="1A1A1A"/>
          <w:sz w:val="23"/>
          <w:szCs w:val="23"/>
        </w:rPr>
        <w:t xml:space="preserve">The owners who experience cost overruns, schedule delays, and design conflicts almost universally share one characteristic: they treated pre-construction as a formality rather than the strategic work it actually is.</w:t>
      </w:r>
    </w:p>
    <w:p>
      <w:pPr>
        <w:spacing w:after="160" w:before="0"/>
      </w:pPr>
      <w:r>
        <w:rPr>
          <w:rFonts w:ascii="Georgia" w:cs="Georgia" w:eastAsia="Georgia" w:hAnsi="Georgia"/>
          <w:b w:val="false"/>
          <w:bCs w:val="false"/>
          <w:i w:val="false"/>
          <w:iCs w:val="false"/>
          <w:color w:val="1A1A1A"/>
          <w:sz w:val="23"/>
          <w:szCs w:val="23"/>
        </w:rPr>
        <w:t xml:space="preserve">Pre-construction produces: a grounded budget, a constructability-reviewed design, a critical path schedule, a procurement plan, and a risk register. It converts unknowns into knowns before the construction clock starts running.</w:t>
      </w:r>
    </w:p>
    <w:p>
      <w:pPr>
        <w:pBdr>
          <w:left w:val="single" w:color="5A1FBE" w:sz="16" w:space="12"/>
        </w:pBdr>
        <w:shd w:fill="F0EDFB" w:val="clear"/>
        <w:spacing w:after="180" w:before="180"/>
      </w:pPr>
      <w:r>
        <w:rPr>
          <w:rFonts w:ascii="Arial" w:cs="Arial" w:eastAsia="Arial" w:hAnsi="Arial"/>
          <w:b/>
          <w:bCs/>
          <w:color w:val="5A1FBE"/>
          <w:sz w:val="21"/>
          <w:szCs w:val="21"/>
        </w:rPr>
        <w:t xml:space="preserve">The Pre-Construction Article →  </w:t>
      </w:r>
      <w:r>
        <w:rPr>
          <w:rFonts w:ascii="Georgia" w:cs="Georgia" w:eastAsia="Georgia" w:hAnsi="Georgia"/>
          <w:color w:val="333333"/>
          <w:sz w:val="21"/>
          <w:szCs w:val="21"/>
        </w:rPr>
        <w:t xml:space="preserve">Read our full guide: 'Pre-Construction Planning: Why It Matters More Than the Build' at keentelgeneralcontractors.com/blog/pre-construction-planning</w:t>
      </w:r>
    </w:p>
    <w:p>
      <w:pPr>
        <w:pBdr>
          <w:bottom w:val="single" w:color="5A1FBE" w:sz="4" w:space="6"/>
        </w:pBdr>
        <w:spacing w:after="120" w:before="360"/>
      </w:pPr>
      <w:r>
        <w:rPr>
          <w:rFonts w:ascii="Arial" w:cs="Arial" w:eastAsia="Arial" w:hAnsi="Arial"/>
          <w:b/>
          <w:bCs/>
          <w:color w:val="0A2463"/>
          <w:sz w:val="32"/>
          <w:szCs w:val="32"/>
        </w:rPr>
        <w:t xml:space="preserve">4. Commercial Construction Costs in Florida</w:t>
      </w:r>
    </w:p>
    <w:p>
      <w:pPr>
        <w:spacing w:after="160" w:before="0"/>
      </w:pPr>
      <w:r>
        <w:rPr>
          <w:rFonts w:ascii="Georgia" w:cs="Georgia" w:eastAsia="Georgia" w:hAnsi="Georgia"/>
          <w:b w:val="false"/>
          <w:bCs w:val="false"/>
          <w:i w:val="false"/>
          <w:iCs w:val="false"/>
          <w:color w:val="1A1A1A"/>
          <w:sz w:val="23"/>
          <w:szCs w:val="23"/>
        </w:rPr>
        <w:t xml:space="preserve">Here are current Florida commercial construction cost ranges by project type. These are construction hard costs only — add 20–35% for soft costs including architecture, engineering, permits, FF&amp;E, and financing.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Project Type</w:t>
            </w:r>
          </w:p>
        </w:tc>
        <w:tc>
          <w:tcPr>
            <w:tcW w:type="dxa" w:w="160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Cost Per Sq Ft</w:t>
            </w:r>
          </w:p>
        </w:tc>
        <w:tc>
          <w:tcPr>
            <w:tcW w:type="dxa" w:w="220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Typical Total Range</w:t>
            </w:r>
          </w:p>
        </w:tc>
        <w:tc>
          <w:tcPr>
            <w:tcW w:type="dxa" w:w="336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Key Variable</w:t>
            </w:r>
          </w:p>
        </w:tc>
      </w:tr>
      <w:tr>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Warehouse / Industrial Shell</w:t>
            </w:r>
          </w:p>
        </w:tc>
        <w:tc>
          <w:tcPr>
            <w:tcW w:type="dxa" w:w="16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bCs/>
                <w:color w:val="5A1FBE"/>
                <w:sz w:val="20"/>
                <w:szCs w:val="20"/>
              </w:rPr>
              <w:t xml:space="preserve">$60–$120</w:t>
            </w:r>
          </w:p>
        </w:tc>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$600K–$3M+</w:t>
            </w:r>
          </w:p>
        </w:tc>
        <w:tc>
          <w:tcPr>
            <w:tcW w:type="dxa" w:w="336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Dock doors, slab spec, power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Basic Office TI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5A1FBE"/>
                <w:sz w:val="20"/>
                <w:szCs w:val="20"/>
              </w:rPr>
              <w:t xml:space="preserve">$60–$120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$300K–$1.5M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MEP complexity, ceiling height</w:t>
            </w:r>
          </w:p>
        </w:tc>
      </w:tr>
      <w:tr>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Mid-Range Office Renovation</w:t>
            </w:r>
          </w:p>
        </w:tc>
        <w:tc>
          <w:tcPr>
            <w:tcW w:type="dxa" w:w="16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bCs/>
                <w:color w:val="5A1FBE"/>
                <w:sz w:val="20"/>
                <w:szCs w:val="20"/>
              </w:rPr>
              <w:t xml:space="preserve">$100–$180</w:t>
            </w:r>
          </w:p>
        </w:tc>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$500K–$3M+</w:t>
            </w:r>
          </w:p>
        </w:tc>
        <w:tc>
          <w:tcPr>
            <w:tcW w:type="dxa" w:w="336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Layout changes, MEP upgrades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High-End Office Build-Out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5A1FBE"/>
                <w:sz w:val="20"/>
                <w:szCs w:val="20"/>
              </w:rPr>
              <w:t xml:space="preserve">$180–$300+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$1M–$6M+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Custom finishes, AV, millwork</w:t>
            </w:r>
          </w:p>
        </w:tc>
      </w:tr>
      <w:tr>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Retail TI</w:t>
            </w:r>
          </w:p>
        </w:tc>
        <w:tc>
          <w:tcPr>
            <w:tcW w:type="dxa" w:w="16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bCs/>
                <w:color w:val="5A1FBE"/>
                <w:sz w:val="20"/>
                <w:szCs w:val="20"/>
              </w:rPr>
              <w:t xml:space="preserve">$80–$160</w:t>
            </w:r>
          </w:p>
        </w:tc>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$400K–$2M</w:t>
            </w:r>
          </w:p>
        </w:tc>
        <w:tc>
          <w:tcPr>
            <w:tcW w:type="dxa" w:w="336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Storefront, lighting, flooring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Restaurant — Renovation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5A1FBE"/>
                <w:sz w:val="20"/>
                <w:szCs w:val="20"/>
              </w:rPr>
              <w:t xml:space="preserve">$200–$400+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$500K–$4M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Kitchen, ventilation, plumbing</w:t>
            </w:r>
          </w:p>
        </w:tc>
      </w:tr>
      <w:tr>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Restaurant — New Construction</w:t>
            </w:r>
          </w:p>
        </w:tc>
        <w:tc>
          <w:tcPr>
            <w:tcW w:type="dxa" w:w="16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bCs/>
                <w:color w:val="5A1FBE"/>
                <w:sz w:val="20"/>
                <w:szCs w:val="20"/>
              </w:rPr>
              <w:t xml:space="preserve">$300–$500+</w:t>
            </w:r>
          </w:p>
        </w:tc>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$1.5M–$8M+</w:t>
            </w:r>
          </w:p>
        </w:tc>
        <w:tc>
          <w:tcPr>
            <w:tcW w:type="dxa" w:w="336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Full kitchen build, grease, HVAC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Medical Office TI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5A1FBE"/>
                <w:sz w:val="20"/>
                <w:szCs w:val="20"/>
              </w:rPr>
              <w:t xml:space="preserve">$150–$320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$750K–$5M+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MEP compliance, ADA, exam rooms</w:t>
            </w:r>
          </w:p>
        </w:tc>
      </w:tr>
      <w:tr>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Industrial / Manufacturing</w:t>
            </w:r>
          </w:p>
        </w:tc>
        <w:tc>
          <w:tcPr>
            <w:tcW w:type="dxa" w:w="16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bCs/>
                <w:color w:val="5A1FBE"/>
                <w:sz w:val="20"/>
                <w:szCs w:val="20"/>
              </w:rPr>
              <w:t xml:space="preserve">$80–$180</w:t>
            </w:r>
          </w:p>
        </w:tc>
        <w:tc>
          <w:tcPr>
            <w:tcW w:type="dxa" w:w="22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$800K–$10M+</w:t>
            </w:r>
          </w:p>
        </w:tc>
        <w:tc>
          <w:tcPr>
            <w:tcW w:type="dxa" w:w="336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Power, cranes, process equipment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Ground-Up Commercial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5A1FBE"/>
                <w:sz w:val="20"/>
                <w:szCs w:val="20"/>
              </w:rPr>
              <w:t xml:space="preserve">$180–$380+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$2M–$20M+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All systems, full envelope</w:t>
            </w:r>
          </w:p>
        </w:tc>
      </w:tr>
    </w:tbl>
    <w:p>
      <w:pPr>
        <w:spacing w:after="80" w:before="80"/>
      </w:pPr>
    </w:p>
    <w:p>
      <w:pPr>
        <w:spacing w:after="80" w:before="240"/>
      </w:pPr>
      <w:r>
        <w:rPr>
          <w:rFonts w:ascii="Arial" w:cs="Arial" w:eastAsia="Arial" w:hAnsi="Arial"/>
          <w:b/>
          <w:bCs/>
          <w:color w:val="1B4F9C"/>
          <w:sz w:val="26"/>
          <w:szCs w:val="26"/>
        </w:rPr>
        <w:t xml:space="preserve">What Drives Costs Higher Than Estimates</w:t>
      </w:r>
    </w:p>
    <w:p>
      <w:pPr>
        <w:pStyle w:val="ListParagraph"/>
        <w:numPr>
          <w:ilvl w:val="0"/>
          <w:numId w:val="2"/>
        </w:numPr>
        <w:spacing w:after="60" w:before="60"/>
      </w:pPr>
      <w:r>
        <w:rPr>
          <w:rFonts w:ascii="Georgia" w:cs="Georgia" w:eastAsia="Georgia" w:hAnsi="Georgia"/>
          <w:color w:val="1A1A1A"/>
          <w:sz w:val="23"/>
          <w:szCs w:val="23"/>
        </w:rPr>
        <w:t xml:space="preserve">Site conditions not identified in pre-construction — high water table, poor soil, underground utilities</w:t>
      </w:r>
    </w:p>
    <w:p>
      <w:pPr>
        <w:pStyle w:val="ListParagraph"/>
        <w:numPr>
          <w:ilvl w:val="0"/>
          <w:numId w:val="2"/>
        </w:numPr>
        <w:spacing w:after="60" w:before="60"/>
      </w:pPr>
      <w:r>
        <w:rPr>
          <w:rFonts w:ascii="Georgia" w:cs="Georgia" w:eastAsia="Georgia" w:hAnsi="Georgia"/>
          <w:color w:val="1A1A1A"/>
          <w:sz w:val="23"/>
          <w:szCs w:val="23"/>
        </w:rPr>
        <w:t xml:space="preserve">MEP complexity underestimated in early budgets — often 25–35% of total cost</w:t>
      </w:r>
    </w:p>
    <w:p>
      <w:pPr>
        <w:pStyle w:val="ListParagraph"/>
        <w:numPr>
          <w:ilvl w:val="0"/>
          <w:numId w:val="2"/>
        </w:numPr>
        <w:spacing w:after="60" w:before="60"/>
      </w:pPr>
      <w:r>
        <w:rPr>
          <w:rFonts w:ascii="Georgia" w:cs="Georgia" w:eastAsia="Georgia" w:hAnsi="Georgia"/>
          <w:color w:val="1A1A1A"/>
          <w:sz w:val="23"/>
          <w:szCs w:val="23"/>
        </w:rPr>
        <w:t xml:space="preserve">Florida Building Code compliance for hurricane wind zones — adds 3–8% in high-wind areas</w:t>
      </w:r>
    </w:p>
    <w:p>
      <w:pPr>
        <w:pStyle w:val="ListParagraph"/>
        <w:numPr>
          <w:ilvl w:val="0"/>
          <w:numId w:val="2"/>
        </w:numPr>
        <w:spacing w:after="60" w:before="60"/>
      </w:pPr>
      <w:r>
        <w:rPr>
          <w:rFonts w:ascii="Georgia" w:cs="Georgia" w:eastAsia="Georgia" w:hAnsi="Georgia"/>
          <w:color w:val="1A1A1A"/>
          <w:sz w:val="23"/>
          <w:szCs w:val="23"/>
        </w:rPr>
        <w:t xml:space="preserve">Compressed schedule — overtime labor and premium procurement add cost</w:t>
      </w:r>
    </w:p>
    <w:p>
      <w:pPr>
        <w:pStyle w:val="ListParagraph"/>
        <w:numPr>
          <w:ilvl w:val="0"/>
          <w:numId w:val="2"/>
        </w:numPr>
        <w:spacing w:after="60" w:before="60"/>
      </w:pPr>
      <w:r>
        <w:rPr>
          <w:rFonts w:ascii="Georgia" w:cs="Georgia" w:eastAsia="Georgia" w:hAnsi="Georgia"/>
          <w:color w:val="1A1A1A"/>
          <w:sz w:val="23"/>
          <w:szCs w:val="23"/>
        </w:rPr>
        <w:t xml:space="preserve">Scope creep — changes after design is locked cost 3–10x more than the same change made during pre-construction</w:t>
      </w:r>
    </w:p>
    <w:p>
      <w:pPr>
        <w:spacing w:after="80" w:before="240"/>
      </w:pPr>
      <w:r>
        <w:rPr>
          <w:rFonts w:ascii="Arial" w:cs="Arial" w:eastAsia="Arial" w:hAnsi="Arial"/>
          <w:b/>
          <w:bCs/>
          <w:color w:val="1B4F9C"/>
          <w:sz w:val="26"/>
          <w:szCs w:val="26"/>
        </w:rPr>
        <w:t xml:space="preserve">The Contingency Rule for Florida Projects</w:t>
      </w:r>
    </w:p>
    <w:p>
      <w:pPr>
        <w:pStyle w:val="ListParagraph"/>
        <w:numPr>
          <w:ilvl w:val="0"/>
          <w:numId w:val="2"/>
        </w:numPr>
        <w:spacing w:after="60" w:before="60"/>
      </w:pPr>
      <w:r>
        <w:rPr>
          <w:rFonts w:ascii="Georgia" w:cs="Georgia" w:eastAsia="Georgia" w:hAnsi="Georgia"/>
          <w:color w:val="1A1A1A"/>
          <w:sz w:val="23"/>
          <w:szCs w:val="23"/>
        </w:rPr>
        <w:t xml:space="preserve">Clean site, complete design, experienced contractor: 10–15% contingency</w:t>
      </w:r>
    </w:p>
    <w:p>
      <w:pPr>
        <w:pStyle w:val="ListParagraph"/>
        <w:numPr>
          <w:ilvl w:val="0"/>
          <w:numId w:val="2"/>
        </w:numPr>
        <w:spacing w:after="60" w:before="60"/>
      </w:pPr>
      <w:r>
        <w:rPr>
          <w:rFonts w:ascii="Georgia" w:cs="Georgia" w:eastAsia="Georgia" w:hAnsi="Georgia"/>
          <w:color w:val="1A1A1A"/>
          <w:sz w:val="23"/>
          <w:szCs w:val="23"/>
        </w:rPr>
        <w:t xml:space="preserve">Renovation of existing building or unknown site conditions: 15–25%</w:t>
      </w:r>
    </w:p>
    <w:p>
      <w:pPr>
        <w:pStyle w:val="ListParagraph"/>
        <w:numPr>
          <w:ilvl w:val="0"/>
          <w:numId w:val="2"/>
        </w:numPr>
        <w:spacing w:after="60" w:before="60"/>
      </w:pPr>
      <w:r>
        <w:rPr>
          <w:rFonts w:ascii="Georgia" w:cs="Georgia" w:eastAsia="Georgia" w:hAnsi="Georgia"/>
          <w:color w:val="1A1A1A"/>
          <w:sz w:val="23"/>
          <w:szCs w:val="23"/>
        </w:rPr>
        <w:t xml:space="preserve">Historic building, complex site, first-of-type project: 20–30%</w:t>
      </w:r>
    </w:p>
    <w:p>
      <w:pPr>
        <w:pBdr>
          <w:left w:val="single" w:color="5A1FBE" w:sz="16" w:space="12"/>
        </w:pBdr>
        <w:shd w:fill="F0EDFB" w:val="clear"/>
        <w:spacing w:after="180" w:before="180"/>
      </w:pPr>
      <w:r>
        <w:rPr>
          <w:rFonts w:ascii="Arial" w:cs="Arial" w:eastAsia="Arial" w:hAnsi="Arial"/>
          <w:b/>
          <w:bCs/>
          <w:color w:val="5A1FBE"/>
          <w:sz w:val="21"/>
          <w:szCs w:val="21"/>
        </w:rPr>
        <w:t xml:space="preserve">Full Cost Guide →  </w:t>
      </w:r>
      <w:r>
        <w:rPr>
          <w:rFonts w:ascii="Georgia" w:cs="Georgia" w:eastAsia="Georgia" w:hAnsi="Georgia"/>
          <w:color w:val="333333"/>
          <w:sz w:val="21"/>
          <w:szCs w:val="21"/>
        </w:rPr>
        <w:t xml:space="preserve">For a complete breakdown of Florida commercial construction costs, cost drivers, hard vs. soft costs, and how to build a budget that holds, read: 'Commercial Construction Costs in Florida: What to Expect' at keentelgeneralcontractors.com/blog/commercial-construction-costs-florida</w:t>
      </w:r>
    </w:p>
    <w:p>
      <w:pPr>
        <w:pBdr>
          <w:bottom w:val="single" w:color="5A1FBE" w:sz="4" w:space="6"/>
        </w:pBdr>
        <w:spacing w:after="120" w:before="360"/>
      </w:pPr>
      <w:r>
        <w:rPr>
          <w:rFonts w:ascii="Arial" w:cs="Arial" w:eastAsia="Arial" w:hAnsi="Arial"/>
          <w:b/>
          <w:bCs/>
          <w:color w:val="0A2463"/>
          <w:sz w:val="32"/>
          <w:szCs w:val="32"/>
        </w:rPr>
        <w:t xml:space="preserve">5. Florida Building Code — What Every Owner Must Know</w:t>
      </w:r>
    </w:p>
    <w:p>
      <w:pPr>
        <w:spacing w:after="80" w:before="240"/>
      </w:pPr>
      <w:r>
        <w:rPr>
          <w:rFonts w:ascii="Arial" w:cs="Arial" w:eastAsia="Arial" w:hAnsi="Arial"/>
          <w:b/>
          <w:bCs/>
          <w:color w:val="1B4F9C"/>
          <w:sz w:val="26"/>
          <w:szCs w:val="26"/>
        </w:rPr>
        <w:t xml:space="preserve">The Florida Building Code (FBC)</w:t>
      </w:r>
    </w:p>
    <w:p>
      <w:pPr>
        <w:spacing w:after="160" w:before="0"/>
      </w:pPr>
      <w:r>
        <w:rPr>
          <w:rFonts w:ascii="Georgia" w:cs="Georgia" w:eastAsia="Georgia" w:hAnsi="Georgia"/>
          <w:b w:val="false"/>
          <w:bCs w:val="false"/>
          <w:i w:val="false"/>
          <w:iCs w:val="false"/>
          <w:color w:val="1A1A1A"/>
          <w:sz w:val="23"/>
          <w:szCs w:val="23"/>
        </w:rPr>
        <w:t xml:space="preserve">The FBC is updated every three years and covers building, residential, existing building, energy, accessibility, fuel gas, mechanical, plumbing, and test protocols.</w:t>
      </w:r>
    </w:p>
    <w:p>
      <w:pPr>
        <w:spacing w:after="160" w:before="0"/>
      </w:pPr>
      <w:r>
        <w:rPr>
          <w:rFonts w:ascii="Georgia" w:cs="Georgia" w:eastAsia="Georgia" w:hAnsi="Georgia"/>
          <w:b w:val="false"/>
          <w:bCs w:val="false"/>
          <w:i w:val="false"/>
          <w:iCs w:val="false"/>
          <w:color w:val="1A1A1A"/>
          <w:sz w:val="23"/>
          <w:szCs w:val="23"/>
        </w:rPr>
        <w:t xml:space="preserve">Key commercial construction implications:</w:t>
      </w:r>
    </w:p>
    <w:p>
      <w:pPr>
        <w:pStyle w:val="ListParagraph"/>
        <w:numPr>
          <w:ilvl w:val="0"/>
          <w:numId w:val="2"/>
        </w:numPr>
        <w:spacing w:after="60" w:before="60"/>
      </w:pPr>
      <w:r>
        <w:rPr>
          <w:rFonts w:ascii="Georgia" w:cs="Georgia" w:eastAsia="Georgia" w:hAnsi="Georgia"/>
          <w:color w:val="1A1A1A"/>
          <w:sz w:val="23"/>
          <w:szCs w:val="23"/>
        </w:rPr>
        <w:t xml:space="preserve">Every commercial building in Florida must comply with FBC — no exceptions for older buildings undergoing significant renovation</w:t>
      </w:r>
    </w:p>
    <w:p>
      <w:pPr>
        <w:pStyle w:val="ListParagraph"/>
        <w:numPr>
          <w:ilvl w:val="0"/>
          <w:numId w:val="2"/>
        </w:numPr>
        <w:spacing w:after="60" w:before="60"/>
      </w:pPr>
      <w:r>
        <w:rPr>
          <w:rFonts w:ascii="Georgia" w:cs="Georgia" w:eastAsia="Georgia" w:hAnsi="Georgia"/>
          <w:color w:val="1A1A1A"/>
          <w:sz w:val="23"/>
          <w:szCs w:val="23"/>
        </w:rPr>
        <w:t xml:space="preserve">Energy code compliance is required and verified at permit — not optional</w:t>
      </w:r>
    </w:p>
    <w:p>
      <w:pPr>
        <w:pStyle w:val="ListParagraph"/>
        <w:numPr>
          <w:ilvl w:val="0"/>
          <w:numId w:val="2"/>
        </w:numPr>
        <w:spacing w:after="60" w:before="60"/>
      </w:pPr>
      <w:r>
        <w:rPr>
          <w:rFonts w:ascii="Georgia" w:cs="Georgia" w:eastAsia="Georgia" w:hAnsi="Georgia"/>
          <w:color w:val="1A1A1A"/>
          <w:sz w:val="23"/>
          <w:szCs w:val="23"/>
        </w:rPr>
        <w:t xml:space="preserve">ADA compliance is required for all new commercial construction and significant renovations</w:t>
      </w:r>
    </w:p>
    <w:p>
      <w:pPr>
        <w:pStyle w:val="ListParagraph"/>
        <w:numPr>
          <w:ilvl w:val="0"/>
          <w:numId w:val="2"/>
        </w:numPr>
        <w:spacing w:after="60" w:before="60"/>
      </w:pPr>
      <w:r>
        <w:rPr>
          <w:rFonts w:ascii="Georgia" w:cs="Georgia" w:eastAsia="Georgia" w:hAnsi="Georgia"/>
          <w:color w:val="1A1A1A"/>
          <w:sz w:val="23"/>
          <w:szCs w:val="23"/>
        </w:rPr>
        <w:t xml:space="preserve">Wind load design is driven by the wind speed map and building exposure category — varies by county and project location</w:t>
      </w:r>
    </w:p>
    <w:p>
      <w:pPr>
        <w:pStyle w:val="ListParagraph"/>
        <w:numPr>
          <w:ilvl w:val="0"/>
          <w:numId w:val="2"/>
        </w:numPr>
        <w:spacing w:after="60" w:before="60"/>
      </w:pPr>
      <w:r>
        <w:rPr>
          <w:rFonts w:ascii="Georgia" w:cs="Georgia" w:eastAsia="Georgia" w:hAnsi="Georgia"/>
          <w:color w:val="1A1A1A"/>
          <w:sz w:val="23"/>
          <w:szCs w:val="23"/>
        </w:rPr>
        <w:t xml:space="preserve">Flood zone requirements apply to buildings in FEMA flood hazard areas — common in coastal Florida</w:t>
      </w:r>
    </w:p>
    <w:p>
      <w:pPr>
        <w:spacing w:after="80" w:before="240"/>
      </w:pPr>
      <w:r>
        <w:rPr>
          <w:rFonts w:ascii="Arial" w:cs="Arial" w:eastAsia="Arial" w:hAnsi="Arial"/>
          <w:b/>
          <w:bCs/>
          <w:color w:val="1B4F9C"/>
          <w:sz w:val="26"/>
          <w:szCs w:val="26"/>
        </w:rPr>
        <w:t xml:space="preserve">Miami-Dade and Broward: The High-Velocity Hurricane Zone</w:t>
      </w:r>
    </w:p>
    <w:p>
      <w:pPr>
        <w:spacing w:after="160" w:before="0"/>
      </w:pPr>
      <w:r>
        <w:rPr>
          <w:rFonts w:ascii="Georgia" w:cs="Georgia" w:eastAsia="Georgia" w:hAnsi="Georgia"/>
          <w:b w:val="false"/>
          <w:bCs w:val="false"/>
          <w:i w:val="false"/>
          <w:iCs w:val="false"/>
          <w:color w:val="1A1A1A"/>
          <w:sz w:val="23"/>
          <w:szCs w:val="23"/>
        </w:rPr>
        <w:t xml:space="preserve">Miami-Dade and Broward counties operate under the High-Velocity Hurricane Zone (HVHZ) requirements — the most stringent wind resistance standards in the continental United States.</w:t>
      </w:r>
    </w:p>
    <w:p>
      <w:pPr>
        <w:spacing w:after="160" w:before="0"/>
      </w:pPr>
      <w:r>
        <w:rPr>
          <w:rFonts w:ascii="Georgia" w:cs="Georgia" w:eastAsia="Georgia" w:hAnsi="Georgia"/>
          <w:b w:val="false"/>
          <w:bCs w:val="false"/>
          <w:i w:val="false"/>
          <w:iCs w:val="false"/>
          <w:color w:val="1A1A1A"/>
          <w:sz w:val="23"/>
          <w:szCs w:val="23"/>
        </w:rPr>
        <w:t xml:space="preserve">Products, systems, and methods used in HVHZ construction must carry specific Florida Product Approval or Miami-Dade Notice of Acceptance (NOA). This affects roofing, windows, doors, and exterior wall systems.</w:t>
      </w:r>
    </w:p>
    <w:p>
      <w:pPr>
        <w:spacing w:after="160" w:before="0"/>
      </w:pPr>
      <w:r>
        <w:rPr>
          <w:rFonts w:ascii="Georgia" w:cs="Georgia" w:eastAsia="Georgia" w:hAnsi="Georgia"/>
          <w:b w:val="false"/>
          <w:bCs w:val="false"/>
          <w:i w:val="false"/>
          <w:iCs w:val="false"/>
          <w:color w:val="1A1A1A"/>
          <w:sz w:val="23"/>
          <w:szCs w:val="23"/>
        </w:rPr>
        <w:t xml:space="preserve">A contractor unfamiliar with HVHZ requirements will cause permit rejections, redesigns, and schedule delays. This is not the jurisdiction to learn on the job.</w:t>
      </w:r>
    </w:p>
    <w:p>
      <w:pPr>
        <w:spacing w:after="80" w:before="240"/>
      </w:pPr>
      <w:r>
        <w:rPr>
          <w:rFonts w:ascii="Arial" w:cs="Arial" w:eastAsia="Arial" w:hAnsi="Arial"/>
          <w:b/>
          <w:bCs/>
          <w:color w:val="1B4F9C"/>
          <w:sz w:val="26"/>
          <w:szCs w:val="26"/>
        </w:rPr>
        <w:t xml:space="preserve">Local Amendments</w:t>
      </w:r>
    </w:p>
    <w:p>
      <w:pPr>
        <w:spacing w:after="160" w:before="0"/>
      </w:pPr>
      <w:r>
        <w:rPr>
          <w:rFonts w:ascii="Georgia" w:cs="Georgia" w:eastAsia="Georgia" w:hAnsi="Georgia"/>
          <w:b w:val="false"/>
          <w:bCs w:val="false"/>
          <w:i w:val="false"/>
          <w:iCs w:val="false"/>
          <w:color w:val="1A1A1A"/>
          <w:sz w:val="23"/>
          <w:szCs w:val="23"/>
        </w:rPr>
        <w:t xml:space="preserve">Florida municipalities and counties can adopt local amendments to the FBC that are more stringent than the base code. Miami-Dade's product approval requirements are the best-known example, but local amendments exist throughout the state.</w:t>
      </w:r>
    </w:p>
    <w:p>
      <w:pPr>
        <w:spacing w:after="160" w:before="0"/>
      </w:pPr>
      <w:r>
        <w:rPr>
          <w:rFonts w:ascii="Georgia" w:cs="Georgia" w:eastAsia="Georgia" w:hAnsi="Georgia"/>
          <w:b w:val="false"/>
          <w:bCs w:val="false"/>
          <w:i w:val="false"/>
          <w:iCs w:val="false"/>
          <w:color w:val="1A1A1A"/>
          <w:sz w:val="23"/>
          <w:szCs w:val="23"/>
        </w:rPr>
        <w:t xml:space="preserve">Your contractor must know the local amendments for your specific project jurisdiction.</w:t>
      </w:r>
    </w:p>
    <w:p>
      <w:pPr>
        <w:pBdr>
          <w:bottom w:val="single" w:color="5A1FBE" w:sz="4" w:space="6"/>
        </w:pBdr>
        <w:spacing w:after="120" w:before="360"/>
      </w:pPr>
      <w:r>
        <w:rPr>
          <w:rFonts w:ascii="Arial" w:cs="Arial" w:eastAsia="Arial" w:hAnsi="Arial"/>
          <w:b/>
          <w:bCs/>
          <w:color w:val="0A2463"/>
          <w:sz w:val="32"/>
          <w:szCs w:val="32"/>
        </w:rPr>
        <w:t xml:space="preserve">6. Permitting in Florida — The Real Timeline</w:t>
      </w:r>
    </w:p>
    <w:p>
      <w:pPr>
        <w:spacing w:after="160" w:before="0"/>
      </w:pPr>
      <w:r>
        <w:rPr>
          <w:rFonts w:ascii="Georgia" w:cs="Georgia" w:eastAsia="Georgia" w:hAnsi="Georgia"/>
          <w:b w:val="false"/>
          <w:bCs w:val="false"/>
          <w:i w:val="false"/>
          <w:iCs w:val="false"/>
          <w:color w:val="1A1A1A"/>
          <w:sz w:val="23"/>
          <w:szCs w:val="23"/>
        </w:rPr>
        <w:t xml:space="preserve">Nothing surprises out-of-state owners more than Florida permitting timelines.</w:t>
      </w:r>
    </w:p>
    <w:p>
      <w:pPr>
        <w:spacing w:after="160" w:before="0"/>
      </w:pPr>
      <w:r>
        <w:rPr>
          <w:rFonts w:ascii="Georgia" w:cs="Georgia" w:eastAsia="Georgia" w:hAnsi="Georgia"/>
          <w:b w:val="false"/>
          <w:bCs w:val="false"/>
          <w:i w:val="false"/>
          <w:iCs w:val="false"/>
          <w:color w:val="1A1A1A"/>
          <w:sz w:val="23"/>
          <w:szCs w:val="23"/>
        </w:rPr>
        <w:t xml:space="preserve">Here are realistic commercial permit timelines for Florida's major markets: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Municipality</w:t>
            </w:r>
          </w:p>
        </w:tc>
        <w:tc>
          <w:tcPr>
            <w:tcW w:type="dxa" w:w="280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Typical Commercial Permit Timeline</w:t>
            </w:r>
          </w:p>
        </w:tc>
        <w:tc>
          <w:tcPr>
            <w:tcW w:type="dxa" w:w="436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bCs/>
                <w:color w:val="1B4F9C"/>
                <w:sz w:val="20"/>
                <w:szCs w:val="20"/>
              </w:rPr>
              <w:t xml:space="preserve">Hillsborough County / Tampa</w:t>
            </w:r>
          </w:p>
        </w:tc>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4–10 weeks</w:t>
            </w:r>
          </w:p>
        </w:tc>
        <w:tc>
          <w:tcPr>
            <w:tcW w:type="dxa" w:w="436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High volume — plan ahead. Express review available for fee.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1B4F9C"/>
                <w:sz w:val="20"/>
                <w:szCs w:val="20"/>
              </w:rPr>
              <w:t xml:space="preserve">Pinellas County / St. Pete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4–8 weeks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Efficient process for straightforward commercial scopes.</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bCs/>
                <w:color w:val="1B4F9C"/>
                <w:sz w:val="20"/>
                <w:szCs w:val="20"/>
              </w:rPr>
              <w:t xml:space="preserve">Pasco County</w:t>
            </w:r>
          </w:p>
        </w:tc>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3–7 weeks</w:t>
            </w:r>
          </w:p>
        </w:tc>
        <w:tc>
          <w:tcPr>
            <w:tcW w:type="dxa" w:w="436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Growing market — timelines increasing with development volume.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1B4F9C"/>
                <w:sz w:val="20"/>
                <w:szCs w:val="20"/>
              </w:rPr>
              <w:t xml:space="preserve">Manatee County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4–8 weeks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Active commercial market. Submit early.</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bCs/>
                <w:color w:val="1B4F9C"/>
                <w:sz w:val="20"/>
                <w:szCs w:val="20"/>
              </w:rPr>
              <w:t xml:space="preserve">Sarasota County</w:t>
            </w:r>
          </w:p>
        </w:tc>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4–8 weeks</w:t>
            </w:r>
          </w:p>
        </w:tc>
        <w:tc>
          <w:tcPr>
            <w:tcW w:type="dxa" w:w="436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Thorough review process — design completeness matters.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1B4F9C"/>
                <w:sz w:val="20"/>
                <w:szCs w:val="20"/>
              </w:rPr>
              <w:t xml:space="preserve">Polk County / Lakeland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3–6 weeks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Generally efficient — strong for industrial and warehouse.</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bCs/>
                <w:color w:val="1B4F9C"/>
                <w:sz w:val="20"/>
                <w:szCs w:val="20"/>
              </w:rPr>
              <w:t xml:space="preserve">Miami-Dade County</w:t>
            </w:r>
          </w:p>
        </w:tc>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8–20 weeks</w:t>
            </w:r>
          </w:p>
        </w:tc>
        <w:tc>
          <w:tcPr>
            <w:tcW w:type="dxa" w:w="436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Most complex permitting in Florida. Wind code adds review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1B4F9C"/>
                <w:sz w:val="20"/>
                <w:szCs w:val="20"/>
              </w:rPr>
              <w:t xml:space="preserve">Orange County / Orlando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5–12 weeks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High volume. Digital permitting system — know how to use it.</w:t>
            </w:r>
          </w:p>
        </w:tc>
      </w:tr>
      <w:tr>
        <w:tc>
          <w:tcPr>
            <w:tcW w:type="dxa" w:w="22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bCs/>
                <w:color w:val="1B4F9C"/>
                <w:sz w:val="20"/>
                <w:szCs w:val="20"/>
              </w:rPr>
              <w:t xml:space="preserve">Broward County</w:t>
            </w:r>
          </w:p>
        </w:tc>
        <w:tc>
          <w:tcPr>
            <w:tcW w:type="dxa" w:w="280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6–14 weeks</w:t>
            </w:r>
          </w:p>
        </w:tc>
        <w:tc>
          <w:tcPr>
            <w:tcW w:type="dxa" w:w="4360"/>
            <w:tcBorders>
              <w:top w:val="single" w:color="CCCCCC" w:sz="1"/>
              <w:left w:val="single" w:color="CCCCCC" w:sz="1"/>
              <w:bottom w:val="single" w:color="CCCCCC" w:sz="1"/>
              <w:right w:val="single" w:color="CCCCCC" w:sz="1"/>
            </w:tcBorders>
            <w:shd w:fill="EBF2FA"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Stringent review. Plan review comments are common.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1B4F9C"/>
                <w:sz w:val="20"/>
                <w:szCs w:val="20"/>
              </w:rPr>
              <w:t xml:space="preserve">Duval County / Jacksonville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4–10 weeks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Growing market. Timelines vary by project complexity.</w:t>
            </w:r>
          </w:p>
        </w:tc>
      </w:tr>
    </w:tbl>
    <w:p>
      <w:pPr>
        <w:spacing w:after="80" w:before="80"/>
      </w:pPr>
    </w:p>
    <w:p>
      <w:pPr>
        <w:spacing w:after="80" w:before="240"/>
      </w:pPr>
      <w:r>
        <w:rPr>
          <w:rFonts w:ascii="Arial" w:cs="Arial" w:eastAsia="Arial" w:hAnsi="Arial"/>
          <w:b/>
          <w:bCs/>
          <w:color w:val="1B4F9C"/>
          <w:sz w:val="26"/>
          <w:szCs w:val="26"/>
        </w:rPr>
        <w:t xml:space="preserve">How to Manage Florida Permitting Like a Professional</w:t>
      </w:r>
    </w:p>
    <w:p>
      <w:pPr>
        <w:pStyle w:val="ListParagraph"/>
        <w:numPr>
          <w:ilvl w:val="0"/>
          <w:numId w:val="2"/>
        </w:numPr>
        <w:spacing w:after="60" w:before="60"/>
      </w:pPr>
      <w:r>
        <w:rPr>
          <w:rFonts w:ascii="Georgia" w:cs="Georgia" w:eastAsia="Georgia" w:hAnsi="Georgia"/>
          <w:color w:val="1A1A1A"/>
          <w:sz w:val="23"/>
          <w:szCs w:val="23"/>
        </w:rPr>
        <w:t xml:space="preserve">Submit early — the sooner you apply, the sooner the clock starts</w:t>
      </w:r>
    </w:p>
    <w:p>
      <w:pPr>
        <w:pStyle w:val="ListParagraph"/>
        <w:numPr>
          <w:ilvl w:val="0"/>
          <w:numId w:val="2"/>
        </w:numPr>
        <w:spacing w:after="60" w:before="60"/>
      </w:pPr>
      <w:r>
        <w:rPr>
          <w:rFonts w:ascii="Georgia" w:cs="Georgia" w:eastAsia="Georgia" w:hAnsi="Georgia"/>
          <w:color w:val="1A1A1A"/>
          <w:sz w:val="23"/>
          <w:szCs w:val="23"/>
        </w:rPr>
        <w:t xml:space="preserve">Submit complete — incomplete applications go to the back of the queue</w:t>
      </w:r>
    </w:p>
    <w:p>
      <w:pPr>
        <w:pStyle w:val="ListParagraph"/>
        <w:numPr>
          <w:ilvl w:val="0"/>
          <w:numId w:val="2"/>
        </w:numPr>
        <w:spacing w:after="60" w:before="60"/>
      </w:pPr>
      <w:r>
        <w:rPr>
          <w:rFonts w:ascii="Georgia" w:cs="Georgia" w:eastAsia="Georgia" w:hAnsi="Georgia"/>
          <w:color w:val="1A1A1A"/>
          <w:sz w:val="23"/>
          <w:szCs w:val="23"/>
        </w:rPr>
        <w:t xml:space="preserve">Respond to comments quickly — plan review comment response windows are often 30 days; missing them resets your position</w:t>
      </w:r>
    </w:p>
    <w:p>
      <w:pPr>
        <w:pStyle w:val="ListParagraph"/>
        <w:numPr>
          <w:ilvl w:val="0"/>
          <w:numId w:val="2"/>
        </w:numPr>
        <w:spacing w:after="60" w:before="60"/>
      </w:pPr>
      <w:r>
        <w:rPr>
          <w:rFonts w:ascii="Georgia" w:cs="Georgia" w:eastAsia="Georgia" w:hAnsi="Georgia"/>
          <w:color w:val="1A1A1A"/>
          <w:sz w:val="23"/>
          <w:szCs w:val="23"/>
        </w:rPr>
        <w:t xml:space="preserve">Use an expediting service for large or complex projects in high-volume departments</w:t>
      </w:r>
    </w:p>
    <w:p>
      <w:pPr>
        <w:pStyle w:val="ListParagraph"/>
        <w:numPr>
          <w:ilvl w:val="0"/>
          <w:numId w:val="2"/>
        </w:numPr>
        <w:spacing w:after="60" w:before="60"/>
      </w:pPr>
      <w:r>
        <w:rPr>
          <w:rFonts w:ascii="Georgia" w:cs="Georgia" w:eastAsia="Georgia" w:hAnsi="Georgia"/>
          <w:color w:val="1A1A1A"/>
          <w:sz w:val="23"/>
          <w:szCs w:val="23"/>
        </w:rPr>
        <w:t xml:space="preserve">Build permit timeline into the schedule from day one — not as contingency</w:t>
      </w:r>
    </w:p>
    <w:p>
      <w:pPr>
        <w:pStyle w:val="ListParagraph"/>
        <w:numPr>
          <w:ilvl w:val="0"/>
          <w:numId w:val="2"/>
        </w:numPr>
        <w:spacing w:after="60" w:before="60"/>
      </w:pPr>
      <w:r>
        <w:rPr>
          <w:rFonts w:ascii="Georgia" w:cs="Georgia" w:eastAsia="Georgia" w:hAnsi="Georgia"/>
          <w:color w:val="1A1A1A"/>
          <w:sz w:val="23"/>
          <w:szCs w:val="23"/>
        </w:rPr>
        <w:t xml:space="preserve">Know the reviewer — an experienced local contractor has relationships that help navigate comments and questions</w:t>
      </w:r>
    </w:p>
    <w:p>
      <w:pPr>
        <w:pBdr>
          <w:left w:val="single" w:color="C62828" w:sz="16" w:space="12"/>
        </w:pBdr>
        <w:shd w:fill="FFEBEE" w:val="clear"/>
        <w:spacing w:after="180" w:before="180"/>
      </w:pPr>
      <w:r>
        <w:rPr>
          <w:rFonts w:ascii="Arial" w:cs="Arial" w:eastAsia="Arial" w:hAnsi="Arial"/>
          <w:b/>
          <w:bCs/>
          <w:color w:val="C62828"/>
          <w:sz w:val="21"/>
          <w:szCs w:val="21"/>
        </w:rPr>
        <w:t xml:space="preserve">Common Mistake →  </w:t>
      </w:r>
      <w:r>
        <w:rPr>
          <w:rFonts w:ascii="Georgia" w:cs="Georgia" w:eastAsia="Georgia" w:hAnsi="Georgia"/>
          <w:color w:val="333333"/>
          <w:sz w:val="21"/>
          <w:szCs w:val="21"/>
        </w:rPr>
        <w:t xml:space="preserve">Owners who plan their opening date without understanding the local permitting timeline consistently miss it. The permit clock doesn't start when you want construction to begin. It starts when you submit a complete application. Plan backwards from your target CO date, not forwards from your construction start date.</w:t>
      </w:r>
    </w:p>
    <w:p>
      <w:pPr>
        <w:pBdr>
          <w:bottom w:val="single" w:color="5A1FBE" w:sz="4" w:space="6"/>
        </w:pBdr>
        <w:spacing w:after="120" w:before="360"/>
      </w:pPr>
      <w:r>
        <w:rPr>
          <w:rFonts w:ascii="Arial" w:cs="Arial" w:eastAsia="Arial" w:hAnsi="Arial"/>
          <w:b/>
          <w:bCs/>
          <w:color w:val="0A2463"/>
          <w:sz w:val="32"/>
          <w:szCs w:val="32"/>
        </w:rPr>
        <w:t xml:space="preserve">7. How to Choose a General Contractor in Florida</w:t>
      </w:r>
    </w:p>
    <w:p>
      <w:pPr>
        <w:spacing w:after="160" w:before="0"/>
      </w:pPr>
      <w:r>
        <w:rPr>
          <w:rFonts w:ascii="Georgia" w:cs="Georgia" w:eastAsia="Georgia" w:hAnsi="Georgia"/>
          <w:b w:val="false"/>
          <w:bCs w:val="false"/>
          <w:i w:val="false"/>
          <w:iCs w:val="false"/>
          <w:color w:val="1A1A1A"/>
          <w:sz w:val="23"/>
          <w:szCs w:val="23"/>
        </w:rPr>
        <w:t xml:space="preserve">The contractor you choose will have more impact on your project outcome than any other decision you make.</w:t>
      </w:r>
    </w:p>
    <w:p>
      <w:pPr>
        <w:spacing w:after="160" w:before="0"/>
      </w:pPr>
      <w:r>
        <w:rPr>
          <w:rFonts w:ascii="Georgia" w:cs="Georgia" w:eastAsia="Georgia" w:hAnsi="Georgia"/>
          <w:b w:val="false"/>
          <w:bCs w:val="false"/>
          <w:i w:val="false"/>
          <w:iCs w:val="false"/>
          <w:color w:val="1A1A1A"/>
          <w:sz w:val="23"/>
          <w:szCs w:val="23"/>
        </w:rPr>
        <w:t xml:space="preserve">Eight things that actually matter:</w:t>
      </w:r>
    </w:p>
    <w:p>
      <w:pPr>
        <w:pStyle w:val="ListParagraph"/>
        <w:numPr>
          <w:ilvl w:val="0"/>
          <w:numId w:val="3"/>
        </w:numPr>
        <w:spacing w:after="60" w:before="60"/>
      </w:pPr>
      <w:r>
        <w:rPr>
          <w:rFonts w:ascii="Georgia" w:cs="Georgia" w:eastAsia="Georgia" w:hAnsi="Georgia"/>
          <w:color w:val="1A1A1A"/>
          <w:sz w:val="23"/>
          <w:szCs w:val="23"/>
        </w:rPr>
        <w:t xml:space="preserve">Florida license — verify at myfloridalicense.com before anything else</w:t>
      </w:r>
    </w:p>
    <w:p>
      <w:pPr>
        <w:pStyle w:val="ListParagraph"/>
        <w:numPr>
          <w:ilvl w:val="0"/>
          <w:numId w:val="3"/>
        </w:numPr>
        <w:spacing w:after="60" w:before="60"/>
      </w:pPr>
      <w:r>
        <w:rPr>
          <w:rFonts w:ascii="Georgia" w:cs="Georgia" w:eastAsia="Georgia" w:hAnsi="Georgia"/>
          <w:color w:val="1A1A1A"/>
          <w:sz w:val="23"/>
          <w:szCs w:val="23"/>
        </w:rPr>
        <w:t xml:space="preserve">Proper insurance — general liability and workers' compensation certificates, not verbal assurances</w:t>
      </w:r>
    </w:p>
    <w:p>
      <w:pPr>
        <w:pStyle w:val="ListParagraph"/>
        <w:numPr>
          <w:ilvl w:val="0"/>
          <w:numId w:val="3"/>
        </w:numPr>
        <w:spacing w:after="60" w:before="60"/>
      </w:pPr>
      <w:r>
        <w:rPr>
          <w:rFonts w:ascii="Georgia" w:cs="Georgia" w:eastAsia="Georgia" w:hAnsi="Georgia"/>
          <w:color w:val="1A1A1A"/>
          <w:sz w:val="23"/>
          <w:szCs w:val="23"/>
        </w:rPr>
        <w:t xml:space="preserve">Relevant project experience — in your specific project type, not just 'commercial construction'</w:t>
      </w:r>
    </w:p>
    <w:p>
      <w:pPr>
        <w:pStyle w:val="ListParagraph"/>
        <w:numPr>
          <w:ilvl w:val="0"/>
          <w:numId w:val="3"/>
        </w:numPr>
        <w:spacing w:after="60" w:before="60"/>
      </w:pPr>
      <w:r>
        <w:rPr>
          <w:rFonts w:ascii="Georgia" w:cs="Georgia" w:eastAsia="Georgia" w:hAnsi="Georgia"/>
          <w:color w:val="1A1A1A"/>
          <w:sz w:val="23"/>
          <w:szCs w:val="23"/>
        </w:rPr>
        <w:t xml:space="preserve">Local market knowledge — permitting relationships, subcontractor network, FBC expertise in your county</w:t>
      </w:r>
    </w:p>
    <w:p>
      <w:pPr>
        <w:pStyle w:val="ListParagraph"/>
        <w:numPr>
          <w:ilvl w:val="0"/>
          <w:numId w:val="3"/>
        </w:numPr>
        <w:spacing w:after="60" w:before="60"/>
      </w:pPr>
      <w:r>
        <w:rPr>
          <w:rFonts w:ascii="Georgia" w:cs="Georgia" w:eastAsia="Georgia" w:hAnsi="Georgia"/>
          <w:color w:val="1A1A1A"/>
          <w:sz w:val="23"/>
          <w:szCs w:val="23"/>
        </w:rPr>
        <w:t xml:space="preserve">References from completed projects — call them, ask about schedule, budget, and problem-handling</w:t>
      </w:r>
    </w:p>
    <w:p>
      <w:pPr>
        <w:pStyle w:val="ListParagraph"/>
        <w:numPr>
          <w:ilvl w:val="0"/>
          <w:numId w:val="3"/>
        </w:numPr>
        <w:spacing w:after="60" w:before="60"/>
      </w:pPr>
      <w:r>
        <w:rPr>
          <w:rFonts w:ascii="Georgia" w:cs="Georgia" w:eastAsia="Georgia" w:hAnsi="Georgia"/>
          <w:color w:val="1A1A1A"/>
          <w:sz w:val="23"/>
          <w:szCs w:val="23"/>
        </w:rPr>
        <w:t xml:space="preserve">Documented project management process — how they communicate, report, and manage changes</w:t>
      </w:r>
    </w:p>
    <w:p>
      <w:pPr>
        <w:pStyle w:val="ListParagraph"/>
        <w:numPr>
          <w:ilvl w:val="0"/>
          <w:numId w:val="3"/>
        </w:numPr>
        <w:spacing w:after="60" w:before="60"/>
      </w:pPr>
      <w:r>
        <w:rPr>
          <w:rFonts w:ascii="Georgia" w:cs="Georgia" w:eastAsia="Georgia" w:hAnsi="Georgia"/>
          <w:color w:val="1A1A1A"/>
          <w:sz w:val="23"/>
          <w:szCs w:val="23"/>
        </w:rPr>
        <w:t xml:space="preserve">Financial stability — bonding capacity, years in business, payment reputation with subs</w:t>
      </w:r>
    </w:p>
    <w:p>
      <w:pPr>
        <w:pStyle w:val="ListParagraph"/>
        <w:numPr>
          <w:ilvl w:val="0"/>
          <w:numId w:val="3"/>
        </w:numPr>
        <w:spacing w:after="60" w:before="60"/>
      </w:pPr>
      <w:r>
        <w:rPr>
          <w:rFonts w:ascii="Georgia" w:cs="Georgia" w:eastAsia="Georgia" w:hAnsi="Georgia"/>
          <w:color w:val="1A1A1A"/>
          <w:sz w:val="23"/>
          <w:szCs w:val="23"/>
        </w:rPr>
        <w:t xml:space="preserve">Communication quality right now — how they respond during bidding predicts how they'll communicate during construction</w:t>
      </w:r>
    </w:p>
    <w:p>
      <w:pPr>
        <w:pBdr>
          <w:left w:val="single" w:color="C62828" w:sz="16" w:space="12"/>
        </w:pBdr>
        <w:shd w:fill="FFEBEE" w:val="clear"/>
        <w:spacing w:after="180" w:before="180"/>
      </w:pPr>
      <w:r>
        <w:rPr>
          <w:rFonts w:ascii="Arial" w:cs="Arial" w:eastAsia="Arial" w:hAnsi="Arial"/>
          <w:b/>
          <w:bCs/>
          <w:color w:val="C62828"/>
          <w:sz w:val="21"/>
          <w:szCs w:val="21"/>
        </w:rPr>
        <w:t xml:space="preserve">Disqualifiers →  </w:t>
      </w:r>
      <w:r>
        <w:rPr>
          <w:rFonts w:ascii="Georgia" w:cs="Georgia" w:eastAsia="Georgia" w:hAnsi="Georgia"/>
          <w:color w:val="333333"/>
          <w:sz w:val="21"/>
          <w:szCs w:val="21"/>
        </w:rPr>
        <w:t xml:space="preserve">No license. Can't provide insurance certificates. Asks for more than 10–15% upfront. Discourages permits. No verifiable references. Bid dramatically lower than competitors with no explanation. Any of these ends the conversation.</w:t>
      </w:r>
    </w:p>
    <w:p>
      <w:pPr>
        <w:pBdr>
          <w:left w:val="single" w:color="5A1FBE" w:sz="16" w:space="12"/>
        </w:pBdr>
        <w:shd w:fill="F0EDFB" w:val="clear"/>
        <w:spacing w:after="180" w:before="180"/>
      </w:pPr>
      <w:r>
        <w:rPr>
          <w:rFonts w:ascii="Arial" w:cs="Arial" w:eastAsia="Arial" w:hAnsi="Arial"/>
          <w:b/>
          <w:bCs/>
          <w:color w:val="5A1FBE"/>
          <w:sz w:val="21"/>
          <w:szCs w:val="21"/>
        </w:rPr>
        <w:t xml:space="preserve">Full GC Selection Guide →  </w:t>
      </w:r>
      <w:r>
        <w:rPr>
          <w:rFonts w:ascii="Georgia" w:cs="Georgia" w:eastAsia="Georgia" w:hAnsi="Georgia"/>
          <w:color w:val="333333"/>
          <w:sz w:val="21"/>
          <w:szCs w:val="21"/>
        </w:rPr>
        <w:t xml:space="preserve">For a complete framework including the interview questions to ask, how to compare bids, and red flags to watch for, read: 'How to Choose the Right General Contractor in Florida' at keentelgeneralcontractors.com/blog/how-to-choose-right-general-contractor-florida</w:t>
      </w:r>
    </w:p>
    <w:p>
      <w:pPr>
        <w:pBdr>
          <w:bottom w:val="single" w:color="5A1FBE" w:sz="4" w:space="6"/>
        </w:pBdr>
        <w:spacing w:after="120" w:before="360"/>
      </w:pPr>
      <w:r>
        <w:rPr>
          <w:rFonts w:ascii="Arial" w:cs="Arial" w:eastAsia="Arial" w:hAnsi="Arial"/>
          <w:b/>
          <w:bCs/>
          <w:color w:val="0A2463"/>
          <w:sz w:val="32"/>
          <w:szCs w:val="32"/>
        </w:rPr>
        <w:t xml:space="preserve">8. Delivery Methods — Design-Build vs. Traditional Construction</w:t>
      </w:r>
    </w:p>
    <w:p>
      <w:pPr>
        <w:spacing w:after="160" w:before="0"/>
      </w:pPr>
      <w:r>
        <w:rPr>
          <w:rFonts w:ascii="Georgia" w:cs="Georgia" w:eastAsia="Georgia" w:hAnsi="Georgia"/>
          <w:b w:val="false"/>
          <w:bCs w:val="false"/>
          <w:i w:val="false"/>
          <w:iCs w:val="false"/>
          <w:color w:val="1A1A1A"/>
          <w:sz w:val="23"/>
          <w:szCs w:val="23"/>
        </w:rPr>
        <w:t xml:space="preserve">Before you hire a contractor, you need to decide how your project will be delivered.</w:t>
      </w:r>
    </w:p>
    <w:p>
      <w:pPr>
        <w:spacing w:after="160" w:before="0"/>
      </w:pPr>
      <w:r>
        <w:rPr>
          <w:rFonts w:ascii="Georgia" w:cs="Georgia" w:eastAsia="Georgia" w:hAnsi="Georgia"/>
          <w:b w:val="false"/>
          <w:bCs w:val="false"/>
          <w:i w:val="false"/>
          <w:iCs w:val="false"/>
          <w:color w:val="1A1A1A"/>
          <w:sz w:val="23"/>
          <w:szCs w:val="23"/>
        </w:rPr>
        <w:t xml:space="preserve">Two primary methods: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368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Design-Bid-Build</w:t>
            </w:r>
          </w:p>
        </w:tc>
        <w:tc>
          <w:tcPr>
            <w:tcW w:type="dxa" w:w="3680"/>
            <w:tcBorders>
              <w:top w:val="single" w:color="CCCCCC" w:sz="1"/>
              <w:left w:val="single" w:color="CCCCCC" w:sz="1"/>
              <w:bottom w:val="single" w:color="CCCCCC" w:sz="1"/>
              <w:right w:val="single" w:color="CCCCCC" w:sz="1"/>
            </w:tcBorders>
            <w:shd w:fill="0A2463" w:val="clear"/>
            <w:tcMar>
              <w:top w:type="dxa" w:w="100"/>
              <w:left w:type="dxa" w:w="120"/>
              <w:bottom w:type="dxa" w:w="100"/>
              <w:right w:type="dxa" w:w="120"/>
            </w:tcMar>
          </w:tcPr>
          <w:p>
            <w:r>
              <w:rPr>
                <w:rFonts w:ascii="Arial" w:cs="Arial" w:eastAsia="Arial" w:hAnsi="Arial"/>
                <w:b/>
                <w:bCs/>
                <w:color w:val="FFFFFF"/>
                <w:sz w:val="20"/>
                <w:szCs w:val="20"/>
              </w:rPr>
              <w:t xml:space="preserve">Design-Build</w:t>
            </w:r>
          </w:p>
        </w:tc>
      </w:tr>
      <w:tr>
        <w:tc>
          <w:tcPr>
            <w:tcW w:type="dxa" w:w="20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Contracts</w:t>
            </w:r>
          </w:p>
        </w:tc>
        <w:tc>
          <w:tcPr>
            <w:tcW w:type="dxa" w:w="368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Two separate</w:t>
            </w:r>
          </w:p>
        </w:tc>
        <w:tc>
          <w:tcPr>
            <w:tcW w:type="dxa" w:w="368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bCs/>
                <w:color w:val="5A1FBE"/>
                <w:sz w:val="20"/>
                <w:szCs w:val="20"/>
              </w:rPr>
              <w:t xml:space="preserve">One — with the GC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Accountability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Split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5A1FBE"/>
                <w:sz w:val="20"/>
                <w:szCs w:val="20"/>
              </w:rPr>
              <w:t xml:space="preserve">Single point</w:t>
            </w:r>
          </w:p>
        </w:tc>
      </w:tr>
      <w:tr>
        <w:tc>
          <w:tcPr>
            <w:tcW w:type="dxa" w:w="20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Speed</w:t>
            </w:r>
          </w:p>
        </w:tc>
        <w:tc>
          <w:tcPr>
            <w:tcW w:type="dxa" w:w="368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Sequential phases</w:t>
            </w:r>
          </w:p>
        </w:tc>
        <w:tc>
          <w:tcPr>
            <w:tcW w:type="dxa" w:w="368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bCs/>
                <w:color w:val="5A1FBE"/>
                <w:sz w:val="20"/>
                <w:szCs w:val="20"/>
              </w:rPr>
              <w:t xml:space="preserve">Overlapping phases — 10–30% faster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Cost Control</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Design locked before pricing</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5A1FBE"/>
                <w:sz w:val="20"/>
                <w:szCs w:val="20"/>
              </w:rPr>
              <w:t xml:space="preserve">Cost input during design</w:t>
            </w:r>
          </w:p>
        </w:tc>
      </w:tr>
      <w:tr>
        <w:tc>
          <w:tcPr>
            <w:tcW w:type="dxa" w:w="200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Disputes</w:t>
            </w:r>
          </w:p>
        </w:tc>
        <w:tc>
          <w:tcPr>
            <w:tcW w:type="dxa" w:w="368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Common — designer vs. contractor</w:t>
            </w:r>
          </w:p>
        </w:tc>
        <w:tc>
          <w:tcPr>
            <w:tcW w:type="dxa" w:w="3680"/>
            <w:tcBorders>
              <w:top w:val="single" w:color="CCCCCC" w:sz="1"/>
              <w:left w:val="single" w:color="CCCCCC" w:sz="1"/>
              <w:bottom w:val="single" w:color="CCCCCC" w:sz="1"/>
              <w:right w:val="single" w:color="CCCCCC" w:sz="1"/>
            </w:tcBorders>
            <w:shd w:fill="F0EDFB" w:val="clear"/>
            <w:tcMar>
              <w:top w:type="dxa" w:w="100"/>
              <w:left w:type="dxa" w:w="120"/>
              <w:bottom w:type="dxa" w:w="100"/>
              <w:right w:type="dxa" w:w="120"/>
            </w:tcMar>
          </w:tcPr>
          <w:p>
            <w:r>
              <w:rPr>
                <w:rFonts w:ascii="Georgia" w:cs="Georgia" w:eastAsia="Georgia" w:hAnsi="Georgia"/>
                <w:b/>
                <w:bCs/>
                <w:color w:val="5A1FBE"/>
                <w:sz w:val="20"/>
                <w:szCs w:val="20"/>
              </w:rPr>
              <w:t xml:space="preserve">Rare — same team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Best For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val="false"/>
                <w:bCs w:val="false"/>
                <w:color w:val="222222"/>
                <w:sz w:val="20"/>
                <w:szCs w:val="20"/>
              </w:rPr>
              <w:t xml:space="preserve">Public bidding, existing architect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Georgia" w:cs="Georgia" w:eastAsia="Georgia" w:hAnsi="Georgia"/>
                <w:b/>
                <w:bCs/>
                <w:color w:val="5A1FBE"/>
                <w:sz w:val="20"/>
                <w:szCs w:val="20"/>
              </w:rPr>
              <w:t xml:space="preserve">Speed, accountability, complexity</w:t>
            </w:r>
          </w:p>
        </w:tc>
      </w:tr>
    </w:tbl>
    <w:p>
      <w:pPr>
        <w:spacing w:after="80" w:before="80"/>
      </w:pPr>
    </w:p>
    <w:p>
      <w:pPr>
        <w:spacing w:after="80" w:before="240"/>
      </w:pPr>
      <w:r>
        <w:rPr>
          <w:rFonts w:ascii="Arial" w:cs="Arial" w:eastAsia="Arial" w:hAnsi="Arial"/>
          <w:b/>
          <w:bCs/>
          <w:color w:val="1B4F9C"/>
          <w:sz w:val="26"/>
          <w:szCs w:val="26"/>
        </w:rPr>
        <w:t xml:space="preserve">Which Is Right for Your Project?</w:t>
      </w:r>
    </w:p>
    <w:p>
      <w:pPr>
        <w:pStyle w:val="ListParagraph"/>
        <w:numPr>
          <w:ilvl w:val="0"/>
          <w:numId w:val="2"/>
        </w:numPr>
        <w:spacing w:after="60" w:before="60"/>
      </w:pPr>
      <w:r>
        <w:rPr>
          <w:rFonts w:ascii="Georgia" w:cs="Georgia" w:eastAsia="Georgia" w:hAnsi="Georgia"/>
          <w:color w:val="1A1A1A"/>
          <w:sz w:val="23"/>
          <w:szCs w:val="23"/>
        </w:rPr>
        <w:t xml:space="preserve">Design-Build: commercial build-outs, office construction, industrial, warehouse, tenant improvements, restaurant construction, facility expansions — any project where schedule, accountability, and coordination complexity are priorities</w:t>
      </w:r>
    </w:p>
    <w:p>
      <w:pPr>
        <w:pStyle w:val="ListParagraph"/>
        <w:numPr>
          <w:ilvl w:val="0"/>
          <w:numId w:val="2"/>
        </w:numPr>
        <w:spacing w:after="60" w:before="60"/>
      </w:pPr>
      <w:r>
        <w:rPr>
          <w:rFonts w:ascii="Georgia" w:cs="Georgia" w:eastAsia="Georgia" w:hAnsi="Georgia"/>
          <w:color w:val="1A1A1A"/>
          <w:sz w:val="23"/>
          <w:szCs w:val="23"/>
        </w:rPr>
        <w:t xml:space="preserve">Design-Bid-Build: publicly funded projects requiring competitive bidding, projects where you have an existing architect relationship, projects where design control is the primary priority</w:t>
      </w:r>
    </w:p>
    <w:p>
      <w:pPr>
        <w:spacing w:after="160" w:before="0"/>
      </w:pPr>
      <w:r>
        <w:rPr>
          <w:rFonts w:ascii="Georgia" w:cs="Georgia" w:eastAsia="Georgia" w:hAnsi="Georgia"/>
          <w:b w:val="false"/>
          <w:bCs w:val="false"/>
          <w:i w:val="false"/>
          <w:iCs w:val="false"/>
          <w:color w:val="1A1A1A"/>
          <w:sz w:val="23"/>
          <w:szCs w:val="23"/>
        </w:rPr>
        <w:t xml:space="preserve">Most private commercial owners in Florida are better served by Design-Build. The single-team accountability model eliminates the most common source of commercial construction disputes — the gap between what the architect designed and what the contractor priced.</w:t>
      </w:r>
    </w:p>
    <w:p>
      <w:pPr>
        <w:pBdr>
          <w:left w:val="single" w:color="5A1FBE" w:sz="16" w:space="12"/>
        </w:pBdr>
        <w:shd w:fill="F0EDFB" w:val="clear"/>
        <w:spacing w:after="180" w:before="180"/>
      </w:pPr>
      <w:r>
        <w:rPr>
          <w:rFonts w:ascii="Arial" w:cs="Arial" w:eastAsia="Arial" w:hAnsi="Arial"/>
          <w:b/>
          <w:bCs/>
          <w:color w:val="5A1FBE"/>
          <w:sz w:val="21"/>
          <w:szCs w:val="21"/>
        </w:rPr>
        <w:t xml:space="preserve">Full Comparison →  </w:t>
      </w:r>
      <w:r>
        <w:rPr>
          <w:rFonts w:ascii="Georgia" w:cs="Georgia" w:eastAsia="Georgia" w:hAnsi="Georgia"/>
          <w:color w:val="333333"/>
          <w:sz w:val="21"/>
          <w:szCs w:val="21"/>
        </w:rPr>
        <w:t xml:space="preserve">For a complete side-by-side analysis including the most common Design-Build misconceptions and when traditional construction is genuinely the right choice, read: 'Design-Build vs Traditional Construction' at keentelgeneralcontractors.com/blog/design-build-vs-traditional-construction</w:t>
      </w:r>
    </w:p>
    <w:p>
      <w:pPr>
        <w:pBdr>
          <w:bottom w:val="single" w:color="5A1FBE" w:sz="4" w:space="6"/>
        </w:pBdr>
        <w:spacing w:after="120" w:before="360"/>
      </w:pPr>
      <w:r>
        <w:rPr>
          <w:rFonts w:ascii="Arial" w:cs="Arial" w:eastAsia="Arial" w:hAnsi="Arial"/>
          <w:b/>
          <w:bCs/>
          <w:color w:val="0A2463"/>
          <w:sz w:val="32"/>
          <w:szCs w:val="32"/>
        </w:rPr>
        <w:t xml:space="preserve">9. Commercial Construction by Project Type</w:t>
      </w:r>
    </w:p>
    <w:p>
      <w:pPr>
        <w:spacing w:after="80" w:before="240"/>
      </w:pPr>
      <w:r>
        <w:rPr>
          <w:rFonts w:ascii="Arial" w:cs="Arial" w:eastAsia="Arial" w:hAnsi="Arial"/>
          <w:b/>
          <w:bCs/>
          <w:color w:val="1B4F9C"/>
          <w:sz w:val="26"/>
          <w:szCs w:val="26"/>
        </w:rPr>
        <w:t xml:space="preserve">Office Construction and Tenant Improvements</w:t>
      </w:r>
    </w:p>
    <w:p>
      <w:pPr>
        <w:spacing w:after="160" w:before="0"/>
      </w:pPr>
      <w:r>
        <w:rPr>
          <w:rFonts w:ascii="Georgia" w:cs="Georgia" w:eastAsia="Georgia" w:hAnsi="Georgia"/>
          <w:b w:val="false"/>
          <w:bCs w:val="false"/>
          <w:i w:val="false"/>
          <w:iCs w:val="false"/>
          <w:color w:val="1A1A1A"/>
          <w:sz w:val="23"/>
          <w:szCs w:val="23"/>
        </w:rPr>
        <w:t xml:space="preserve">Office construction in Florida ranges from simple cosmetic refreshes to full gut renovations of Class A commercial space. Key considerations: MEP flexibility for changing tenant configurations, technology infrastructure density, natural light optimization, and — in Florida — energy efficiency that reduces HVAC operating costs.</w:t>
      </w:r>
    </w:p>
    <w:p>
      <w:pPr>
        <w:spacing w:after="160" w:before="0"/>
      </w:pPr>
      <w:r>
        <w:rPr>
          <w:rFonts w:ascii="Georgia" w:cs="Georgia" w:eastAsia="Georgia" w:hAnsi="Georgia"/>
          <w:b w:val="false"/>
          <w:bCs w:val="false"/>
          <w:i w:val="false"/>
          <w:iCs w:val="false"/>
          <w:color w:val="1A1A1A"/>
          <w:sz w:val="23"/>
          <w:szCs w:val="23"/>
        </w:rPr>
        <w:t xml:space="preserve">Modern office design in Florida increasingly prioritizes hybrid work configurations, collaboration zones, and outdoor connection. Buildings that support these features command premium lease rates in Hillsborough and Pinellas county markets.</w:t>
      </w:r>
    </w:p>
    <w:p>
      <w:pPr>
        <w:spacing w:after="80" w:before="240"/>
      </w:pPr>
      <w:r>
        <w:rPr>
          <w:rFonts w:ascii="Arial" w:cs="Arial" w:eastAsia="Arial" w:hAnsi="Arial"/>
          <w:b/>
          <w:bCs/>
          <w:color w:val="1B4F9C"/>
          <w:sz w:val="26"/>
          <w:szCs w:val="26"/>
        </w:rPr>
        <w:t xml:space="preserve">Retail Construction</w:t>
      </w:r>
    </w:p>
    <w:p>
      <w:pPr>
        <w:spacing w:after="160" w:before="0"/>
      </w:pPr>
      <w:r>
        <w:rPr>
          <w:rFonts w:ascii="Georgia" w:cs="Georgia" w:eastAsia="Georgia" w:hAnsi="Georgia"/>
          <w:b w:val="false"/>
          <w:bCs w:val="false"/>
          <w:i w:val="false"/>
          <w:iCs w:val="false"/>
          <w:color w:val="1A1A1A"/>
          <w:sz w:val="23"/>
          <w:szCs w:val="23"/>
        </w:rPr>
        <w:t xml:space="preserve">Florida retail construction is shaped by tourism, seasonal population fluctuation, and a consumer base with high expectations set by major retail brands. Storefront design, customer flow, and lighting design are functional as well as aesthetic considerations.</w:t>
      </w:r>
    </w:p>
    <w:p>
      <w:pPr>
        <w:spacing w:after="160" w:before="0"/>
      </w:pPr>
      <w:r>
        <w:rPr>
          <w:rFonts w:ascii="Georgia" w:cs="Georgia" w:eastAsia="Georgia" w:hAnsi="Georgia"/>
          <w:b w:val="false"/>
          <w:bCs w:val="false"/>
          <w:i w:val="false"/>
          <w:iCs w:val="false"/>
          <w:color w:val="1A1A1A"/>
          <w:sz w:val="23"/>
          <w:szCs w:val="23"/>
        </w:rPr>
        <w:t xml:space="preserve">Retail renovation ROI in Florida is among the highest in the country — driven by a large consumer market and high foot traffic in established commercial corridors across Tampa Bay, Orlando, and South Florida.</w:t>
      </w:r>
    </w:p>
    <w:p>
      <w:pPr>
        <w:spacing w:after="80" w:before="240"/>
      </w:pPr>
      <w:r>
        <w:rPr>
          <w:rFonts w:ascii="Arial" w:cs="Arial" w:eastAsia="Arial" w:hAnsi="Arial"/>
          <w:b/>
          <w:bCs/>
          <w:color w:val="1B4F9C"/>
          <w:sz w:val="26"/>
          <w:szCs w:val="26"/>
        </w:rPr>
        <w:t xml:space="preserve">Restaurant Construction</w:t>
      </w:r>
    </w:p>
    <w:p>
      <w:pPr>
        <w:spacing w:after="160" w:before="0"/>
      </w:pPr>
      <w:r>
        <w:rPr>
          <w:rFonts w:ascii="Georgia" w:cs="Georgia" w:eastAsia="Georgia" w:hAnsi="Georgia"/>
          <w:b w:val="false"/>
          <w:bCs w:val="false"/>
          <w:i w:val="false"/>
          <w:iCs w:val="false"/>
          <w:color w:val="1A1A1A"/>
          <w:sz w:val="23"/>
          <w:szCs w:val="23"/>
        </w:rPr>
        <w:t xml:space="preserve">Restaurant construction is the most MEP-intensive commercial project type. Commercial kitchen ventilation, grease interception, health department compliance, and the integration of complex utility requirements into a customer-facing space make restaurant construction a specialty discipline.</w:t>
      </w:r>
    </w:p>
    <w:p>
      <w:pPr>
        <w:spacing w:after="160" w:before="0"/>
      </w:pPr>
      <w:r>
        <w:rPr>
          <w:rFonts w:ascii="Georgia" w:cs="Georgia" w:eastAsia="Georgia" w:hAnsi="Georgia"/>
          <w:b w:val="false"/>
          <w:bCs w:val="false"/>
          <w:i w:val="false"/>
          <w:iCs w:val="false"/>
          <w:color w:val="1A1A1A"/>
          <w:sz w:val="23"/>
          <w:szCs w:val="23"/>
        </w:rPr>
        <w:t xml:space="preserve">In Florida's restaurant market — where competition is fierce and customer expectations are shaped by the state's world-class hospitality industry — facility quality is a direct revenue driver.</w:t>
      </w:r>
    </w:p>
    <w:p>
      <w:pPr>
        <w:spacing w:after="80" w:before="240"/>
      </w:pPr>
      <w:r>
        <w:rPr>
          <w:rFonts w:ascii="Arial" w:cs="Arial" w:eastAsia="Arial" w:hAnsi="Arial"/>
          <w:b/>
          <w:bCs/>
          <w:color w:val="1B4F9C"/>
          <w:sz w:val="26"/>
          <w:szCs w:val="26"/>
        </w:rPr>
        <w:t xml:space="preserve">Industrial and Warehouse Construction</w:t>
      </w:r>
    </w:p>
    <w:p>
      <w:pPr>
        <w:spacing w:after="160" w:before="0"/>
      </w:pPr>
      <w:r>
        <w:rPr>
          <w:rFonts w:ascii="Georgia" w:cs="Georgia" w:eastAsia="Georgia" w:hAnsi="Georgia"/>
          <w:b w:val="false"/>
          <w:bCs w:val="false"/>
          <w:i w:val="false"/>
          <w:iCs w:val="false"/>
          <w:color w:val="1A1A1A"/>
          <w:sz w:val="23"/>
          <w:szCs w:val="23"/>
        </w:rPr>
        <w:t xml:space="preserve">Florida's logistics position — central to Southeast US distribution networks, with major port access in Tampa, Miami, Port Everglades, and Jacksonville — drives sustained demand for warehouse and distribution center construction.</w:t>
      </w:r>
    </w:p>
    <w:p>
      <w:pPr>
        <w:spacing w:after="160" w:before="0"/>
      </w:pPr>
      <w:r>
        <w:rPr>
          <w:rFonts w:ascii="Georgia" w:cs="Georgia" w:eastAsia="Georgia" w:hAnsi="Georgia"/>
          <w:b w:val="false"/>
          <w:bCs w:val="false"/>
          <w:i w:val="false"/>
          <w:iCs w:val="false"/>
          <w:color w:val="1A1A1A"/>
          <w:sz w:val="23"/>
          <w:szCs w:val="23"/>
        </w:rPr>
        <w:t xml:space="preserve">Key industrial construction considerations in Florida: clear height requirements for modern racking systems, three-phase electrical capacity for equipment, slab specification for heavy forklift traffic, and truck circulation design for logistics operations.</w:t>
      </w:r>
    </w:p>
    <w:p>
      <w:pPr>
        <w:spacing w:after="80" w:before="240"/>
      </w:pPr>
      <w:r>
        <w:rPr>
          <w:rFonts w:ascii="Arial" w:cs="Arial" w:eastAsia="Arial" w:hAnsi="Arial"/>
          <w:b/>
          <w:bCs/>
          <w:color w:val="1B4F9C"/>
          <w:sz w:val="26"/>
          <w:szCs w:val="26"/>
        </w:rPr>
        <w:t xml:space="preserve">Healthcare Construction</w:t>
      </w:r>
    </w:p>
    <w:p>
      <w:pPr>
        <w:spacing w:after="160" w:before="0"/>
      </w:pPr>
      <w:r>
        <w:rPr>
          <w:rFonts w:ascii="Georgia" w:cs="Georgia" w:eastAsia="Georgia" w:hAnsi="Georgia"/>
          <w:b w:val="false"/>
          <w:bCs w:val="false"/>
          <w:i w:val="false"/>
          <w:iCs w:val="false"/>
          <w:color w:val="1A1A1A"/>
          <w:sz w:val="23"/>
          <w:szCs w:val="23"/>
        </w:rPr>
        <w:t xml:space="preserve">Healthcare construction in Florida involves the most stringent combination of code requirements, MEP specifications, and operational sensitivity of any commercial project type. Redundant power, infection control during construction, HVAC pressure relationships, and ADA compliance throughout are standard requirements.</w:t>
      </w:r>
    </w:p>
    <w:p>
      <w:pPr>
        <w:spacing w:after="160" w:before="0"/>
      </w:pPr>
      <w:r>
        <w:rPr>
          <w:rFonts w:ascii="Georgia" w:cs="Georgia" w:eastAsia="Georgia" w:hAnsi="Georgia"/>
          <w:b w:val="false"/>
          <w:bCs w:val="false"/>
          <w:i w:val="false"/>
          <w:iCs w:val="false"/>
          <w:color w:val="1A1A1A"/>
          <w:sz w:val="23"/>
          <w:szCs w:val="23"/>
        </w:rPr>
        <w:t xml:space="preserve">Florida's large and growing senior population drives continued healthcare facility construction across the state.</w:t>
      </w:r>
    </w:p>
    <w:p>
      <w:pPr>
        <w:pBdr>
          <w:bottom w:val="single" w:color="5A1FBE" w:sz="4" w:space="6"/>
        </w:pBdr>
        <w:spacing w:after="120" w:before="360"/>
      </w:pPr>
      <w:r>
        <w:rPr>
          <w:rFonts w:ascii="Arial" w:cs="Arial" w:eastAsia="Arial" w:hAnsi="Arial"/>
          <w:b/>
          <w:bCs/>
          <w:color w:val="0A2463"/>
          <w:sz w:val="32"/>
          <w:szCs w:val="32"/>
        </w:rPr>
        <w:t xml:space="preserve">10. Serving Tampa Bay and All of Florida</w:t>
      </w:r>
    </w:p>
    <w:p>
      <w:pPr>
        <w:spacing w:after="160" w:before="0"/>
      </w:pPr>
      <w:r>
        <w:rPr>
          <w:rFonts w:ascii="Georgia" w:cs="Georgia" w:eastAsia="Georgia" w:hAnsi="Georgia"/>
          <w:b w:val="false"/>
          <w:bCs w:val="false"/>
          <w:i w:val="false"/>
          <w:iCs w:val="false"/>
          <w:color w:val="1A1A1A"/>
          <w:sz w:val="23"/>
          <w:szCs w:val="23"/>
        </w:rPr>
        <w:t xml:space="preserve">Keentel General Contractors is headquartered in Tampa Bay and serves commercial, industrial, institutional, and residential clients across the state of Florida.</w:t>
      </w:r>
    </w:p>
    <w:p>
      <w:pPr>
        <w:spacing w:after="80" w:before="240"/>
      </w:pPr>
      <w:r>
        <w:rPr>
          <w:rFonts w:ascii="Arial" w:cs="Arial" w:eastAsia="Arial" w:hAnsi="Arial"/>
          <w:b/>
          <w:bCs/>
          <w:color w:val="1B4F9C"/>
          <w:sz w:val="26"/>
          <w:szCs w:val="26"/>
        </w:rPr>
        <w:t xml:space="preserve">Our Tampa Bay Counties</w:t>
      </w:r>
    </w:p>
    <w:p>
      <w:pPr>
        <w:pStyle w:val="ListParagraph"/>
        <w:numPr>
          <w:ilvl w:val="0"/>
          <w:numId w:val="2"/>
        </w:numPr>
        <w:spacing w:after="60" w:before="60"/>
      </w:pPr>
      <w:r>
        <w:rPr>
          <w:rFonts w:ascii="Georgia" w:cs="Georgia" w:eastAsia="Georgia" w:hAnsi="Georgia"/>
          <w:color w:val="1A1A1A"/>
          <w:sz w:val="23"/>
          <w:szCs w:val="23"/>
        </w:rPr>
        <w:t xml:space="preserve">Hillsborough County — hillsborough.keentelgeneralcontractors.com — Tampa, Brandon, Riverview, Plant City, Valrico</w:t>
      </w:r>
    </w:p>
    <w:p>
      <w:pPr>
        <w:pStyle w:val="ListParagraph"/>
        <w:numPr>
          <w:ilvl w:val="0"/>
          <w:numId w:val="2"/>
        </w:numPr>
        <w:spacing w:after="60" w:before="60"/>
      </w:pPr>
      <w:r>
        <w:rPr>
          <w:rFonts w:ascii="Georgia" w:cs="Georgia" w:eastAsia="Georgia" w:hAnsi="Georgia"/>
          <w:color w:val="1A1A1A"/>
          <w:sz w:val="23"/>
          <w:szCs w:val="23"/>
        </w:rPr>
        <w:t xml:space="preserve">Pinellas County — St. Petersburg, Clearwater, Largo, Dunedin, Tarpon Springs</w:t>
      </w:r>
    </w:p>
    <w:p>
      <w:pPr>
        <w:pStyle w:val="ListParagraph"/>
        <w:numPr>
          <w:ilvl w:val="0"/>
          <w:numId w:val="2"/>
        </w:numPr>
        <w:spacing w:after="60" w:before="60"/>
      </w:pPr>
      <w:r>
        <w:rPr>
          <w:rFonts w:ascii="Georgia" w:cs="Georgia" w:eastAsia="Georgia" w:hAnsi="Georgia"/>
          <w:color w:val="1A1A1A"/>
          <w:sz w:val="23"/>
          <w:szCs w:val="23"/>
        </w:rPr>
        <w:t xml:space="preserve">Pasco County — Wesley Chapel, New Port Richey, Zephyrhills, Dade City</w:t>
      </w:r>
    </w:p>
    <w:p>
      <w:pPr>
        <w:pStyle w:val="ListParagraph"/>
        <w:numPr>
          <w:ilvl w:val="0"/>
          <w:numId w:val="2"/>
        </w:numPr>
        <w:spacing w:after="60" w:before="60"/>
      </w:pPr>
      <w:r>
        <w:rPr>
          <w:rFonts w:ascii="Georgia" w:cs="Georgia" w:eastAsia="Georgia" w:hAnsi="Georgia"/>
          <w:color w:val="1A1A1A"/>
          <w:sz w:val="23"/>
          <w:szCs w:val="23"/>
        </w:rPr>
        <w:t xml:space="preserve">Hernando County — Brooksville, Spring Hill, Weeki Wachee</w:t>
      </w:r>
    </w:p>
    <w:p>
      <w:pPr>
        <w:pStyle w:val="ListParagraph"/>
        <w:numPr>
          <w:ilvl w:val="0"/>
          <w:numId w:val="2"/>
        </w:numPr>
        <w:spacing w:after="60" w:before="60"/>
      </w:pPr>
      <w:r>
        <w:rPr>
          <w:rFonts w:ascii="Georgia" w:cs="Georgia" w:eastAsia="Georgia" w:hAnsi="Georgia"/>
          <w:color w:val="1A1A1A"/>
          <w:sz w:val="23"/>
          <w:szCs w:val="23"/>
        </w:rPr>
        <w:t xml:space="preserve">Manatee County — Bradenton, Palmetto, Lakewood Ranch</w:t>
      </w:r>
    </w:p>
    <w:p>
      <w:pPr>
        <w:pStyle w:val="ListParagraph"/>
        <w:numPr>
          <w:ilvl w:val="0"/>
          <w:numId w:val="2"/>
        </w:numPr>
        <w:spacing w:after="60" w:before="60"/>
      </w:pPr>
      <w:r>
        <w:rPr>
          <w:rFonts w:ascii="Georgia" w:cs="Georgia" w:eastAsia="Georgia" w:hAnsi="Georgia"/>
          <w:color w:val="1A1A1A"/>
          <w:sz w:val="23"/>
          <w:szCs w:val="23"/>
        </w:rPr>
        <w:t xml:space="preserve">Sarasota County — Sarasota, Venice, North Port, Osprey</w:t>
      </w:r>
    </w:p>
    <w:p>
      <w:pPr>
        <w:pStyle w:val="ListParagraph"/>
        <w:numPr>
          <w:ilvl w:val="0"/>
          <w:numId w:val="2"/>
        </w:numPr>
        <w:spacing w:after="60" w:before="60"/>
      </w:pPr>
      <w:r>
        <w:rPr>
          <w:rFonts w:ascii="Georgia" w:cs="Georgia" w:eastAsia="Georgia" w:hAnsi="Georgia"/>
          <w:color w:val="1A1A1A"/>
          <w:sz w:val="23"/>
          <w:szCs w:val="23"/>
        </w:rPr>
        <w:t xml:space="preserve">Polk County — Lakeland, Winter Haven, Bartow, Auburndale</w:t>
      </w:r>
    </w:p>
    <w:p>
      <w:pPr>
        <w:pStyle w:val="ListParagraph"/>
        <w:numPr>
          <w:ilvl w:val="0"/>
          <w:numId w:val="2"/>
        </w:numPr>
        <w:spacing w:after="60" w:before="60"/>
      </w:pPr>
      <w:r>
        <w:rPr>
          <w:rFonts w:ascii="Georgia" w:cs="Georgia" w:eastAsia="Georgia" w:hAnsi="Georgia"/>
          <w:color w:val="1A1A1A"/>
          <w:sz w:val="23"/>
          <w:szCs w:val="23"/>
        </w:rPr>
        <w:t xml:space="preserve">Citrus County — Crystal River, Inverness, Homosassa</w:t>
      </w:r>
    </w:p>
    <w:p>
      <w:pPr>
        <w:spacing w:after="80" w:before="240"/>
      </w:pPr>
      <w:r>
        <w:rPr>
          <w:rFonts w:ascii="Arial" w:cs="Arial" w:eastAsia="Arial" w:hAnsi="Arial"/>
          <w:b/>
          <w:bCs/>
          <w:color w:val="1B4F9C"/>
          <w:sz w:val="26"/>
          <w:szCs w:val="26"/>
        </w:rPr>
        <w:t xml:space="preserve">Statewide Capability</w:t>
      </w:r>
    </w:p>
    <w:p>
      <w:pPr>
        <w:spacing w:after="160" w:before="0"/>
      </w:pPr>
      <w:r>
        <w:rPr>
          <w:rFonts w:ascii="Georgia" w:cs="Georgia" w:eastAsia="Georgia" w:hAnsi="Georgia"/>
          <w:b w:val="false"/>
          <w:bCs w:val="false"/>
          <w:i w:val="false"/>
          <w:iCs w:val="false"/>
          <w:color w:val="1A1A1A"/>
          <w:sz w:val="23"/>
          <w:szCs w:val="23"/>
        </w:rPr>
        <w:t xml:space="preserve">For larger commercial, industrial, and institutional projects, we serve clients throughout Florida — from Pensacola to Key West, from Jacksonville to Naples.</w:t>
      </w:r>
    </w:p>
    <w:p>
      <w:pPr>
        <w:pBdr>
          <w:left w:val="single" w:color="2E7D32" w:sz="16" w:space="12"/>
        </w:pBdr>
        <w:shd w:fill="E8F5E9" w:val="clear"/>
        <w:spacing w:after="180" w:before="180"/>
      </w:pPr>
      <w:r>
        <w:rPr>
          <w:rFonts w:ascii="Arial" w:cs="Arial" w:eastAsia="Arial" w:hAnsi="Arial"/>
          <w:b/>
          <w:bCs/>
          <w:color w:val="2E7D32"/>
          <w:sz w:val="21"/>
          <w:szCs w:val="21"/>
        </w:rPr>
        <w:t xml:space="preserve">Request a Consultation →  </w:t>
      </w:r>
      <w:r>
        <w:rPr>
          <w:rFonts w:ascii="Georgia" w:cs="Georgia" w:eastAsia="Georgia" w:hAnsi="Georgia"/>
          <w:color w:val="333333"/>
          <w:sz w:val="21"/>
          <w:szCs w:val="21"/>
        </w:rPr>
        <w:t xml:space="preserve">Whatever your project, whatever your county — call Keentel General Contractors at 813-395-0000 or visit keentelgeneralcontractors.com/contact. We'll tell you quickly whether we're the right fit, and if we are, we'll show you exactly what working with us looks like.</w:t>
      </w:r>
    </w:p>
    <w:p>
      <w:pPr>
        <w:pBdr>
          <w:bottom w:val="single" w:color="E0E0E0" w:sz="2" w:space="1"/>
        </w:pBdr>
        <w:spacing w:after="280" w:before="280"/>
      </w:pPr>
    </w:p>
    <w:p>
      <w:pPr>
        <w:pBdr>
          <w:bottom w:val="single" w:color="5A1FBE" w:sz="4" w:space="6"/>
        </w:pBdr>
        <w:spacing w:after="120" w:before="360"/>
      </w:pPr>
      <w:r>
        <w:rPr>
          <w:rFonts w:ascii="Arial" w:cs="Arial" w:eastAsia="Arial" w:hAnsi="Arial"/>
          <w:b/>
          <w:bCs/>
          <w:color w:val="0A2463"/>
          <w:sz w:val="32"/>
          <w:szCs w:val="32"/>
        </w:rPr>
        <w:t xml:space="preserve">Frequently Asked Questions</w:t>
      </w:r>
    </w:p>
    <w:p>
      <w:pPr>
        <w:spacing w:after="40" w:before="180"/>
      </w:pPr>
      <w:r>
        <w:rPr>
          <w:rFonts w:ascii="Arial" w:cs="Arial" w:eastAsia="Arial" w:hAnsi="Arial"/>
          <w:b/>
          <w:bCs/>
          <w:color w:val="5A1FBE"/>
          <w:sz w:val="23"/>
          <w:szCs w:val="23"/>
        </w:rPr>
        <w:t xml:space="preserve">Q: What licenses does a Florida general contractor need?</w:t>
      </w:r>
    </w:p>
    <w:p>
      <w:pPr>
        <w:spacing w:after="140" w:before="0"/>
      </w:pPr>
      <w:r>
        <w:rPr>
          <w:rFonts w:ascii="Georgia" w:cs="Georgia" w:eastAsia="Georgia" w:hAnsi="Georgia"/>
          <w:color w:val="222222"/>
          <w:sz w:val="23"/>
          <w:szCs w:val="23"/>
        </w:rPr>
        <w:t xml:space="preserve">A: A Florida Certified General Contractor license issued by the Department of Business and Professional Regulation (DBPR) is required for commercial construction. Specialty trades — electrical, plumbing, mechanical — require their own licenses. Verify any Florida contractor license at myfloridalicense.com before signing a contract.</w:t>
      </w:r>
    </w:p>
    <w:p>
      <w:pPr>
        <w:spacing w:after="40" w:before="180"/>
      </w:pPr>
      <w:r>
        <w:rPr>
          <w:rFonts w:ascii="Arial" w:cs="Arial" w:eastAsia="Arial" w:hAnsi="Arial"/>
          <w:b/>
          <w:bCs/>
          <w:color w:val="5A1FBE"/>
          <w:sz w:val="23"/>
          <w:szCs w:val="23"/>
        </w:rPr>
        <w:t xml:space="preserve">Q: Is Florida Building Code more strict than other states?</w:t>
      </w:r>
    </w:p>
    <w:p>
      <w:pPr>
        <w:spacing w:after="140" w:before="0"/>
      </w:pPr>
      <w:r>
        <w:rPr>
          <w:rFonts w:ascii="Georgia" w:cs="Georgia" w:eastAsia="Georgia" w:hAnsi="Georgia"/>
          <w:color w:val="222222"/>
          <w:sz w:val="23"/>
          <w:szCs w:val="23"/>
        </w:rPr>
        <w:t xml:space="preserve">A: Yes — particularly for wind resistance and energy efficiency. Florida's hurricane exposure has driven the development of one of the most comprehensive building codes in the US. Miami-Dade and Broward counties have additional HVHZ requirements that exceed the base state code. These requirements add cost but produce genuinely more resilient buildings.</w:t>
      </w:r>
    </w:p>
    <w:p>
      <w:pPr>
        <w:spacing w:after="40" w:before="180"/>
      </w:pPr>
      <w:r>
        <w:rPr>
          <w:rFonts w:ascii="Arial" w:cs="Arial" w:eastAsia="Arial" w:hAnsi="Arial"/>
          <w:b/>
          <w:bCs/>
          <w:color w:val="5A1FBE"/>
          <w:sz w:val="23"/>
          <w:szCs w:val="23"/>
        </w:rPr>
        <w:t xml:space="preserve">Q: How long does commercial construction take in Florida?</w:t>
      </w:r>
    </w:p>
    <w:p>
      <w:pPr>
        <w:spacing w:after="140" w:before="0"/>
      </w:pPr>
      <w:r>
        <w:rPr>
          <w:rFonts w:ascii="Georgia" w:cs="Georgia" w:eastAsia="Georgia" w:hAnsi="Georgia"/>
          <w:color w:val="222222"/>
          <w:sz w:val="23"/>
          <w:szCs w:val="23"/>
        </w:rPr>
        <w:t xml:space="preserve">A: Small tenant improvements: 8–18 weeks total including permitting. Mid-size office or retail renovation: 4–8 months. Ground-up commercial building: 12–24+ months. Restaurant construction: 5–9 months. Industrial/warehouse: 9–18 months. The largest variable is local permitting timelines, which range from 3 weeks to 5+ months depending on jurisdiction and project complexity.</w:t>
      </w:r>
    </w:p>
    <w:p>
      <w:pPr>
        <w:spacing w:after="40" w:before="180"/>
      </w:pPr>
      <w:r>
        <w:rPr>
          <w:rFonts w:ascii="Arial" w:cs="Arial" w:eastAsia="Arial" w:hAnsi="Arial"/>
          <w:b/>
          <w:bCs/>
          <w:color w:val="5A1FBE"/>
          <w:sz w:val="23"/>
          <w:szCs w:val="23"/>
        </w:rPr>
        <w:t xml:space="preserve">Q: What is the difference between a tenant improvement and new construction?</w:t>
      </w:r>
    </w:p>
    <w:p>
      <w:pPr>
        <w:spacing w:after="140" w:before="0"/>
      </w:pPr>
      <w:r>
        <w:rPr>
          <w:rFonts w:ascii="Georgia" w:cs="Georgia" w:eastAsia="Georgia" w:hAnsi="Georgia"/>
          <w:color w:val="222222"/>
          <w:sz w:val="23"/>
          <w:szCs w:val="23"/>
        </w:rPr>
        <w:t xml:space="preserve">A: Tenant improvements (TIs) are renovations made to an existing leased commercial space — typically with landlord contribution and negotiated as part of the lease. New construction is a ground-up build on a site. Both involve similar construction work and require permits. The key differences are the existing structure (TI works within it, new construction doesn't), the funding structure, and the permitting pathway.</w:t>
      </w:r>
    </w:p>
    <w:p>
      <w:pPr>
        <w:spacing w:after="40" w:before="180"/>
      </w:pPr>
      <w:r>
        <w:rPr>
          <w:rFonts w:ascii="Arial" w:cs="Arial" w:eastAsia="Arial" w:hAnsi="Arial"/>
          <w:b/>
          <w:bCs/>
          <w:color w:val="5A1FBE"/>
          <w:sz w:val="23"/>
          <w:szCs w:val="23"/>
        </w:rPr>
        <w:t xml:space="preserve">Q: Do I need a geotechnical investigation for my Florida commercial project?</w:t>
      </w:r>
    </w:p>
    <w:p>
      <w:pPr>
        <w:spacing w:after="140" w:before="0"/>
      </w:pPr>
      <w:r>
        <w:rPr>
          <w:rFonts w:ascii="Georgia" w:cs="Georgia" w:eastAsia="Georgia" w:hAnsi="Georgia"/>
          <w:color w:val="222222"/>
          <w:sz w:val="23"/>
          <w:szCs w:val="23"/>
        </w:rPr>
        <w:t xml:space="preserve">A: For any ground-up construction or significant addition in Florida, yes. Florida's variable soil conditions, high water table, and karst geology in many areas make geotechnical investigation essential for foundation design. Projects that skip this step frequently encounter expensive foundation surprises during construction. The cost of a geo-tech report — typically $5,000–$25,000 — is a fraction of the change order it prevents.</w:t>
      </w:r>
    </w:p>
    <w:p>
      <w:pPr>
        <w:spacing w:after="40" w:before="180"/>
      </w:pPr>
      <w:r>
        <w:rPr>
          <w:rFonts w:ascii="Arial" w:cs="Arial" w:eastAsia="Arial" w:hAnsi="Arial"/>
          <w:b/>
          <w:bCs/>
          <w:color w:val="5A1FBE"/>
          <w:sz w:val="23"/>
          <w:szCs w:val="23"/>
        </w:rPr>
        <w:t xml:space="preserve">Q: What is a Certificate of Occupancy and when do I get one?</w:t>
      </w:r>
    </w:p>
    <w:p>
      <w:pPr>
        <w:spacing w:after="140" w:before="0"/>
      </w:pPr>
      <w:r>
        <w:rPr>
          <w:rFonts w:ascii="Georgia" w:cs="Georgia" w:eastAsia="Georgia" w:hAnsi="Georgia"/>
          <w:color w:val="222222"/>
          <w:sz w:val="23"/>
          <w:szCs w:val="23"/>
        </w:rPr>
        <w:t xml:space="preserve">A: A Certificate of Occupancy (CO) is issued by the local building department after all final inspections pass. It certifies that the building complies with the approved plans and is safe for occupancy. You cannot legally occupy a commercial building in Florida without a CO. Typical CO issuance after final inspection approval: 1–5 business days in most Florida jurisdictions.</w:t>
      </w:r>
    </w:p>
    <w:p>
      <w:pPr>
        <w:spacing w:after="40" w:before="180"/>
      </w:pPr>
      <w:r>
        <w:rPr>
          <w:rFonts w:ascii="Arial" w:cs="Arial" w:eastAsia="Arial" w:hAnsi="Arial"/>
          <w:b/>
          <w:bCs/>
          <w:color w:val="5A1FBE"/>
          <w:sz w:val="23"/>
          <w:szCs w:val="23"/>
        </w:rPr>
        <w:t xml:space="preserve">Q: Can Keentel General Contractors manage a project outside Tampa Bay?</w:t>
      </w:r>
    </w:p>
    <w:p>
      <w:pPr>
        <w:spacing w:after="140" w:before="0"/>
      </w:pPr>
      <w:r>
        <w:rPr>
          <w:rFonts w:ascii="Georgia" w:cs="Georgia" w:eastAsia="Georgia" w:hAnsi="Georgia"/>
          <w:color w:val="222222"/>
          <w:sz w:val="23"/>
          <w:szCs w:val="23"/>
        </w:rPr>
        <w:t xml:space="preserve">A: Yes. While our primary market is the Tampa Bay region — Hillsborough, Pinellas, Pasco, Hernando, Manatee, Sarasota, Polk, and Citrus counties — we deliver commercial, industrial, and institutional projects throughout Florida. Contact us at 813-395-0000 to discuss your project location and scope.</w:t>
      </w:r>
    </w:p>
    <w:p>
      <w:pPr>
        <w:spacing w:after="40" w:before="180"/>
      </w:pPr>
      <w:r>
        <w:rPr>
          <w:rFonts w:ascii="Arial" w:cs="Arial" w:eastAsia="Arial" w:hAnsi="Arial"/>
          <w:b/>
          <w:bCs/>
          <w:color w:val="5A1FBE"/>
          <w:sz w:val="23"/>
          <w:szCs w:val="23"/>
        </w:rPr>
        <w:t xml:space="preserve">Q: What's the best time of year to start commercial construction in Florida?</w:t>
      </w:r>
    </w:p>
    <w:p>
      <w:pPr>
        <w:spacing w:after="140" w:before="0"/>
      </w:pPr>
      <w:r>
        <w:rPr>
          <w:rFonts w:ascii="Georgia" w:cs="Georgia" w:eastAsia="Georgia" w:hAnsi="Georgia"/>
          <w:color w:val="222222"/>
          <w:sz w:val="23"/>
          <w:szCs w:val="23"/>
        </w:rPr>
        <w:t xml:space="preserve">A: Starting in October through February avoids the peak of Florida's rainy season (June–September) for early site work and foundation phases. However, well-planned construction proceeds year-round in Florida — storm season contingency is built into professional schedules. The more important timing factor is permitting: the sooner you submit, the sooner you can build, regardless of season.</w:t>
      </w:r>
    </w:p>
    <w:p>
      <w:pPr>
        <w:spacing w:after="40" w:before="180"/>
      </w:pPr>
      <w:r>
        <w:rPr>
          <w:rFonts w:ascii="Arial" w:cs="Arial" w:eastAsia="Arial" w:hAnsi="Arial"/>
          <w:b/>
          <w:bCs/>
          <w:color w:val="5A1FBE"/>
          <w:sz w:val="23"/>
          <w:szCs w:val="23"/>
        </w:rPr>
        <w:t xml:space="preserve">Q: How do I verify that a Florida contractor is properly licensed?</w:t>
      </w:r>
    </w:p>
    <w:p>
      <w:pPr>
        <w:spacing w:after="140" w:before="0"/>
      </w:pPr>
      <w:r>
        <w:rPr>
          <w:rFonts w:ascii="Georgia" w:cs="Georgia" w:eastAsia="Georgia" w:hAnsi="Georgia"/>
          <w:color w:val="222222"/>
          <w:sz w:val="23"/>
          <w:szCs w:val="23"/>
        </w:rPr>
        <w:t xml:space="preserve">A: Visit myfloridalicense.com and search by contractor name or license number. Verify that the license is active, not expired or under disciplinary action, and covers the scope of work you're hiring for. Do this before signing any contract. A licensed contractor provides their license number willingly and without hesitation.</w:t>
      </w:r>
    </w:p>
    <w:p>
      <w:pPr>
        <w:spacing w:after="40" w:before="180"/>
      </w:pPr>
      <w:r>
        <w:rPr>
          <w:rFonts w:ascii="Arial" w:cs="Arial" w:eastAsia="Arial" w:hAnsi="Arial"/>
          <w:b/>
          <w:bCs/>
          <w:color w:val="5A1FBE"/>
          <w:sz w:val="23"/>
          <w:szCs w:val="23"/>
        </w:rPr>
        <w:t xml:space="preserve">Q: What's the difference between a general contractor and a construction manager in Florida?</w:t>
      </w:r>
    </w:p>
    <w:p>
      <w:pPr>
        <w:spacing w:after="140" w:before="0"/>
      </w:pPr>
      <w:r>
        <w:rPr>
          <w:rFonts w:ascii="Georgia" w:cs="Georgia" w:eastAsia="Georgia" w:hAnsi="Georgia"/>
          <w:color w:val="222222"/>
          <w:sz w:val="23"/>
          <w:szCs w:val="23"/>
        </w:rPr>
        <w:t xml:space="preserve">A: A general contractor holds the construction contracts directly, takes on contractual risk for the build, and typically provides a lump sum or GMP price. A construction manager (CM) acts as the owner's agent, may not hold contracts directly, and charges a management fee. Both provide project management. GCs are more common for private commercial projects; CM arrangements are common on large public or institutional projects.</w:t>
      </w:r>
    </w:p>
    <w:p>
      <w:pPr>
        <w:pBdr>
          <w:bottom w:val="single" w:color="E0E0E0" w:sz="2" w:space="1"/>
        </w:pBdr>
        <w:spacing w:after="28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8631A"/>
                <w:sz w:val="20"/>
                <w:szCs w:val="20"/>
              </w:rPr>
              <w:t xml:space="preserve">🔗  Internal Links — All Live URLs from Sitemap</w:t>
            </w:r>
          </w:p>
          <w:p>
            <w:pPr>
              <w:spacing w:after="60" w:before="0"/>
            </w:pPr>
            <w:r>
              <w:rPr>
                <w:rFonts w:ascii="Arial" w:cs="Arial" w:eastAsia="Arial" w:hAnsi="Arial"/>
                <w:b/>
                <w:bCs/>
                <w:color w:val="0A2463"/>
                <w:sz w:val="18"/>
                <w:szCs w:val="18"/>
              </w:rPr>
              <w:t xml:space="preserve">SERVICE PAGES</w:t>
            </w:r>
          </w:p>
          <w:p>
            <w:pPr>
              <w:spacing w:after="20" w:before="0"/>
            </w:pPr>
            <w:r>
              <w:rPr>
                <w:rFonts w:ascii="Arial" w:cs="Arial" w:eastAsia="Arial" w:hAnsi="Arial"/>
                <w:color w:val="1B4F9C"/>
                <w:sz w:val="19"/>
                <w:szCs w:val="19"/>
              </w:rPr>
              <w:t xml:space="preserve">"Pre-Construction Services"  →  keentelgeneralcontractors.com/services/pre-construction</w:t>
            </w:r>
          </w:p>
          <w:p>
            <w:pPr>
              <w:spacing w:after="20" w:before="0"/>
            </w:pPr>
            <w:r>
              <w:rPr>
                <w:rFonts w:ascii="Arial" w:cs="Arial" w:eastAsia="Arial" w:hAnsi="Arial"/>
                <w:color w:val="1B4F9C"/>
                <w:sz w:val="19"/>
                <w:szCs w:val="19"/>
              </w:rPr>
              <w:t xml:space="preserve">"Design-Build Services"  →  keentelgeneralcontractors.com/services/design-build</w:t>
            </w:r>
          </w:p>
          <w:p>
            <w:pPr>
              <w:spacing w:after="20" w:before="0"/>
            </w:pPr>
            <w:r>
              <w:rPr>
                <w:rFonts w:ascii="Arial" w:cs="Arial" w:eastAsia="Arial" w:hAnsi="Arial"/>
                <w:color w:val="1B4F9C"/>
                <w:sz w:val="19"/>
                <w:szCs w:val="19"/>
              </w:rPr>
              <w:t xml:space="preserve">"General Construction"  →  keentelgeneralcontractors.com/services/general-construction</w:t>
            </w:r>
          </w:p>
          <w:p>
            <w:pPr>
              <w:spacing w:after="20" w:before="0"/>
            </w:pPr>
            <w:r>
              <w:rPr>
                <w:rFonts w:ascii="Arial" w:cs="Arial" w:eastAsia="Arial" w:hAnsi="Arial"/>
                <w:color w:val="1B4F9C"/>
                <w:sz w:val="19"/>
                <w:szCs w:val="19"/>
              </w:rPr>
              <w:t xml:space="preserve">"Commercial Remodeling"  →  keentelgeneralcontractors.com/services/commercial-remodeling</w:t>
            </w:r>
          </w:p>
          <w:p>
            <w:pPr>
              <w:spacing w:after="20" w:before="0"/>
            </w:pPr>
            <w:r>
              <w:rPr>
                <w:rFonts w:ascii="Arial" w:cs="Arial" w:eastAsia="Arial" w:hAnsi="Arial"/>
                <w:color w:val="1B4F9C"/>
                <w:sz w:val="19"/>
                <w:szCs w:val="19"/>
              </w:rPr>
              <w:t xml:space="preserve">"Residential Remodeling"  →  keentelgeneralcontractors.com/services/residential-remodeling</w:t>
            </w:r>
          </w:p>
          <w:p>
            <w:pPr>
              <w:spacing w:after="20" w:before="0"/>
            </w:pPr>
            <w:r>
              <w:rPr>
                <w:rFonts w:ascii="Arial" w:cs="Arial" w:eastAsia="Arial" w:hAnsi="Arial"/>
                <w:color w:val="1B4F9C"/>
                <w:sz w:val="19"/>
                <w:szCs w:val="19"/>
              </w:rPr>
              <w:t xml:space="preserve">"Emergency Restoration"  →  keentelgeneralcontractors.com/services/emergency-restoration</w:t>
            </w:r>
          </w:p>
          <w:p>
            <w:pPr>
              <w:spacing w:after="20" w:before="0"/>
            </w:pPr>
            <w:r>
              <w:rPr>
                <w:rFonts w:ascii="Arial" w:cs="Arial" w:eastAsia="Arial" w:hAnsi="Arial"/>
                <w:color w:val="1B4F9C"/>
                <w:sz w:val="19"/>
                <w:szCs w:val="19"/>
              </w:rPr>
              <w:t xml:space="preserve">"Electrical Contracting"  →  keentelgeneralcontractors.com/services/electrical-contracting</w:t>
            </w:r>
          </w:p>
          <w:p>
            <w:pPr>
              <w:spacing w:after="20" w:before="0"/>
            </w:pPr>
            <w:r>
              <w:rPr>
                <w:rFonts w:ascii="Arial" w:cs="Arial" w:eastAsia="Arial" w:hAnsi="Arial"/>
                <w:color w:val="1B4F9C"/>
                <w:sz w:val="19"/>
                <w:szCs w:val="19"/>
              </w:rPr>
              <w:t xml:space="preserve">"All Services"  →  keentelgeneralcontractors.com/services</w:t>
            </w:r>
          </w:p>
          <w:p>
            <w:pPr>
              <w:spacing w:after="60" w:before="80"/>
            </w:pPr>
            <w:r>
              <w:rPr>
                <w:rFonts w:ascii="Arial" w:cs="Arial" w:eastAsia="Arial" w:hAnsi="Arial"/>
                <w:b/>
                <w:bCs/>
                <w:color w:val="0A2463"/>
                <w:sz w:val="18"/>
                <w:szCs w:val="18"/>
              </w:rPr>
              <w:t xml:space="preserve">SERVICE AREAS</w:t>
            </w:r>
          </w:p>
          <w:p>
            <w:pPr>
              <w:spacing w:after="20" w:before="0"/>
            </w:pPr>
            <w:r>
              <w:rPr>
                <w:rFonts w:ascii="Arial" w:cs="Arial" w:eastAsia="Arial" w:hAnsi="Arial"/>
                <w:color w:val="1B4F9C"/>
                <w:sz w:val="19"/>
                <w:szCs w:val="19"/>
              </w:rPr>
              <w:t xml:space="preserve">"Hillsborough County"  →  keentelgeneralcontractors.com/service-areas/hillsborough</w:t>
            </w:r>
          </w:p>
          <w:p>
            <w:pPr>
              <w:spacing w:after="20" w:before="0"/>
            </w:pPr>
            <w:r>
              <w:rPr>
                <w:rFonts w:ascii="Arial" w:cs="Arial" w:eastAsia="Arial" w:hAnsi="Arial"/>
                <w:color w:val="1B4F9C"/>
                <w:sz w:val="19"/>
                <w:szCs w:val="19"/>
              </w:rPr>
              <w:t xml:space="preserve">"Pinellas County"  →  keentelgeneralcontractors.com/service-areas/pinellas</w:t>
            </w:r>
          </w:p>
          <w:p>
            <w:pPr>
              <w:spacing w:after="20" w:before="0"/>
            </w:pPr>
            <w:r>
              <w:rPr>
                <w:rFonts w:ascii="Arial" w:cs="Arial" w:eastAsia="Arial" w:hAnsi="Arial"/>
                <w:color w:val="1B4F9C"/>
                <w:sz w:val="19"/>
                <w:szCs w:val="19"/>
              </w:rPr>
              <w:t xml:space="preserve">"Pasco County"  →  keentelgeneralcontractors.com/service-areas/pasco</w:t>
            </w:r>
          </w:p>
          <w:p>
            <w:pPr>
              <w:spacing w:after="20" w:before="0"/>
            </w:pPr>
            <w:r>
              <w:rPr>
                <w:rFonts w:ascii="Arial" w:cs="Arial" w:eastAsia="Arial" w:hAnsi="Arial"/>
                <w:color w:val="1B4F9C"/>
                <w:sz w:val="19"/>
                <w:szCs w:val="19"/>
              </w:rPr>
              <w:t xml:space="preserve">"Hernando County"  →  keentelgeneralcontractors.com/service-areas/hernando</w:t>
            </w:r>
          </w:p>
          <w:p>
            <w:pPr>
              <w:spacing w:after="20" w:before="0"/>
            </w:pPr>
            <w:r>
              <w:rPr>
                <w:rFonts w:ascii="Arial" w:cs="Arial" w:eastAsia="Arial" w:hAnsi="Arial"/>
                <w:color w:val="1B4F9C"/>
                <w:sz w:val="19"/>
                <w:szCs w:val="19"/>
              </w:rPr>
              <w:t xml:space="preserve">"Manatee County"  →  keentelgeneralcontractors.com/service-areas/manatee</w:t>
            </w:r>
          </w:p>
          <w:p>
            <w:pPr>
              <w:spacing w:after="20" w:before="0"/>
            </w:pPr>
            <w:r>
              <w:rPr>
                <w:rFonts w:ascii="Arial" w:cs="Arial" w:eastAsia="Arial" w:hAnsi="Arial"/>
                <w:color w:val="1B4F9C"/>
                <w:sz w:val="19"/>
                <w:szCs w:val="19"/>
              </w:rPr>
              <w:t xml:space="preserve">"Sarasota County"  →  keentelgeneralcontractors.com/service-areas/sarasota</w:t>
            </w:r>
          </w:p>
          <w:p>
            <w:pPr>
              <w:spacing w:after="20" w:before="0"/>
            </w:pPr>
            <w:r>
              <w:rPr>
                <w:rFonts w:ascii="Arial" w:cs="Arial" w:eastAsia="Arial" w:hAnsi="Arial"/>
                <w:color w:val="1B4F9C"/>
                <w:sz w:val="19"/>
                <w:szCs w:val="19"/>
              </w:rPr>
              <w:t xml:space="preserve">"Polk County"  →  keentelgeneralcontractors.com/service-areas/polk</w:t>
            </w:r>
          </w:p>
          <w:p>
            <w:pPr>
              <w:spacing w:after="20" w:before="0"/>
            </w:pPr>
            <w:r>
              <w:rPr>
                <w:rFonts w:ascii="Arial" w:cs="Arial" w:eastAsia="Arial" w:hAnsi="Arial"/>
                <w:color w:val="1B4F9C"/>
                <w:sz w:val="19"/>
                <w:szCs w:val="19"/>
              </w:rPr>
              <w:t xml:space="preserve">"Citrus County"  →  keentelgeneralcontractors.com/service-areas/citrus</w:t>
            </w:r>
          </w:p>
          <w:p>
            <w:pPr>
              <w:spacing w:after="20" w:before="0"/>
            </w:pPr>
            <w:r>
              <w:rPr>
                <w:rFonts w:ascii="Arial" w:cs="Arial" w:eastAsia="Arial" w:hAnsi="Arial"/>
                <w:color w:val="1B4F9C"/>
                <w:sz w:val="19"/>
                <w:szCs w:val="19"/>
              </w:rPr>
              <w:t xml:space="preserve">"Tampa"  →  keentelgeneralcontractors.com/service-areas/tampa</w:t>
            </w:r>
          </w:p>
          <w:p>
            <w:pPr>
              <w:spacing w:after="20" w:before="0"/>
            </w:pPr>
            <w:r>
              <w:rPr>
                <w:rFonts w:ascii="Arial" w:cs="Arial" w:eastAsia="Arial" w:hAnsi="Arial"/>
                <w:color w:val="1B4F9C"/>
                <w:sz w:val="19"/>
                <w:szCs w:val="19"/>
              </w:rPr>
              <w:t xml:space="preserve">"All Service Areas"  →  keentelgeneralcontractors.com/service-areas</w:t>
            </w:r>
          </w:p>
          <w:p>
            <w:pPr>
              <w:spacing w:after="60" w:before="80"/>
            </w:pPr>
            <w:r>
              <w:rPr>
                <w:rFonts w:ascii="Arial" w:cs="Arial" w:eastAsia="Arial" w:hAnsi="Arial"/>
                <w:b/>
                <w:bCs/>
                <w:color w:val="0A2463"/>
                <w:sz w:val="18"/>
                <w:szCs w:val="18"/>
              </w:rPr>
              <w:t xml:space="preserve">BLOG CROSS-LINKS</w:t>
            </w:r>
          </w:p>
          <w:p>
            <w:pPr>
              <w:spacing w:after="20" w:before="0"/>
            </w:pPr>
            <w:r>
              <w:rPr>
                <w:rFonts w:ascii="Arial" w:cs="Arial" w:eastAsia="Arial" w:hAnsi="Arial"/>
                <w:color w:val="1B4F9C"/>
                <w:sz w:val="19"/>
                <w:szCs w:val="19"/>
              </w:rPr>
              <w:t xml:space="preserve">"How to Choose the Right General Contractor in Florida"  →  keentelgeneralcontractors.com/blog/how-to-choose-right-general-contractor-florida</w:t>
            </w:r>
          </w:p>
          <w:p>
            <w:pPr>
              <w:spacing w:after="20" w:before="0"/>
            </w:pPr>
            <w:r>
              <w:rPr>
                <w:rFonts w:ascii="Arial" w:cs="Arial" w:eastAsia="Arial" w:hAnsi="Arial"/>
                <w:color w:val="1B4F9C"/>
                <w:sz w:val="19"/>
                <w:szCs w:val="19"/>
              </w:rPr>
              <w:t xml:space="preserve">"Design-Build vs Traditional Construction"  →  keentelgeneralcontractors.com/blog/design-build-vs-traditional-construction</w:t>
            </w:r>
          </w:p>
          <w:p>
            <w:pPr>
              <w:spacing w:after="20" w:before="0"/>
            </w:pPr>
            <w:r>
              <w:rPr>
                <w:rFonts w:ascii="Arial" w:cs="Arial" w:eastAsia="Arial" w:hAnsi="Arial"/>
                <w:color w:val="1B4F9C"/>
                <w:sz w:val="19"/>
                <w:szCs w:val="19"/>
              </w:rPr>
              <w:t xml:space="preserve">"Commercial Construction Costs in Florida"  →  keentelgeneralcontractors.com/blog/commercial-construction-costs-florida</w:t>
            </w:r>
          </w:p>
          <w:p>
            <w:pPr>
              <w:spacing w:after="20" w:before="0"/>
            </w:pPr>
            <w:r>
              <w:rPr>
                <w:rFonts w:ascii="Arial" w:cs="Arial" w:eastAsia="Arial" w:hAnsi="Arial"/>
                <w:color w:val="1B4F9C"/>
                <w:sz w:val="19"/>
                <w:szCs w:val="19"/>
              </w:rPr>
              <w:t xml:space="preserve">"Pre-Construction Planning: Why It Matters"  →  keentelgeneralcontractors.com/blog/pre-construction-planning</w:t>
            </w:r>
          </w:p>
          <w:p>
            <w:pPr>
              <w:spacing w:after="20" w:before="0"/>
            </w:pPr>
            <w:r>
              <w:rPr>
                <w:rFonts w:ascii="Arial" w:cs="Arial" w:eastAsia="Arial" w:hAnsi="Arial"/>
                <w:color w:val="1B4F9C"/>
                <w:sz w:val="19"/>
                <w:szCs w:val="19"/>
              </w:rPr>
              <w:t xml:space="preserve">"What to Expect During Commercial Construction"  →  keentelgeneralcontractors.com/blog/what-to-expect-during-a-commercial-construction-project</w:t>
            </w:r>
          </w:p>
          <w:p>
            <w:pPr>
              <w:spacing w:after="20" w:before="0"/>
            </w:pPr>
            <w:r>
              <w:rPr>
                <w:rFonts w:ascii="Arial" w:cs="Arial" w:eastAsia="Arial" w:hAnsi="Arial"/>
                <w:color w:val="1B4F9C"/>
                <w:sz w:val="19"/>
                <w:szCs w:val="19"/>
              </w:rPr>
              <w:t xml:space="preserve">"Commercial Remodeling: When to Renovate"  →  keentelgeneralcontractors.com/blog/commercial-remodeling-when-to-renovate</w:t>
            </w:r>
          </w:p>
          <w:p>
            <w:pPr>
              <w:spacing w:after="60" w:before="80"/>
            </w:pPr>
            <w:r>
              <w:rPr>
                <w:rFonts w:ascii="Arial" w:cs="Arial" w:eastAsia="Arial" w:hAnsi="Arial"/>
                <w:b/>
                <w:bCs/>
                <w:color w:val="0A2463"/>
                <w:sz w:val="18"/>
                <w:szCs w:val="18"/>
              </w:rPr>
              <w:t xml:space="preserve">OTHER PAGES</w:t>
            </w:r>
          </w:p>
          <w:p>
            <w:pPr>
              <w:spacing w:after="20" w:before="0"/>
            </w:pPr>
            <w:r>
              <w:rPr>
                <w:rFonts w:ascii="Arial" w:cs="Arial" w:eastAsia="Arial" w:hAnsi="Arial"/>
                <w:color w:val="1B4F9C"/>
                <w:sz w:val="19"/>
                <w:szCs w:val="19"/>
              </w:rPr>
              <w:t xml:space="preserve">"About Keentel General Contractors"  →  keentelgeneralcontractors.com/about</w:t>
            </w:r>
          </w:p>
          <w:p>
            <w:pPr>
              <w:spacing w:after="20" w:before="0"/>
            </w:pPr>
            <w:r>
              <w:rPr>
                <w:rFonts w:ascii="Arial" w:cs="Arial" w:eastAsia="Arial" w:hAnsi="Arial"/>
                <w:color w:val="1B4F9C"/>
                <w:sz w:val="19"/>
                <w:szCs w:val="19"/>
              </w:rPr>
              <w:t xml:space="preserve">"Our Projects"  →  keentelgeneralcontractors.com/projects</w:t>
            </w:r>
          </w:p>
          <w:p>
            <w:pPr>
              <w:spacing w:after="20" w:before="0"/>
            </w:pPr>
            <w:r>
              <w:rPr>
                <w:rFonts w:ascii="Arial" w:cs="Arial" w:eastAsia="Arial" w:hAnsi="Arial"/>
                <w:color w:val="1B4F9C"/>
                <w:sz w:val="19"/>
                <w:szCs w:val="19"/>
              </w:rPr>
              <w:t xml:space="preserve">"Industries We Serve"  →  keentelgeneralcontractors.com/industries</w:t>
            </w:r>
          </w:p>
          <w:p>
            <w:pPr>
              <w:spacing w:after="20" w:before="0"/>
            </w:pPr>
            <w:r>
              <w:rPr>
                <w:rFonts w:ascii="Arial" w:cs="Arial" w:eastAsia="Arial" w:hAnsi="Arial"/>
                <w:color w:val="1B4F9C"/>
                <w:sz w:val="19"/>
                <w:szCs w:val="19"/>
              </w:rPr>
              <w:t xml:space="preserve">"Contact Us"  →  keentelgeneralcontractors.com/contact</w:t>
            </w:r>
          </w:p>
          <w:p>
            <w:pPr>
              <w:spacing w:after="20" w:before="0"/>
            </w:pPr>
            <w:r>
              <w:rPr>
                <w:rFonts w:ascii="Arial" w:cs="Arial" w:eastAsia="Arial" w:hAnsi="Arial"/>
                <w:color w:val="1B4F9C"/>
                <w:sz w:val="19"/>
                <w:szCs w:val="19"/>
              </w:rPr>
              <w:t xml:space="preserve">"FAQ"  →  keentelgeneralcontractors.com/faq</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A" w:val="clear"/>
            <w:tcMar>
              <w:top w:type="dxa" w:w="160"/>
              <w:left w:type="dxa" w:w="240"/>
              <w:bottom w:type="dxa" w:w="160"/>
              <w:right w:type="dxa" w:w="240"/>
            </w:tcMar>
          </w:tcPr>
          <w:p>
            <w:pPr>
              <w:spacing w:after="60" w:before="0"/>
            </w:pPr>
            <w:r>
              <w:rPr>
                <w:rFonts w:ascii="Arial" w:cs="Arial" w:eastAsia="Arial" w:hAnsi="Arial"/>
                <w:b/>
                <w:bCs/>
                <w:color w:val="0A2463"/>
                <w:sz w:val="20"/>
                <w:szCs w:val="20"/>
              </w:rPr>
              <w:t xml:space="preserve">About the Author</w:t>
            </w:r>
          </w:p>
          <w:p>
            <w:pPr>
              <w:spacing w:after="40" w:before="0"/>
            </w:pPr>
            <w:r>
              <w:rPr>
                <w:rFonts w:ascii="Arial" w:cs="Arial" w:eastAsia="Arial" w:hAnsi="Arial"/>
                <w:b/>
                <w:bCs/>
                <w:color w:val="1B4F9C"/>
                <w:sz w:val="21"/>
                <w:szCs w:val="21"/>
              </w:rPr>
              <w:t xml:space="preserve">Sonny Patel  |  Keentel General Contractors  |  Tampa Bay, Florida</w:t>
            </w:r>
          </w:p>
          <w:p>
            <w:pPr>
              <w:spacing w:after="0" w:before="0"/>
            </w:pPr>
            <w:r>
              <w:rPr>
                <w:rFonts w:ascii="Georgia" w:cs="Georgia" w:eastAsia="Georgia" w:hAnsi="Georgia"/>
                <w:color w:val="444444"/>
                <w:sz w:val="20"/>
                <w:szCs w:val="20"/>
              </w:rPr>
              <w:t xml:space="preserve">Keentel General Contractors is a full-service general contractor delivering commercial, industrial, institutional, and residential projects across Florida. With 30+ years of construction and engineering experience, we've planned, budgeted, permitted, and built projects in virtually every major Florida market. This guide reflects what we've learned — and what we apply to every project we deliver.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2026-07-31T16:16:26.522Z</dcterms:created>
  <dcterms:modified xsi:type="dcterms:W3CDTF">2026-07-31T16:16:26.533Z</dcterms:modified>
</cp:coreProperties>
</file>

<file path=docProps/custom.xml><?xml version="1.0" encoding="utf-8"?>
<Properties xmlns="http://schemas.openxmlformats.org/officeDocument/2006/custom-properties" xmlns:vt="http://schemas.openxmlformats.org/officeDocument/2006/docPropsVTypes"/>
</file>