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Acme HealthTech – Password Policy</w:t>
      </w:r>
    </w:p>
    <w:p>
      <w:pPr>
        <w:pStyle w:val="Heading1"/>
      </w:pPr>
      <w:r>
        <w:t>1. Purpose</w:t>
      </w:r>
    </w:p>
    <w:p>
      <w:r>
        <w:t>The purpose of this policy is to establish a standard for the creation, protection, and management of passwords to ensure the security of systems and data.</w:t>
      </w:r>
    </w:p>
    <w:p>
      <w:pPr>
        <w:pStyle w:val="Heading1"/>
      </w:pPr>
      <w:r>
        <w:t>2. Scope</w:t>
      </w:r>
    </w:p>
    <w:p>
      <w:r>
        <w:t>This policy applies to all employees, contractors, and third parties who access Acme HealthTech’s information systems.</w:t>
      </w:r>
    </w:p>
    <w:p>
      <w:pPr>
        <w:pStyle w:val="Heading1"/>
      </w:pPr>
      <w:r>
        <w:t>3. Policy</w:t>
      </w:r>
    </w:p>
    <w:p>
      <w:r>
        <w:t>- Passwords must be at least 12 characters long.</w:t>
      </w:r>
    </w:p>
    <w:p>
      <w:r>
        <w:t>- Passwords must include a mix of uppercase, lowercase, numbers, and special characters.</w:t>
      </w:r>
    </w:p>
    <w:p>
      <w:r>
        <w:t>- Passwords must not contain easily guessable info (e.g., name, birthday).</w:t>
      </w:r>
    </w:p>
    <w:p>
      <w:r>
        <w:t>- Passwords must be changed every 90 days.</w:t>
      </w:r>
    </w:p>
    <w:p>
      <w:r>
        <w:t>- Multi-factor authentication (MFA) is required for remote access.</w:t>
      </w:r>
    </w:p>
    <w:p>
      <w:r>
        <w:t>- Passwords must not be reused for at least 5 previous versions.</w:t>
      </w:r>
    </w:p>
    <w:p>
      <w:r>
        <w:t>- Passwords must not be shared under any circumstances.</w:t>
      </w:r>
    </w:p>
    <w:p>
      <w:pPr>
        <w:pStyle w:val="Heading1"/>
      </w:pPr>
      <w:r>
        <w:t>4. Enforcement</w:t>
      </w:r>
    </w:p>
    <w:p>
      <w:r>
        <w:t>Violations may result in disciplinary action, including possible termination or legal action.</w:t>
      </w:r>
    </w:p>
    <w:p>
      <w:pPr>
        <w:pStyle w:val="Heading1"/>
      </w:pPr>
      <w:r>
        <w:t>5. Review</w:t>
      </w:r>
    </w:p>
    <w:p>
      <w:r>
        <w:t>This policy must be reviewed annually or when significant IT changes occur.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