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828D" w14:textId="3A7AC5E0" w:rsidR="006668C5" w:rsidRDefault="00000000">
      <w:pPr>
        <w:pStyle w:val="1"/>
      </w:pPr>
      <w:r>
        <w:t>Forecasting Using Time Series Analysis</w:t>
      </w:r>
    </w:p>
    <w:p w14:paraId="11B02B53" w14:textId="77777777" w:rsidR="006668C5" w:rsidRDefault="00000000">
      <w:r>
        <w:t>R Implementation Report — May 2026</w:t>
      </w:r>
    </w:p>
    <w:p w14:paraId="2E7AC94C" w14:textId="77777777" w:rsidR="006668C5" w:rsidRDefault="00000000">
      <w:r>
        <w:t>Dataset 1 (Task 1): Johnson &amp; Johnson Quarterly EPS (1960–1980)</w:t>
      </w:r>
    </w:p>
    <w:p w14:paraId="378940A7" w14:textId="77777777" w:rsidR="006668C5" w:rsidRDefault="00000000">
      <w:r>
        <w:t xml:space="preserve">Dataset 2 (Tasks 2–3): </w:t>
      </w:r>
      <w:proofErr w:type="spellStart"/>
      <w:r>
        <w:t>AirPassengers</w:t>
      </w:r>
      <w:proofErr w:type="spellEnd"/>
      <w:r>
        <w:t xml:space="preserve"> — Monthly Airline Passengers (1949–1960)</w:t>
      </w:r>
    </w:p>
    <w:p w14:paraId="27820A8E" w14:textId="77777777" w:rsidR="006668C5" w:rsidRDefault="006668C5"/>
    <w:p w14:paraId="42DBB2CB" w14:textId="77777777" w:rsidR="006668C5" w:rsidRDefault="00000000">
      <w:pPr>
        <w:pStyle w:val="1"/>
      </w:pPr>
      <w:r>
        <w:t>Task 1 — Exponential Smoothing (Johnson &amp; Johnson)</w:t>
      </w:r>
    </w:p>
    <w:p w14:paraId="0166DAFC" w14:textId="77777777" w:rsidR="006668C5" w:rsidRDefault="00000000">
      <w:pPr>
        <w:pStyle w:val="2"/>
      </w:pPr>
      <w:r>
        <w:t>1.1 Data Selection &amp; Time Series Construction</w:t>
      </w:r>
    </w:p>
    <w:p w14:paraId="61EBA2BA" w14:textId="77777777" w:rsidR="006668C5" w:rsidRDefault="00000000">
      <w:r>
        <w:t>Dataset: Johnson &amp; Johnson quarterly earnings per share (EPS), 1960 Q1 to 1980 Q4. The series contains 84 quarterly observations with a clear upward trend and no seasonal fluctuations, making it suitable for exponential smoothing without seasonal components.</w:t>
      </w:r>
    </w:p>
    <w:p w14:paraId="27CEA7B8" w14:textId="77777777" w:rsidR="006668C5" w:rsidRDefault="00000000">
      <w:r>
        <w:t xml:space="preserve">The series was split into a training set (76 </w:t>
      </w:r>
      <w:proofErr w:type="spellStart"/>
      <w:r>
        <w:t>obs</w:t>
      </w:r>
      <w:proofErr w:type="spellEnd"/>
      <w:r>
        <w:t xml:space="preserve">, 1960–1978 Q4) and a control sample (8 </w:t>
      </w:r>
      <w:proofErr w:type="spellStart"/>
      <w:r>
        <w:t>obs</w:t>
      </w:r>
      <w:proofErr w:type="spellEnd"/>
      <w:r>
        <w:t>, 1979–1980 Q4, i.e., the last two years).</w:t>
      </w:r>
    </w:p>
    <w:p w14:paraId="3E04FD3C" w14:textId="77777777" w:rsidR="006668C5" w:rsidRDefault="00000000">
      <w:pPr>
        <w:pStyle w:val="2"/>
      </w:pPr>
      <w:r>
        <w:t>1.2 Brown's Exponential Smoothing (1st &amp; 2nd Order)</w:t>
      </w:r>
    </w:p>
    <w:p w14:paraId="6073B3E5" w14:textId="77777777" w:rsidR="006668C5" w:rsidRDefault="00000000">
      <w:r>
        <w:t>Brown's one-parameter methods use a single smoothing constant α for both level and trend components.</w:t>
      </w:r>
    </w:p>
    <w:p w14:paraId="51C954DF" w14:textId="77777777" w:rsidR="006668C5" w:rsidRDefault="00000000">
      <w:pPr>
        <w:pStyle w:val="3"/>
      </w:pPr>
      <w:r>
        <w:t>Brown 1st-order (double ES — linear trend)</w:t>
      </w:r>
    </w:p>
    <w:p w14:paraId="33C9D271" w14:textId="77777777" w:rsidR="006668C5" w:rsidRDefault="00000000">
      <w:r>
        <w:t xml:space="preserve">Implementation: two exponentially smoothed series </w:t>
      </w:r>
      <w:proofErr w:type="spellStart"/>
      <w:r>
        <w:t>S't</w:t>
      </w:r>
      <w:proofErr w:type="spellEnd"/>
      <w:r>
        <w:t xml:space="preserve"> and </w:t>
      </w:r>
      <w:proofErr w:type="spellStart"/>
      <w:r>
        <w:t>S''t</w:t>
      </w:r>
      <w:proofErr w:type="spellEnd"/>
      <w:r>
        <w:t xml:space="preserve"> are computed recursively:</w:t>
      </w:r>
    </w:p>
    <w:p w14:paraId="609B1450" w14:textId="77777777" w:rsidR="006668C5" w:rsidRDefault="00000000">
      <w:r>
        <w:t xml:space="preserve">  </w:t>
      </w:r>
      <w:proofErr w:type="spellStart"/>
      <w:r>
        <w:t>S't</w:t>
      </w:r>
      <w:proofErr w:type="spellEnd"/>
      <w:r>
        <w:t xml:space="preserve"> = α·</w:t>
      </w:r>
      <w:proofErr w:type="spellStart"/>
      <w:r>
        <w:t>Yt</w:t>
      </w:r>
      <w:proofErr w:type="spellEnd"/>
      <w:r>
        <w:t xml:space="preserve"> + (1−</w:t>
      </w:r>
      <w:proofErr w:type="gramStart"/>
      <w:r>
        <w:t>α)·</w:t>
      </w:r>
      <w:proofErr w:type="gramEnd"/>
      <w:r>
        <w:t>S't−1</w:t>
      </w:r>
    </w:p>
    <w:p w14:paraId="3867240B" w14:textId="77777777" w:rsidR="006668C5" w:rsidRDefault="00000000">
      <w:r>
        <w:t xml:space="preserve">  </w:t>
      </w:r>
      <w:proofErr w:type="spellStart"/>
      <w:r>
        <w:t>S''t</w:t>
      </w:r>
      <w:proofErr w:type="spellEnd"/>
      <w:r>
        <w:t xml:space="preserve"> = α·</w:t>
      </w:r>
      <w:proofErr w:type="spellStart"/>
      <w:r>
        <w:t>S't</w:t>
      </w:r>
      <w:proofErr w:type="spellEnd"/>
      <w:r>
        <w:t xml:space="preserve"> + (1−</w:t>
      </w:r>
      <w:proofErr w:type="gramStart"/>
      <w:r>
        <w:t>α)·</w:t>
      </w:r>
      <w:proofErr w:type="gramEnd"/>
      <w:r>
        <w:t>S''t−1</w:t>
      </w:r>
    </w:p>
    <w:p w14:paraId="67DE91CF" w14:textId="77777777" w:rsidR="006668C5" w:rsidRDefault="00000000">
      <w:r>
        <w:t xml:space="preserve">Level: at = 2S't − </w:t>
      </w:r>
      <w:proofErr w:type="spellStart"/>
      <w:r>
        <w:t>S''t</w:t>
      </w:r>
      <w:proofErr w:type="spellEnd"/>
      <w:r>
        <w:t xml:space="preserve">. Trend: </w:t>
      </w:r>
      <w:proofErr w:type="spellStart"/>
      <w:r>
        <w:t>bt</w:t>
      </w:r>
      <w:proofErr w:type="spellEnd"/>
      <w:r>
        <w:t xml:space="preserve"> = α/(1−α) · (</w:t>
      </w:r>
      <w:proofErr w:type="spellStart"/>
      <w:r>
        <w:t>S't</w:t>
      </w:r>
      <w:proofErr w:type="spellEnd"/>
      <w:r>
        <w:t xml:space="preserve"> − </w:t>
      </w:r>
      <w:proofErr w:type="spellStart"/>
      <w:r>
        <w:t>S''t</w:t>
      </w:r>
      <w:proofErr w:type="spellEnd"/>
      <w:r>
        <w:t xml:space="preserve">). Forecast: </w:t>
      </w:r>
      <w:proofErr w:type="spellStart"/>
      <w:r>
        <w:t>Ft+m</w:t>
      </w:r>
      <w:proofErr w:type="spellEnd"/>
      <w:r>
        <w:t xml:space="preserve"> = at + </w:t>
      </w:r>
      <w:proofErr w:type="spellStart"/>
      <w:r>
        <w:t>bt·m</w:t>
      </w:r>
      <w:proofErr w:type="spellEnd"/>
      <w:r>
        <w:t>.</w:t>
      </w:r>
    </w:p>
    <w:p w14:paraId="608CADE7" w14:textId="77777777" w:rsidR="006668C5" w:rsidRDefault="00000000">
      <w:r>
        <w:t xml:space="preserve">Optimal α found by grid search over [0.01, 0.99] </w:t>
      </w:r>
      <w:proofErr w:type="spellStart"/>
      <w:r>
        <w:t>minimising</w:t>
      </w:r>
      <w:proofErr w:type="spellEnd"/>
      <w:r>
        <w:t xml:space="preserve"> MAD on the 8-period control sample.</w:t>
      </w:r>
    </w:p>
    <w:p w14:paraId="0FF872DA" w14:textId="77777777" w:rsidR="006668C5" w:rsidRDefault="00000000">
      <w:pPr>
        <w:pStyle w:val="3"/>
      </w:pPr>
      <w:r>
        <w:t>Brown 2nd-order (triple ES — quadratic trend)</w:t>
      </w:r>
    </w:p>
    <w:p w14:paraId="495AD94E" w14:textId="77777777" w:rsidR="006668C5" w:rsidRDefault="00000000">
      <w:r>
        <w:t>Three smoothed series S', S'', S''' are computed. The forecast includes a quadratic term:</w:t>
      </w:r>
    </w:p>
    <w:p w14:paraId="3D4F6372" w14:textId="77777777" w:rsidR="006668C5" w:rsidRDefault="00000000">
      <w:proofErr w:type="spellStart"/>
      <w:r>
        <w:t>Ft+m</w:t>
      </w:r>
      <w:proofErr w:type="spellEnd"/>
      <w:r>
        <w:t xml:space="preserve"> = at + </w:t>
      </w:r>
      <w:proofErr w:type="spellStart"/>
      <w:r>
        <w:t>bt·m</w:t>
      </w:r>
      <w:proofErr w:type="spellEnd"/>
      <w:r>
        <w:t xml:space="preserve"> + 0.5·ct·m², where </w:t>
      </w:r>
      <w:proofErr w:type="spellStart"/>
      <w:r>
        <w:t>ct</w:t>
      </w:r>
      <w:proofErr w:type="spellEnd"/>
      <w:r>
        <w:t xml:space="preserve"> = α²/(1−</w:t>
      </w:r>
      <w:proofErr w:type="gramStart"/>
      <w:r>
        <w:t>α)²</w:t>
      </w:r>
      <w:proofErr w:type="gramEnd"/>
      <w:r>
        <w:t xml:space="preserve"> · (</w:t>
      </w:r>
      <w:proofErr w:type="spellStart"/>
      <w:r>
        <w:t>S't</w:t>
      </w:r>
      <w:proofErr w:type="spellEnd"/>
      <w:r>
        <w:t xml:space="preserve"> − 2S''t + </w:t>
      </w:r>
      <w:proofErr w:type="spellStart"/>
      <w:r>
        <w:t>S'''t</w:t>
      </w:r>
      <w:proofErr w:type="spellEnd"/>
      <w:r>
        <w:t>).</w:t>
      </w:r>
    </w:p>
    <w:p w14:paraId="29A6EBA6" w14:textId="77777777" w:rsidR="006668C5" w:rsidRDefault="00000000">
      <w:r>
        <w:t>Optimal α (Brown 1st): 0.17 (MAD = 2.50)</w:t>
      </w:r>
    </w:p>
    <w:p w14:paraId="03AB13FA" w14:textId="77777777" w:rsidR="006668C5" w:rsidRDefault="00000000">
      <w:r>
        <w:t>Optimal α (Brown 2nd): 0.10 (MAD = 2.32)</w:t>
      </w:r>
    </w:p>
    <w:p w14:paraId="552A1B09" w14:textId="77777777" w:rsidR="006668C5" w:rsidRDefault="00000000">
      <w:pPr>
        <w:pStyle w:val="2"/>
      </w:pPr>
      <w:r>
        <w:t>1.3 Holt Model (1st-Order Polynomial)</w:t>
      </w:r>
    </w:p>
    <w:p w14:paraId="4B5C1178" w14:textId="77777777" w:rsidR="006668C5" w:rsidRDefault="00000000">
      <w:r>
        <w:t>Holt's linear trend model uses two parameters: α (level) and β (trend):</w:t>
      </w:r>
    </w:p>
    <w:p w14:paraId="26170355" w14:textId="77777777" w:rsidR="006668C5" w:rsidRDefault="00000000">
      <w:r>
        <w:t xml:space="preserve">  Lt = α·</w:t>
      </w:r>
      <w:proofErr w:type="spellStart"/>
      <w:r>
        <w:t>Yt</w:t>
      </w:r>
      <w:proofErr w:type="spellEnd"/>
      <w:r>
        <w:t xml:space="preserve"> + (1−</w:t>
      </w:r>
      <w:proofErr w:type="gramStart"/>
      <w:r>
        <w:t>α)(</w:t>
      </w:r>
      <w:proofErr w:type="gramEnd"/>
      <w:r>
        <w:t>Lt−1 + Tt−1)</w:t>
      </w:r>
    </w:p>
    <w:p w14:paraId="5BE7AC71" w14:textId="77777777" w:rsidR="006668C5" w:rsidRDefault="00000000">
      <w:r>
        <w:t xml:space="preserve">  Tt = </w:t>
      </w:r>
      <w:proofErr w:type="gramStart"/>
      <w:r>
        <w:t>β(</w:t>
      </w:r>
      <w:proofErr w:type="gramEnd"/>
      <w:r>
        <w:t>Lt − Lt−1) + (1−</w:t>
      </w:r>
      <w:proofErr w:type="gramStart"/>
      <w:r>
        <w:t>β)Tt</w:t>
      </w:r>
      <w:proofErr w:type="gramEnd"/>
      <w:r>
        <w:t>−1</w:t>
      </w:r>
    </w:p>
    <w:p w14:paraId="61CF5FB6" w14:textId="77777777" w:rsidR="006668C5" w:rsidRDefault="00000000">
      <w:r>
        <w:t xml:space="preserve">Optimal parameters found by grid search over α, β ∈ [0.01, 0.99] </w:t>
      </w:r>
      <w:proofErr w:type="spellStart"/>
      <w:r>
        <w:t>minimising</w:t>
      </w:r>
      <w:proofErr w:type="spellEnd"/>
      <w:r>
        <w:t xml:space="preserve"> SSE on the control sample.</w:t>
      </w:r>
    </w:p>
    <w:p w14:paraId="6B97C233" w14:textId="77777777" w:rsidR="006668C5" w:rsidRDefault="00000000">
      <w:r>
        <w:t>Result: α = 0.13, β = 0.99 (SSE = 36.55). The high β indicates the trend adapts rapidly to recent changes.</w:t>
      </w:r>
    </w:p>
    <w:p w14:paraId="38020CBF" w14:textId="77777777" w:rsidR="006668C5" w:rsidRDefault="00000000">
      <w:pPr>
        <w:pStyle w:val="2"/>
      </w:pPr>
      <w:r>
        <w:t>1.4 Model Quality Evaluation (MAPE)</w:t>
      </w:r>
    </w:p>
    <w:p w14:paraId="41AFDCB8" w14:textId="77777777" w:rsidR="006668C5" w:rsidRDefault="00000000">
      <w:r>
        <w:t xml:space="preserve">MAPE = </w:t>
      </w:r>
      <w:proofErr w:type="gramStart"/>
      <w:r>
        <w:t>mean(</w:t>
      </w:r>
      <w:proofErr w:type="gramEnd"/>
      <w:r>
        <w:t>|actual − forecast| / actual) × 100%, computed on the control sample.</w:t>
      </w:r>
    </w:p>
    <w:tbl>
      <w:tblPr>
        <w:tblW w:w="0" w:type="auto"/>
        <w:jc w:val="center"/>
        <w:tblLayout w:type="fixed"/>
        <w:tblLook w:val="0420" w:firstRow="1" w:lastRow="0" w:firstColumn="0" w:lastColumn="0" w:noHBand="0" w:noVBand="1"/>
      </w:tblPr>
      <w:tblGrid>
        <w:gridCol w:w="2049"/>
        <w:gridCol w:w="839"/>
        <w:gridCol w:w="839"/>
        <w:gridCol w:w="1157"/>
      </w:tblGrid>
      <w:tr w:rsidR="006668C5" w14:paraId="3D191658" w14:textId="77777777">
        <w:trPr>
          <w:tblHeader/>
          <w:jc w:val="center"/>
        </w:trPr>
        <w:tc>
          <w:tcPr>
            <w:tcW w:w="20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B356D0"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Model</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16267C"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α</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F0A03"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β</w:t>
            </w:r>
          </w:p>
        </w:tc>
        <w:tc>
          <w:tcPr>
            <w:tcW w:w="11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BFD9F3"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MAPE</w:t>
            </w:r>
          </w:p>
        </w:tc>
      </w:tr>
      <w:tr w:rsidR="006668C5" w14:paraId="15A6923E" w14:textId="77777777">
        <w:trPr>
          <w:jc w:val="center"/>
        </w:trPr>
        <w:tc>
          <w:tcPr>
            <w:tcW w:w="20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B0A5C"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Brown 1st-order</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91D7A"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0.17</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C91AF"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11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DC18A"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17.85%</w:t>
            </w:r>
          </w:p>
        </w:tc>
      </w:tr>
      <w:tr w:rsidR="006668C5" w14:paraId="702A34E9" w14:textId="77777777">
        <w:trPr>
          <w:jc w:val="center"/>
        </w:trPr>
        <w:tc>
          <w:tcPr>
            <w:tcW w:w="2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51676"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Brown 2nd-order</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B80B7"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5A9C5"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EDABC"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17.07%</w:t>
            </w:r>
          </w:p>
        </w:tc>
      </w:tr>
      <w:tr w:rsidR="006668C5" w14:paraId="1A94B4A3" w14:textId="77777777">
        <w:trPr>
          <w:jc w:val="center"/>
        </w:trPr>
        <w:tc>
          <w:tcPr>
            <w:tcW w:w="20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CCDF3"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Holt</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B5AE22"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0.13</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E6136F"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w:t>
            </w:r>
          </w:p>
        </w:tc>
        <w:tc>
          <w:tcPr>
            <w:tcW w:w="11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4754B"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14.78%</w:t>
            </w:r>
          </w:p>
        </w:tc>
      </w:tr>
    </w:tbl>
    <w:p w14:paraId="55E28464" w14:textId="77777777" w:rsidR="006668C5" w:rsidRDefault="006668C5"/>
    <w:p w14:paraId="6DFDCC7D" w14:textId="77777777" w:rsidR="006668C5" w:rsidRDefault="00000000">
      <w:pPr>
        <w:pStyle w:val="2"/>
      </w:pPr>
      <w:r>
        <w:t>1.5 Forecast — 6 Periods Ahead</w:t>
      </w:r>
    </w:p>
    <w:p w14:paraId="3C9AC149" w14:textId="77777777" w:rsidR="006668C5" w:rsidRDefault="00000000">
      <w:r>
        <w:t>Holt model (lowest MAPE = 14.78%) was refitted on the full series to forecast 6 quarters ahead (1981 Q1 – 1982 Q2).</w:t>
      </w:r>
    </w:p>
    <w:tbl>
      <w:tblPr>
        <w:tblW w:w="0" w:type="auto"/>
        <w:jc w:val="center"/>
        <w:tblLayout w:type="fixed"/>
        <w:tblLook w:val="0420" w:firstRow="1" w:lastRow="0" w:firstColumn="0" w:lastColumn="0" w:noHBand="0" w:noVBand="1"/>
      </w:tblPr>
      <w:tblGrid>
        <w:gridCol w:w="1255"/>
        <w:gridCol w:w="2098"/>
      </w:tblGrid>
      <w:tr w:rsidR="006668C5" w14:paraId="277E2722" w14:textId="77777777">
        <w:trPr>
          <w:tblHeader/>
          <w:jc w:val="center"/>
        </w:trPr>
        <w:tc>
          <w:tcPr>
            <w:tcW w:w="12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F5DA53"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Period</w:t>
            </w:r>
          </w:p>
        </w:tc>
        <w:tc>
          <w:tcPr>
            <w:tcW w:w="20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55C99"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EPS Forecast ($)</w:t>
            </w:r>
          </w:p>
        </w:tc>
      </w:tr>
      <w:tr w:rsidR="006668C5" w14:paraId="08F13B76" w14:textId="77777777">
        <w:trPr>
          <w:jc w:val="center"/>
        </w:trPr>
        <w:tc>
          <w:tcPr>
            <w:tcW w:w="12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01D1E"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1981 Q1</w:t>
            </w:r>
          </w:p>
        </w:tc>
        <w:tc>
          <w:tcPr>
            <w:tcW w:w="20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9D29A"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15.16</w:t>
            </w:r>
          </w:p>
        </w:tc>
      </w:tr>
      <w:tr w:rsidR="006668C5" w14:paraId="7EBEB475" w14:textId="77777777">
        <w:trPr>
          <w:jc w:val="center"/>
        </w:trPr>
        <w:tc>
          <w:tcPr>
            <w:tcW w:w="12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2C55B"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1981 Q2</w:t>
            </w:r>
          </w:p>
        </w:tc>
        <w:tc>
          <w:tcPr>
            <w:tcW w:w="20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A0356"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15.16</w:t>
            </w:r>
          </w:p>
        </w:tc>
      </w:tr>
      <w:tr w:rsidR="006668C5" w14:paraId="3F1A9285" w14:textId="77777777">
        <w:trPr>
          <w:jc w:val="center"/>
        </w:trPr>
        <w:tc>
          <w:tcPr>
            <w:tcW w:w="12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DF1E0"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1981 Q3</w:t>
            </w:r>
          </w:p>
        </w:tc>
        <w:tc>
          <w:tcPr>
            <w:tcW w:w="20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50481"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15.17</w:t>
            </w:r>
          </w:p>
        </w:tc>
      </w:tr>
      <w:tr w:rsidR="006668C5" w14:paraId="22C75D65" w14:textId="77777777">
        <w:trPr>
          <w:jc w:val="center"/>
        </w:trPr>
        <w:tc>
          <w:tcPr>
            <w:tcW w:w="12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3C0FE"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1981 Q4</w:t>
            </w:r>
          </w:p>
        </w:tc>
        <w:tc>
          <w:tcPr>
            <w:tcW w:w="20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FD7D1"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15.17</w:t>
            </w:r>
          </w:p>
        </w:tc>
      </w:tr>
      <w:tr w:rsidR="006668C5" w14:paraId="1AED5AAB" w14:textId="77777777">
        <w:trPr>
          <w:jc w:val="center"/>
        </w:trPr>
        <w:tc>
          <w:tcPr>
            <w:tcW w:w="12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6B7D1"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1982 Q1</w:t>
            </w:r>
          </w:p>
        </w:tc>
        <w:tc>
          <w:tcPr>
            <w:tcW w:w="20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6BBBE"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15.17</w:t>
            </w:r>
          </w:p>
        </w:tc>
      </w:tr>
      <w:tr w:rsidR="006668C5" w14:paraId="7DA3B3CF" w14:textId="77777777">
        <w:trPr>
          <w:jc w:val="center"/>
        </w:trPr>
        <w:tc>
          <w:tcPr>
            <w:tcW w:w="12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C024D"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1982 Q2</w:t>
            </w:r>
          </w:p>
        </w:tc>
        <w:tc>
          <w:tcPr>
            <w:tcW w:w="20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115F2"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15.17</w:t>
            </w:r>
          </w:p>
        </w:tc>
      </w:tr>
    </w:tbl>
    <w:p w14:paraId="0C3616AC" w14:textId="77777777" w:rsidR="006668C5" w:rsidRDefault="006668C5"/>
    <w:p w14:paraId="12106B60" w14:textId="77777777" w:rsidR="006668C5" w:rsidRDefault="00000000">
      <w:pPr>
        <w:pStyle w:val="1"/>
      </w:pPr>
      <w:r>
        <w:t>Task 2 — SARIMA Modelling (</w:t>
      </w:r>
      <w:proofErr w:type="spellStart"/>
      <w:r>
        <w:t>AirPassengers</w:t>
      </w:r>
      <w:proofErr w:type="spellEnd"/>
      <w:r>
        <w:t>)</w:t>
      </w:r>
    </w:p>
    <w:p w14:paraId="1AF3FFC5" w14:textId="77777777" w:rsidR="006668C5" w:rsidRDefault="00000000">
      <w:pPr>
        <w:pStyle w:val="2"/>
      </w:pPr>
      <w:r>
        <w:t>2.1 Time Series Plot, ACF &amp; PACF, Stationarity Assessment</w:t>
      </w:r>
    </w:p>
    <w:p w14:paraId="1DA7DD65" w14:textId="77777777" w:rsidR="006668C5" w:rsidRDefault="00000000">
      <w:r>
        <w:t>Dataset: Monthly international airline passengers (thousands), Jan 1949 – Dec 1960, n = 144, frequency = 12.</w:t>
      </w:r>
    </w:p>
    <w:p w14:paraId="4BE52157" w14:textId="77777777" w:rsidR="006668C5" w:rsidRDefault="00000000">
      <w:r>
        <w:t>The time series plot reveals a pronounced upward trend with increasing seasonal amplitude. The ACF exhibits slow decay (indicating non-stationarity in mean) and prominent peaks at lags 12, 24, 36 (indicating annual seasonality). The PACF shows a strong spike at lag 1.</w:t>
      </w:r>
    </w:p>
    <w:p w14:paraId="303CE28B" w14:textId="77777777" w:rsidR="006668C5" w:rsidRDefault="00000000">
      <w:r>
        <w:t>Conclusion: The series is non-stationary due to trend in mean and growing seasonal variance.</w:t>
      </w:r>
    </w:p>
    <w:p w14:paraId="2ACBC377" w14:textId="77777777" w:rsidR="006668C5" w:rsidRDefault="00000000">
      <w:pPr>
        <w:pStyle w:val="2"/>
      </w:pPr>
      <w:r>
        <w:t>2.2 Differencing Order &amp; ADF Test</w:t>
      </w:r>
    </w:p>
    <w:p w14:paraId="66168551" w14:textId="77777777" w:rsidR="006668C5" w:rsidRDefault="00000000">
      <w:r>
        <w:t xml:space="preserve">A log transformation was applied to </w:t>
      </w:r>
      <w:proofErr w:type="spellStart"/>
      <w:r>
        <w:t>stabilise</w:t>
      </w:r>
      <w:proofErr w:type="spellEnd"/>
      <w:r>
        <w:t xml:space="preserve"> variance. ADF tests were performed on:</w:t>
      </w:r>
    </w:p>
    <w:p w14:paraId="09057382" w14:textId="77777777" w:rsidR="006668C5" w:rsidRDefault="00000000">
      <w:r>
        <w:t xml:space="preserve">  • Original log-series: p ≤ 0.01 → rejected H₀ of unit root (but this is unreliable given obvious trend)</w:t>
      </w:r>
    </w:p>
    <w:p w14:paraId="312CF81A" w14:textId="77777777" w:rsidR="006668C5" w:rsidRDefault="00000000">
      <w:r>
        <w:t xml:space="preserve">  • 1st difference of log: p ≤ 0.01 → stationary</w:t>
      </w:r>
    </w:p>
    <w:p w14:paraId="2536C7ED" w14:textId="77777777" w:rsidR="006668C5" w:rsidRDefault="00000000">
      <w:r>
        <w:t xml:space="preserve">  • 2nd difference of log: p ≤ 0.01 → stationary (over-differenced)</w:t>
      </w:r>
    </w:p>
    <w:p w14:paraId="41A097B4" w14:textId="77777777" w:rsidR="006668C5" w:rsidRDefault="00000000">
      <w:r>
        <w:t>Correlograms of the 1st-differenced log series show no remaining trend pattern. The 2nd difference introduces excessive negative autocorrelation. Therefore d = 1 is selected.</w:t>
      </w:r>
    </w:p>
    <w:p w14:paraId="48E8AE9B" w14:textId="77777777" w:rsidR="006668C5" w:rsidRDefault="00000000">
      <w:pPr>
        <w:pStyle w:val="2"/>
      </w:pPr>
      <w:r>
        <w:lastRenderedPageBreak/>
        <w:t>2.3 ARIMA(</w:t>
      </w:r>
      <w:proofErr w:type="spellStart"/>
      <w:proofErr w:type="gramStart"/>
      <w:r>
        <w:t>p,d</w:t>
      </w:r>
      <w:proofErr w:type="gramEnd"/>
      <w:r>
        <w:t>,q</w:t>
      </w:r>
      <w:proofErr w:type="spellEnd"/>
      <w:r>
        <w:t>) Order Identification</w:t>
      </w:r>
    </w:p>
    <w:p w14:paraId="217F3E76" w14:textId="77777777" w:rsidR="006668C5" w:rsidRDefault="00000000">
      <w:r>
        <w:t>Analysis of ACF/PACF of the 1st-differenced log series:</w:t>
      </w:r>
    </w:p>
    <w:p w14:paraId="298BF9A7" w14:textId="77777777" w:rsidR="006668C5" w:rsidRDefault="00000000">
      <w:r>
        <w:t xml:space="preserve">  • ACF: significant spike at lag 1, then cuts off → suggests </w:t>
      </w:r>
      <w:proofErr w:type="gramStart"/>
      <w:r>
        <w:t>MA(</w:t>
      </w:r>
      <w:proofErr w:type="gramEnd"/>
      <w:r>
        <w:t>1), q = 1</w:t>
      </w:r>
    </w:p>
    <w:p w14:paraId="79F54BC3" w14:textId="77777777" w:rsidR="006668C5" w:rsidRDefault="00000000">
      <w:r>
        <w:t xml:space="preserve">  • PACF: significant spike at lag 1 → suggests </w:t>
      </w:r>
      <w:proofErr w:type="gramStart"/>
      <w:r>
        <w:t>AR(</w:t>
      </w:r>
      <w:proofErr w:type="gramEnd"/>
      <w:r>
        <w:t>1), p = 1</w:t>
      </w:r>
    </w:p>
    <w:p w14:paraId="52687EB6" w14:textId="77777777" w:rsidR="006668C5" w:rsidRDefault="00000000">
      <w:r>
        <w:t xml:space="preserve">Identified model: </w:t>
      </w:r>
      <w:proofErr w:type="gramStart"/>
      <w:r>
        <w:t>ARIMA(</w:t>
      </w:r>
      <w:proofErr w:type="gramEnd"/>
      <w:r>
        <w:t>1,1,1) with log transformation.</w:t>
      </w:r>
    </w:p>
    <w:p w14:paraId="0DD1E429" w14:textId="77777777" w:rsidR="006668C5" w:rsidRDefault="00000000">
      <w:pPr>
        <w:pStyle w:val="2"/>
      </w:pPr>
      <w:r>
        <w:t xml:space="preserve">2.4 </w:t>
      </w:r>
      <w:proofErr w:type="gramStart"/>
      <w:r>
        <w:t>ARIMA(</w:t>
      </w:r>
      <w:proofErr w:type="gramEnd"/>
      <w:r>
        <w:t>1,1,1) Model Construction</w:t>
      </w:r>
    </w:p>
    <w:p w14:paraId="482ABCC8" w14:textId="77777777" w:rsidR="006668C5" w:rsidRDefault="00000000">
      <w:r>
        <w:t xml:space="preserve">Fitted via </w:t>
      </w:r>
      <w:proofErr w:type="gramStart"/>
      <w:r>
        <w:t>Arima(</w:t>
      </w:r>
      <w:proofErr w:type="gramEnd"/>
      <w:r>
        <w:t>) from the forecast package with lambda = 0 (log transform).</w:t>
      </w:r>
    </w:p>
    <w:p w14:paraId="2A990DDD" w14:textId="77777777" w:rsidR="006668C5" w:rsidRDefault="00000000">
      <w:r>
        <w:t xml:space="preserve">Coefficients: </w:t>
      </w:r>
      <w:proofErr w:type="gramStart"/>
      <w:r>
        <w:t>AR(</w:t>
      </w:r>
      <w:proofErr w:type="gramEnd"/>
      <w:r>
        <w:t>1) = −0.578 (</w:t>
      </w:r>
      <w:proofErr w:type="spellStart"/>
      <w:r>
        <w:t>s.e.</w:t>
      </w:r>
      <w:proofErr w:type="spellEnd"/>
      <w:r>
        <w:t xml:space="preserve"> 0.130), </w:t>
      </w:r>
      <w:proofErr w:type="gramStart"/>
      <w:r>
        <w:t>MA(</w:t>
      </w:r>
      <w:proofErr w:type="gramEnd"/>
      <w:r>
        <w:t>1) = 0.848 (</w:t>
      </w:r>
      <w:proofErr w:type="spellStart"/>
      <w:r>
        <w:t>s.e.</w:t>
      </w:r>
      <w:proofErr w:type="spellEnd"/>
      <w:r>
        <w:t xml:space="preserve"> 0.087)</w:t>
      </w:r>
    </w:p>
    <w:p w14:paraId="4CB59C85" w14:textId="77777777" w:rsidR="006668C5" w:rsidRDefault="00000000">
      <w:r>
        <w:t xml:space="preserve">AIC = −242.63, </w:t>
      </w:r>
      <w:proofErr w:type="spellStart"/>
      <w:r>
        <w:t>AICc</w:t>
      </w:r>
      <w:proofErr w:type="spellEnd"/>
      <w:r>
        <w:t xml:space="preserve"> = −242.45, BIC = −233.74</w:t>
      </w:r>
    </w:p>
    <w:p w14:paraId="6E426DDC" w14:textId="77777777" w:rsidR="006668C5" w:rsidRDefault="00000000">
      <w:pPr>
        <w:pStyle w:val="2"/>
      </w:pPr>
      <w:r>
        <w:t xml:space="preserve">2.5 Residual Diagnostics of </w:t>
      </w:r>
      <w:proofErr w:type="gramStart"/>
      <w:r>
        <w:t>ARIMA(</w:t>
      </w:r>
      <w:proofErr w:type="gramEnd"/>
      <w:r>
        <w:t>1,1,1)</w:t>
      </w:r>
    </w:p>
    <w:p w14:paraId="057D7F12" w14:textId="77777777" w:rsidR="006668C5" w:rsidRDefault="00000000">
      <w:r>
        <w:t xml:space="preserve">Ljung-Box test on ARIMA residuals: χ² = 245.82, p ≈ 0.000. Significant autocorrelation remains at lags 3, 4, 8, 12, 16, 20, 24 — indicating unmodelled seasonal structure. The </w:t>
      </w:r>
      <w:proofErr w:type="gramStart"/>
      <w:r>
        <w:t>ARIMA(</w:t>
      </w:r>
      <w:proofErr w:type="gramEnd"/>
      <w:r>
        <w:t>1,1,1) alone is insufficient.</w:t>
      </w:r>
    </w:p>
    <w:p w14:paraId="3A80899D" w14:textId="77777777" w:rsidR="006668C5" w:rsidRDefault="00000000">
      <w:pPr>
        <w:pStyle w:val="2"/>
      </w:pPr>
      <w:r>
        <w:t>2.6 Seasonal Component Detection</w:t>
      </w:r>
    </w:p>
    <w:p w14:paraId="702C2F16" w14:textId="77777777" w:rsidR="006668C5" w:rsidRDefault="00000000">
      <w:r>
        <w:t>The ACF of the 1st-differenced series retains strong spikes at lag 12. The seasonal cycle s = 12 (monthly data, annual pattern). A seasonal difference (lag-12) was applied, confirmed to remove the seasonal autocorrelation.</w:t>
      </w:r>
    </w:p>
    <w:p w14:paraId="6A176423" w14:textId="77777777" w:rsidR="006668C5" w:rsidRDefault="00000000">
      <w:pPr>
        <w:pStyle w:val="2"/>
      </w:pPr>
      <w:r>
        <w:t>2.7 SARIMA(</w:t>
      </w:r>
      <w:proofErr w:type="spellStart"/>
      <w:proofErr w:type="gramStart"/>
      <w:r>
        <w:t>p,d</w:t>
      </w:r>
      <w:proofErr w:type="gramEnd"/>
      <w:r>
        <w:t>,</w:t>
      </w:r>
      <w:proofErr w:type="gramStart"/>
      <w:r>
        <w:t>q</w:t>
      </w:r>
      <w:proofErr w:type="spellEnd"/>
      <w:r>
        <w:t>)(P,D</w:t>
      </w:r>
      <w:proofErr w:type="gramEnd"/>
      <w:r>
        <w:t>,Q)ₛ Construction</w:t>
      </w:r>
    </w:p>
    <w:p w14:paraId="1E698A61" w14:textId="77777777" w:rsidR="006668C5" w:rsidRDefault="00000000">
      <w:r>
        <w:t>Based on the seasonal ACF/PACF of the differenced series:</w:t>
      </w:r>
    </w:p>
    <w:p w14:paraId="51EE61C9" w14:textId="77777777" w:rsidR="006668C5" w:rsidRDefault="00000000">
      <w:r>
        <w:t xml:space="preserve">  • Seasonal ACF spike at lag 12 → </w:t>
      </w:r>
      <w:proofErr w:type="gramStart"/>
      <w:r>
        <w:t>SMA(</w:t>
      </w:r>
      <w:proofErr w:type="gramEnd"/>
      <w:r>
        <w:t>1), Q = 1</w:t>
      </w:r>
    </w:p>
    <w:p w14:paraId="412A3EDA" w14:textId="77777777" w:rsidR="006668C5" w:rsidRDefault="00000000">
      <w:r>
        <w:t xml:space="preserve">  • Seasonal differencing needed → D = 1</w:t>
      </w:r>
    </w:p>
    <w:p w14:paraId="0CB9FB14" w14:textId="77777777" w:rsidR="006668C5" w:rsidRDefault="00000000">
      <w:r>
        <w:t xml:space="preserve">Built </w:t>
      </w:r>
      <w:proofErr w:type="gramStart"/>
      <w:r>
        <w:t>SARIMA(</w:t>
      </w:r>
      <w:proofErr w:type="gramEnd"/>
      <w:r>
        <w:t>1,1,</w:t>
      </w:r>
      <w:proofErr w:type="gramStart"/>
      <w:r>
        <w:t>1)(</w:t>
      </w:r>
      <w:proofErr w:type="gramEnd"/>
      <w:r>
        <w:t>0,1,</w:t>
      </w:r>
      <w:proofErr w:type="gramStart"/>
      <w:r>
        <w:t>1)₁</w:t>
      </w:r>
      <w:proofErr w:type="gramEnd"/>
      <w:r>
        <w:t>₂ with log transformation.</w:t>
      </w:r>
    </w:p>
    <w:p w14:paraId="55E1E57D" w14:textId="77777777" w:rsidR="006668C5" w:rsidRDefault="00000000">
      <w:pPr>
        <w:pStyle w:val="2"/>
      </w:pPr>
      <w:r>
        <w:t>2.8 SARIMA Residual Diagnostics</w:t>
      </w:r>
    </w:p>
    <w:p w14:paraId="562DC13A" w14:textId="77777777" w:rsidR="006668C5" w:rsidRDefault="00000000">
      <w:r>
        <w:t>Ljung-Box (24 lags): χ² = 25.04, p = 0.245 → residuals are white noise. No further modification needed.</w:t>
      </w:r>
    </w:p>
    <w:p w14:paraId="345ABF96" w14:textId="77777777" w:rsidR="006668C5" w:rsidRDefault="00000000">
      <w:pPr>
        <w:pStyle w:val="2"/>
      </w:pPr>
      <w:r>
        <w:t>2.9 Normality of Residuals</w:t>
      </w:r>
    </w:p>
    <w:p w14:paraId="1874BE74" w14:textId="77777777" w:rsidR="006668C5" w:rsidRDefault="00000000">
      <w:r>
        <w:t>Shapiro-Wilk test: W = 0.9836, p = 0.082 → fail to reject normality at α = 0.05. Residuals are approximately normally distributed. Histogram and Q-Q plot confirm this.</w:t>
      </w:r>
    </w:p>
    <w:p w14:paraId="51BB1D44" w14:textId="77777777" w:rsidR="006668C5" w:rsidRDefault="00000000">
      <w:pPr>
        <w:pStyle w:val="2"/>
      </w:pPr>
      <w:r>
        <w:t>2.10 Ljung-Box White Noise Verification</w:t>
      </w:r>
    </w:p>
    <w:p w14:paraId="125E8B3A" w14:textId="77777777" w:rsidR="006668C5" w:rsidRDefault="00000000">
      <w:r>
        <w:t>Ljung-Box Q-test across lags 6, 12, 18, 24, 30, 36: all p-values &gt; 0.22. The residuals series is confirmed as white noise.</w:t>
      </w:r>
    </w:p>
    <w:tbl>
      <w:tblPr>
        <w:tblW w:w="0" w:type="auto"/>
        <w:jc w:val="center"/>
        <w:tblLayout w:type="fixed"/>
        <w:tblLook w:val="0420" w:firstRow="1" w:lastRow="0" w:firstColumn="0" w:lastColumn="0" w:noHBand="0" w:noVBand="1"/>
      </w:tblPr>
      <w:tblGrid>
        <w:gridCol w:w="778"/>
        <w:gridCol w:w="1132"/>
      </w:tblGrid>
      <w:tr w:rsidR="006668C5" w14:paraId="46C4EECF" w14:textId="77777777">
        <w:trPr>
          <w:tblHeader/>
          <w:jc w:val="center"/>
        </w:trPr>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0FFB86"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Lag</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311A26"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6668C5" w14:paraId="5C280FAC" w14:textId="77777777">
        <w:trPr>
          <w:jc w:val="center"/>
        </w:trPr>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A4E39"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79E14"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0.227</w:t>
            </w:r>
          </w:p>
        </w:tc>
      </w:tr>
      <w:tr w:rsidR="006668C5" w14:paraId="3744B713"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E325A"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E4A49"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0.519</w:t>
            </w:r>
          </w:p>
        </w:tc>
      </w:tr>
      <w:tr w:rsidR="006668C5" w14:paraId="48A1466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02499"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8F378"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0.555</w:t>
            </w:r>
          </w:p>
        </w:tc>
      </w:tr>
      <w:tr w:rsidR="006668C5" w14:paraId="683C5D5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657A5"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24</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55AA"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0.245</w:t>
            </w:r>
          </w:p>
        </w:tc>
      </w:tr>
      <w:tr w:rsidR="006668C5" w14:paraId="70B738F7"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65CE6"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6D286"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0.402</w:t>
            </w:r>
          </w:p>
        </w:tc>
      </w:tr>
      <w:tr w:rsidR="006668C5" w14:paraId="13521F6B" w14:textId="77777777">
        <w:trPr>
          <w:jc w:val="center"/>
        </w:trPr>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15736"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36</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4B99A4"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0.270</w:t>
            </w:r>
          </w:p>
        </w:tc>
      </w:tr>
    </w:tbl>
    <w:p w14:paraId="508C02A5" w14:textId="77777777" w:rsidR="006668C5" w:rsidRDefault="006668C5"/>
    <w:p w14:paraId="264E4551" w14:textId="77777777" w:rsidR="006668C5" w:rsidRDefault="00000000">
      <w:pPr>
        <w:pStyle w:val="2"/>
      </w:pPr>
      <w:r>
        <w:lastRenderedPageBreak/>
        <w:t>2.11 Forecast — 18 Periods Ahead</w:t>
      </w:r>
    </w:p>
    <w:p w14:paraId="23C5F1F2" w14:textId="77777777" w:rsidR="006668C5" w:rsidRDefault="00000000">
      <w:r>
        <w:t xml:space="preserve">Using the </w:t>
      </w:r>
      <w:proofErr w:type="gramStart"/>
      <w:r>
        <w:t>SARIMA(</w:t>
      </w:r>
      <w:proofErr w:type="gramEnd"/>
      <w:r>
        <w:t>1,1,</w:t>
      </w:r>
      <w:proofErr w:type="gramStart"/>
      <w:r>
        <w:t>1)(</w:t>
      </w:r>
      <w:proofErr w:type="gramEnd"/>
      <w:r>
        <w:t>0,1,</w:t>
      </w:r>
      <w:proofErr w:type="gramStart"/>
      <w:r>
        <w:t>1)₁</w:t>
      </w:r>
      <w:proofErr w:type="gramEnd"/>
      <w:r>
        <w:t>₂ model, a forecast was generated for Jan 1961 – Jun 1962 with 95% confidence intervals. The forecast captures both trend continuation and the seasonal pattern (summer peaks, winter troughs).</w:t>
      </w:r>
    </w:p>
    <w:p w14:paraId="7BDF8942" w14:textId="77777777" w:rsidR="006668C5" w:rsidRDefault="00000000">
      <w:pPr>
        <w:pStyle w:val="2"/>
      </w:pPr>
      <w:r>
        <w:t>2.12 Auto-ARIMA Comparison</w:t>
      </w:r>
    </w:p>
    <w:p w14:paraId="49A19998" w14:textId="77777777" w:rsidR="006668C5" w:rsidRDefault="00000000">
      <w:proofErr w:type="spellStart"/>
      <w:proofErr w:type="gramStart"/>
      <w:r>
        <w:t>auto.arima</w:t>
      </w:r>
      <w:proofErr w:type="spellEnd"/>
      <w:proofErr w:type="gramEnd"/>
      <w:r>
        <w:t xml:space="preserve">() with exhaustive search (stepwise = FALSE) identified </w:t>
      </w:r>
      <w:proofErr w:type="gramStart"/>
      <w:r>
        <w:t>SARIMA(</w:t>
      </w:r>
      <w:proofErr w:type="gramEnd"/>
      <w:r>
        <w:t>0,1,</w:t>
      </w:r>
      <w:proofErr w:type="gramStart"/>
      <w:r>
        <w:t>1)(</w:t>
      </w:r>
      <w:proofErr w:type="gramEnd"/>
      <w:r>
        <w:t>0,1,</w:t>
      </w:r>
      <w:proofErr w:type="gramStart"/>
      <w:r>
        <w:t>1)₁</w:t>
      </w:r>
      <w:proofErr w:type="gramEnd"/>
      <w:r>
        <w:t>₂ as the best model by AIC.</w:t>
      </w:r>
    </w:p>
    <w:tbl>
      <w:tblPr>
        <w:tblW w:w="0" w:type="auto"/>
        <w:jc w:val="center"/>
        <w:tblLayout w:type="fixed"/>
        <w:tblLook w:val="0420" w:firstRow="1" w:lastRow="0" w:firstColumn="0" w:lastColumn="0" w:noHBand="0" w:noVBand="1"/>
      </w:tblPr>
      <w:tblGrid>
        <w:gridCol w:w="3675"/>
        <w:gridCol w:w="1212"/>
        <w:gridCol w:w="1212"/>
        <w:gridCol w:w="1212"/>
        <w:gridCol w:w="1034"/>
      </w:tblGrid>
      <w:tr w:rsidR="006668C5" w14:paraId="0A821098" w14:textId="77777777">
        <w:trPr>
          <w:tblHeader/>
          <w:jc w:val="center"/>
        </w:trPr>
        <w:tc>
          <w:tcPr>
            <w:tcW w:w="367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E365B"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w:t>
            </w:r>
          </w:p>
        </w:tc>
        <w:tc>
          <w:tcPr>
            <w:tcW w:w="12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C82E9C"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AIC</w:t>
            </w:r>
          </w:p>
        </w:tc>
        <w:tc>
          <w:tcPr>
            <w:tcW w:w="12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B0B936"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AICc</w:t>
            </w:r>
            <w:proofErr w:type="spellEnd"/>
          </w:p>
        </w:tc>
        <w:tc>
          <w:tcPr>
            <w:tcW w:w="12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E42B4"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BIC</w:t>
            </w:r>
          </w:p>
        </w:tc>
        <w:tc>
          <w:tcPr>
            <w:tcW w:w="10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1D76C"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MAPE</w:t>
            </w:r>
          </w:p>
        </w:tc>
      </w:tr>
      <w:tr w:rsidR="006668C5" w14:paraId="50A6B5D0" w14:textId="77777777">
        <w:trPr>
          <w:jc w:val="center"/>
        </w:trPr>
        <w:tc>
          <w:tcPr>
            <w:tcW w:w="367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36033"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Manual </w:t>
            </w:r>
            <w:proofErr w:type="gramStart"/>
            <w:r>
              <w:rPr>
                <w:rFonts w:ascii="Arial" w:eastAsia="Arial" w:hAnsi="Arial" w:cs="Arial"/>
                <w:color w:val="000000"/>
                <w:sz w:val="22"/>
                <w:szCs w:val="22"/>
              </w:rPr>
              <w:t>SARIMA(</w:t>
            </w:r>
            <w:proofErr w:type="gramEnd"/>
            <w:r>
              <w:rPr>
                <w:rFonts w:ascii="Arial" w:eastAsia="Arial" w:hAnsi="Arial" w:cs="Arial"/>
                <w:color w:val="000000"/>
                <w:sz w:val="22"/>
                <w:szCs w:val="22"/>
              </w:rPr>
              <w:t>1,1,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0,1,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12]</w:t>
            </w:r>
          </w:p>
        </w:tc>
        <w:tc>
          <w:tcPr>
            <w:tcW w:w="12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E5B37"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−481.90</w:t>
            </w:r>
          </w:p>
        </w:tc>
        <w:tc>
          <w:tcPr>
            <w:tcW w:w="12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E5340"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−481.58</w:t>
            </w:r>
          </w:p>
        </w:tc>
        <w:tc>
          <w:tcPr>
            <w:tcW w:w="12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CAB46"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−470.40</w:t>
            </w:r>
          </w:p>
        </w:tc>
        <w:tc>
          <w:tcPr>
            <w:tcW w:w="10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35AFE"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2.58%</w:t>
            </w:r>
          </w:p>
        </w:tc>
      </w:tr>
      <w:tr w:rsidR="006668C5" w14:paraId="09E13BC3" w14:textId="77777777">
        <w:trPr>
          <w:jc w:val="center"/>
        </w:trPr>
        <w:tc>
          <w:tcPr>
            <w:tcW w:w="367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99CA00"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Auto </w:t>
            </w:r>
            <w:proofErr w:type="gramStart"/>
            <w:r>
              <w:rPr>
                <w:rFonts w:ascii="Arial" w:eastAsia="Arial" w:hAnsi="Arial" w:cs="Arial"/>
                <w:color w:val="000000"/>
                <w:sz w:val="22"/>
                <w:szCs w:val="22"/>
              </w:rPr>
              <w:t>SARIMA(</w:t>
            </w:r>
            <w:proofErr w:type="gramEnd"/>
            <w:r>
              <w:rPr>
                <w:rFonts w:ascii="Arial" w:eastAsia="Arial" w:hAnsi="Arial" w:cs="Arial"/>
                <w:color w:val="000000"/>
                <w:sz w:val="22"/>
                <w:szCs w:val="22"/>
              </w:rPr>
              <w:t>0,1,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0,1,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12]</w:t>
            </w:r>
          </w:p>
        </w:tc>
        <w:tc>
          <w:tcPr>
            <w:tcW w:w="12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E728E1"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−483.40</w:t>
            </w:r>
          </w:p>
        </w:tc>
        <w:tc>
          <w:tcPr>
            <w:tcW w:w="12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18397F"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−483.21</w:t>
            </w:r>
          </w:p>
        </w:tc>
        <w:tc>
          <w:tcPr>
            <w:tcW w:w="12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629D6C"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−474.77</w:t>
            </w:r>
          </w:p>
        </w:tc>
        <w:tc>
          <w:tcPr>
            <w:tcW w:w="10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DFB5E"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2.62%</w:t>
            </w:r>
          </w:p>
        </w:tc>
      </w:tr>
    </w:tbl>
    <w:p w14:paraId="20BE6FEC" w14:textId="77777777" w:rsidR="006668C5" w:rsidRDefault="006668C5"/>
    <w:p w14:paraId="44D88088" w14:textId="77777777" w:rsidR="006668C5" w:rsidRDefault="00000000">
      <w:r>
        <w:t>The auto-ARIMA model has marginally better information criteria. Both models produce nearly identical forecasts, confirming that the seasonal structure (0,1,</w:t>
      </w:r>
      <w:proofErr w:type="gramStart"/>
      <w:r>
        <w:t>1)₁</w:t>
      </w:r>
      <w:proofErr w:type="gramEnd"/>
      <w:r>
        <w:t>₂ is the dominant component.</w:t>
      </w:r>
    </w:p>
    <w:p w14:paraId="40C7CC67" w14:textId="77777777" w:rsidR="006668C5" w:rsidRDefault="00000000">
      <w:pPr>
        <w:pStyle w:val="1"/>
      </w:pPr>
      <w:r>
        <w:t>Task 3 — Classical Decomposition (</w:t>
      </w:r>
      <w:proofErr w:type="spellStart"/>
      <w:r>
        <w:t>AirPassengers</w:t>
      </w:r>
      <w:proofErr w:type="spellEnd"/>
      <w:r>
        <w:t>)</w:t>
      </w:r>
    </w:p>
    <w:p w14:paraId="4BF973F1" w14:textId="77777777" w:rsidR="006668C5" w:rsidRDefault="00000000">
      <w:pPr>
        <w:pStyle w:val="2"/>
      </w:pPr>
      <w:r>
        <w:t>3.1 Indicator Selection</w:t>
      </w:r>
    </w:p>
    <w:p w14:paraId="3BE1CD4D" w14:textId="77777777" w:rsidR="006668C5" w:rsidRDefault="00000000">
      <w:r>
        <w:t>Dataset: Monthly international airline passengers (thousands), Jan 1949 – Dec 1960. Monthly frequency with strong seasonal fluctuations, ideal for classical decomposition.</w:t>
      </w:r>
    </w:p>
    <w:p w14:paraId="608DDA43" w14:textId="77777777" w:rsidR="006668C5" w:rsidRDefault="00000000">
      <w:pPr>
        <w:pStyle w:val="2"/>
      </w:pPr>
      <w:r>
        <w:t>3.2 Time Series Analysis, ACF &amp; PACF</w:t>
      </w:r>
    </w:p>
    <w:p w14:paraId="3CFB2DA2" w14:textId="77777777" w:rsidR="006668C5" w:rsidRDefault="00000000">
      <w:r>
        <w:t>The series shows exponential growth (upward curvature) with seasonal amplitude proportional to the trend level. The ACF decays slowly with pronounced peaks at lags 12, 24, 36, confirming a strong annual seasonal component (s = 12). The PACF has a dominant spike at lag 1.</w:t>
      </w:r>
    </w:p>
    <w:p w14:paraId="0B126BE8" w14:textId="77777777" w:rsidR="006668C5" w:rsidRDefault="00000000">
      <w:pPr>
        <w:pStyle w:val="2"/>
      </w:pPr>
      <w:r>
        <w:t>3.3 Seasonal Component: Availability, Length &amp; Type</w:t>
      </w:r>
    </w:p>
    <w:p w14:paraId="5CC264C4" w14:textId="77777777" w:rsidR="006668C5" w:rsidRDefault="00000000">
      <w:r>
        <w:t>Seasonal length: s = 12 months.</w:t>
      </w:r>
    </w:p>
    <w:p w14:paraId="28A0A9F7" w14:textId="77777777" w:rsidR="006668C5" w:rsidRDefault="00000000">
      <w:r>
        <w:t>Seasonal type check via boxplots by month showed that July–August are the peak months and November the trough, consistently across all years. The seasonal amplitude grows proportionally with the level (variance increases over time).</w:t>
      </w:r>
    </w:p>
    <w:p w14:paraId="36A53EC0" w14:textId="77777777" w:rsidR="006668C5" w:rsidRDefault="00000000">
      <w:r>
        <w:t>Conclusion: MULTIPLICATIVE seasonality. A multiplicative decomposition (Y = Trend × Seasonal × Random) is appropriate because the seasonal fluctuations scale with the trend level.</w:t>
      </w:r>
    </w:p>
    <w:p w14:paraId="7C65134E" w14:textId="77777777" w:rsidR="006668C5" w:rsidRDefault="00000000">
      <w:pPr>
        <w:pStyle w:val="2"/>
      </w:pPr>
      <w:r>
        <w:t>3.4 Classical Multiplicative Decomposition</w:t>
      </w:r>
    </w:p>
    <w:p w14:paraId="4CA28315" w14:textId="77777777" w:rsidR="006668C5" w:rsidRDefault="00000000">
      <w:r>
        <w:t xml:space="preserve">Using </w:t>
      </w:r>
      <w:proofErr w:type="gramStart"/>
      <w:r>
        <w:t>decompose(</w:t>
      </w:r>
      <w:proofErr w:type="gramEnd"/>
      <w:r>
        <w:t>type = "multiplicative"), the series was split into:</w:t>
      </w:r>
    </w:p>
    <w:p w14:paraId="118B9E43" w14:textId="77777777" w:rsidR="006668C5" w:rsidRDefault="00000000">
      <w:r>
        <w:t xml:space="preserve">  • Trend: smooth upward curve, accelerating after ~1955. Reflects the post-war boom in commercial aviation.</w:t>
      </w:r>
    </w:p>
    <w:p w14:paraId="34433DD1" w14:textId="77777777" w:rsidR="006668C5" w:rsidRDefault="00000000">
      <w:r>
        <w:t xml:space="preserve">  • Seasonal: consistent multiplicative factors ranging ~0.90–1.20. Peak in July (~1.20), trough in November (~0.90). The pattern is stable across years.</w:t>
      </w:r>
    </w:p>
    <w:p w14:paraId="12A74DBA" w14:textId="77777777" w:rsidR="006668C5" w:rsidRDefault="00000000">
      <w:r>
        <w:t xml:space="preserve">  • Random: mean ≈ 1.0, no obvious systematic pattern.</w:t>
      </w:r>
    </w:p>
    <w:p w14:paraId="375D8108" w14:textId="77777777" w:rsidR="006668C5" w:rsidRDefault="00000000">
      <w:r>
        <w:t>An STL decomposition was also performed for comparison, confirming the same structure.</w:t>
      </w:r>
    </w:p>
    <w:p w14:paraId="192BED0B" w14:textId="77777777" w:rsidR="006668C5" w:rsidRDefault="00000000">
      <w:pPr>
        <w:pStyle w:val="2"/>
      </w:pPr>
      <w:r>
        <w:lastRenderedPageBreak/>
        <w:t>3.5 Error Analysis</w:t>
      </w:r>
    </w:p>
    <w:p w14:paraId="4531905E" w14:textId="77777777" w:rsidR="006668C5" w:rsidRDefault="00000000">
      <w:r>
        <w:t xml:space="preserve">The random component (ratio of observed to model) was </w:t>
      </w:r>
      <w:proofErr w:type="spellStart"/>
      <w:r>
        <w:t>analysed</w:t>
      </w:r>
      <w:proofErr w:type="spellEnd"/>
      <w:r>
        <w:t xml:space="preserve"> as the model error.</w:t>
      </w:r>
    </w:p>
    <w:p w14:paraId="197C4A08" w14:textId="77777777" w:rsidR="006668C5" w:rsidRDefault="00000000">
      <w:r>
        <w:t>Shapiro-Wilk test: W = 0.9767, p = 0.023 → rejects normality at α = 0.05.</w:t>
      </w:r>
    </w:p>
    <w:p w14:paraId="5030CD40" w14:textId="77777777" w:rsidR="006668C5" w:rsidRDefault="00000000">
      <w:r>
        <w:t>Kolmogorov-Smirnov test: D = 0.084, p = 0.309 → fails to reject normality.</w:t>
      </w:r>
    </w:p>
    <w:p w14:paraId="7B3F00DD" w14:textId="77777777" w:rsidR="006668C5" w:rsidRDefault="00000000">
      <w:r>
        <w:t>The KS test suggests approximate normality. The slight deviation detected by Shapiro-Wilk may be due to outliers in the early years.</w:t>
      </w:r>
    </w:p>
    <w:p w14:paraId="3B111EB6" w14:textId="77777777" w:rsidR="006668C5" w:rsidRDefault="00000000">
      <w:r>
        <w:t>Error mean = 0.998 (ideal: 1.0 for multiplicative model), error variance = 0.0011.</w:t>
      </w:r>
    </w:p>
    <w:p w14:paraId="1AD412D9" w14:textId="77777777" w:rsidR="006668C5" w:rsidRDefault="00000000">
      <w:pPr>
        <w:pStyle w:val="2"/>
      </w:pPr>
      <w:r>
        <w:t>3.6 Model Quality Assessment</w:t>
      </w:r>
    </w:p>
    <w:tbl>
      <w:tblPr>
        <w:tblW w:w="0" w:type="auto"/>
        <w:jc w:val="center"/>
        <w:tblLayout w:type="fixed"/>
        <w:tblLook w:val="0420" w:firstRow="1" w:lastRow="0" w:firstColumn="0" w:lastColumn="0" w:noHBand="0" w:noVBand="1"/>
      </w:tblPr>
      <w:tblGrid>
        <w:gridCol w:w="1046"/>
        <w:gridCol w:w="1084"/>
      </w:tblGrid>
      <w:tr w:rsidR="006668C5" w14:paraId="1D2DA443" w14:textId="77777777">
        <w:trPr>
          <w:tblHeader/>
          <w:jc w:val="center"/>
        </w:trPr>
        <w:tc>
          <w:tcPr>
            <w:tcW w:w="10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E3C36E"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CD406E"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Value</w:t>
            </w:r>
          </w:p>
        </w:tc>
      </w:tr>
      <w:tr w:rsidR="006668C5" w14:paraId="1598C7E4" w14:textId="77777777">
        <w:trPr>
          <w:jc w:val="center"/>
        </w:trPr>
        <w:tc>
          <w:tcPr>
            <w:tcW w:w="10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3722E"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R²</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058BA"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0.9918</w:t>
            </w:r>
          </w:p>
        </w:tc>
      </w:tr>
      <w:tr w:rsidR="006668C5" w14:paraId="0FBBB77C" w14:textId="77777777">
        <w:trPr>
          <w:jc w:val="center"/>
        </w:trPr>
        <w:tc>
          <w:tcPr>
            <w:tcW w:w="10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93405"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MAPE</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D7484"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2.44%</w:t>
            </w:r>
          </w:p>
        </w:tc>
      </w:tr>
      <w:tr w:rsidR="006668C5" w14:paraId="6BBFD9D6" w14:textId="77777777">
        <w:trPr>
          <w:jc w:val="center"/>
        </w:trPr>
        <w:tc>
          <w:tcPr>
            <w:tcW w:w="10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AC71F"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RMSE</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5B726"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9.88</w:t>
            </w:r>
          </w:p>
        </w:tc>
      </w:tr>
      <w:tr w:rsidR="006668C5" w14:paraId="77D9EB91" w14:textId="77777777">
        <w:trPr>
          <w:jc w:val="center"/>
        </w:trPr>
        <w:tc>
          <w:tcPr>
            <w:tcW w:w="10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14C6F3"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MAE</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213ACF" w14:textId="77777777" w:rsidR="006668C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6.60</w:t>
            </w:r>
          </w:p>
        </w:tc>
      </w:tr>
    </w:tbl>
    <w:p w14:paraId="7E2F07BE" w14:textId="77777777" w:rsidR="006668C5" w:rsidRDefault="006668C5"/>
    <w:p w14:paraId="6D48FDC8" w14:textId="77777777" w:rsidR="006668C5" w:rsidRDefault="00000000">
      <w:r>
        <w:t>R² = 0.9918 indicates the decomposition model explains 99.18% of the variance. MAPE = 2.44% confirms excellent predictive accuracy.</w:t>
      </w:r>
    </w:p>
    <w:p w14:paraId="243CC1F1" w14:textId="77777777" w:rsidR="006668C5" w:rsidRDefault="00000000">
      <w:pPr>
        <w:pStyle w:val="2"/>
      </w:pPr>
      <w:r>
        <w:t>3.7 Forecast — 2 Years Ahead with Prediction Interval</w:t>
      </w:r>
    </w:p>
    <w:p w14:paraId="49E8FDC3" w14:textId="77777777" w:rsidR="006668C5" w:rsidRDefault="00000000">
      <w:r>
        <w:t>Forecasting approach:</w:t>
      </w:r>
    </w:p>
    <w:p w14:paraId="0A5BF90F" w14:textId="77777777" w:rsidR="006668C5" w:rsidRDefault="00000000">
      <w:r>
        <w:t xml:space="preserve">  • Trend: linear regression on the last trend values (R² = 0.989), extrapolated 24 periods forward.</w:t>
      </w:r>
    </w:p>
    <w:p w14:paraId="056E786A" w14:textId="77777777" w:rsidR="006668C5" w:rsidRDefault="00000000">
      <w:r>
        <w:t xml:space="preserve">  • Seasonal: the 12-month seasonal factor pattern repeated for 1961–1962.</w:t>
      </w:r>
    </w:p>
    <w:p w14:paraId="7A0E2451" w14:textId="77777777" w:rsidR="006668C5" w:rsidRDefault="00000000">
      <w:r>
        <w:t xml:space="preserve">  • Multiplicative forecast: Trend × Seasonal.</w:t>
      </w:r>
    </w:p>
    <w:p w14:paraId="0B941EE8" w14:textId="77777777" w:rsidR="006668C5" w:rsidRDefault="00000000">
      <w:r>
        <w:t xml:space="preserve">  • 95% prediction interval: derived from the log-error standard deviation, assuming lognormal error distribution.</w:t>
      </w:r>
    </w:p>
    <w:p w14:paraId="4C7257EA" w14:textId="77777777" w:rsidR="006668C5" w:rsidRDefault="00000000">
      <w:r>
        <w:t>The forecast captures the continued growth trend with realistic seasonal fluctuations. The prediction interval widens over time, reflecting increasing uncertainty.</w:t>
      </w:r>
    </w:p>
    <w:p w14:paraId="59A3773C" w14:textId="77777777" w:rsidR="006668C5" w:rsidRDefault="00000000">
      <w:pPr>
        <w:pStyle w:val="1"/>
      </w:pPr>
      <w:r>
        <w:t>Summary</w:t>
      </w:r>
    </w:p>
    <w:tbl>
      <w:tblPr>
        <w:tblW w:w="10526" w:type="dxa"/>
        <w:jc w:val="center"/>
        <w:tblLayout w:type="fixed"/>
        <w:tblLook w:val="0420" w:firstRow="1" w:lastRow="0" w:firstColumn="0" w:lastColumn="0" w:noHBand="0" w:noVBand="1"/>
      </w:tblPr>
      <w:tblGrid>
        <w:gridCol w:w="1071"/>
        <w:gridCol w:w="2549"/>
        <w:gridCol w:w="1157"/>
        <w:gridCol w:w="1841"/>
        <w:gridCol w:w="3908"/>
      </w:tblGrid>
      <w:tr w:rsidR="00A90C47" w14:paraId="0512ACBA" w14:textId="77777777" w:rsidTr="00A90C47">
        <w:trPr>
          <w:tblHeader/>
          <w:jc w:val="center"/>
        </w:trPr>
        <w:tc>
          <w:tcPr>
            <w:tcW w:w="10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2220B8"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w:t>
            </w:r>
          </w:p>
        </w:tc>
        <w:tc>
          <w:tcPr>
            <w:tcW w:w="5547"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4E3094"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Method</w:t>
            </w:r>
          </w:p>
        </w:tc>
        <w:tc>
          <w:tcPr>
            <w:tcW w:w="39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A4973"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Dataset</w:t>
            </w:r>
          </w:p>
        </w:tc>
      </w:tr>
      <w:tr w:rsidR="00A90C47" w14:paraId="5763BE81" w14:textId="77777777" w:rsidTr="00A90C47">
        <w:trPr>
          <w:jc w:val="center"/>
        </w:trPr>
        <w:tc>
          <w:tcPr>
            <w:tcW w:w="10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915F1"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 1</w:t>
            </w:r>
          </w:p>
        </w:tc>
        <w:tc>
          <w:tcPr>
            <w:tcW w:w="5547"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B8523"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Exponential Smoothing (Brown 1st, Brown 2nd, Holt)</w:t>
            </w:r>
          </w:p>
        </w:tc>
        <w:tc>
          <w:tcPr>
            <w:tcW w:w="39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F473D"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Johnson &amp; Johnson (quarterly EPS)</w:t>
            </w:r>
          </w:p>
        </w:tc>
      </w:tr>
      <w:tr w:rsidR="00A90C47" w14:paraId="321F5D46" w14:textId="77777777" w:rsidTr="00A90C47">
        <w:trPr>
          <w:jc w:val="center"/>
        </w:trPr>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04EA1"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 2</w:t>
            </w:r>
          </w:p>
        </w:tc>
        <w:tc>
          <w:tcPr>
            <w:tcW w:w="5547"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54251"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gramStart"/>
            <w:r>
              <w:rPr>
                <w:rFonts w:ascii="Arial" w:eastAsia="Arial" w:hAnsi="Arial" w:cs="Arial"/>
                <w:color w:val="000000"/>
                <w:sz w:val="22"/>
                <w:szCs w:val="22"/>
              </w:rPr>
              <w:t>SARIMA(</w:t>
            </w:r>
            <w:proofErr w:type="gramEnd"/>
            <w:r>
              <w:rPr>
                <w:rFonts w:ascii="Arial" w:eastAsia="Arial" w:hAnsi="Arial" w:cs="Arial"/>
                <w:color w:val="000000"/>
                <w:sz w:val="22"/>
                <w:szCs w:val="22"/>
              </w:rPr>
              <w:t>1,1,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0,1,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12]</w:t>
            </w:r>
          </w:p>
        </w:tc>
        <w:tc>
          <w:tcPr>
            <w:tcW w:w="39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DF060"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AirPassengers</w:t>
            </w:r>
            <w:proofErr w:type="spellEnd"/>
            <w:r>
              <w:rPr>
                <w:rFonts w:ascii="Arial" w:eastAsia="Arial" w:hAnsi="Arial" w:cs="Arial"/>
                <w:color w:val="000000"/>
                <w:sz w:val="22"/>
                <w:szCs w:val="22"/>
              </w:rPr>
              <w:t xml:space="preserve"> (monthly)</w:t>
            </w:r>
          </w:p>
        </w:tc>
      </w:tr>
      <w:tr w:rsidR="00A90C47" w14:paraId="7427959E" w14:textId="77777777" w:rsidTr="00A90C47">
        <w:trPr>
          <w:jc w:val="center"/>
        </w:trPr>
        <w:tc>
          <w:tcPr>
            <w:tcW w:w="10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A2343"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Task 3</w:t>
            </w:r>
          </w:p>
        </w:tc>
        <w:tc>
          <w:tcPr>
            <w:tcW w:w="5547" w:type="dxa"/>
            <w:gridSpan w:val="3"/>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37C391"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Classical Multiplicative Decomposition</w:t>
            </w:r>
          </w:p>
        </w:tc>
        <w:tc>
          <w:tcPr>
            <w:tcW w:w="39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65FD4" w14:textId="77777777" w:rsidR="00A90C47" w:rsidRDefault="00A90C47">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AirPassengers</w:t>
            </w:r>
            <w:proofErr w:type="spellEnd"/>
            <w:r>
              <w:rPr>
                <w:rFonts w:ascii="Arial" w:eastAsia="Arial" w:hAnsi="Arial" w:cs="Arial"/>
                <w:color w:val="000000"/>
                <w:sz w:val="22"/>
                <w:szCs w:val="22"/>
              </w:rPr>
              <w:t xml:space="preserve"> (monthly)</w:t>
            </w:r>
          </w:p>
        </w:tc>
      </w:tr>
      <w:tr w:rsidR="00A90C47" w14:paraId="3C46C7A1" w14:textId="77777777" w:rsidTr="00A90C47">
        <w:trPr>
          <w:gridAfter w:val="2"/>
          <w:wAfter w:w="5749" w:type="dxa"/>
          <w:tblHeader/>
          <w:jc w:val="center"/>
        </w:trPr>
        <w:tc>
          <w:tcPr>
            <w:tcW w:w="362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EB70F0" w14:textId="77777777" w:rsidR="00A90C47" w:rsidRDefault="00A90C47" w:rsidP="00A90C4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Best Model</w:t>
            </w:r>
          </w:p>
        </w:tc>
        <w:tc>
          <w:tcPr>
            <w:tcW w:w="11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5879D5" w14:textId="77777777" w:rsidR="00A90C47" w:rsidRDefault="00A90C47" w:rsidP="00A90C4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MAPE</w:t>
            </w:r>
          </w:p>
        </w:tc>
      </w:tr>
      <w:tr w:rsidR="00A90C47" w14:paraId="0C1B86C7" w14:textId="77777777" w:rsidTr="00A90C47">
        <w:trPr>
          <w:gridAfter w:val="2"/>
          <w:wAfter w:w="5749" w:type="dxa"/>
          <w:jc w:val="center"/>
        </w:trPr>
        <w:tc>
          <w:tcPr>
            <w:tcW w:w="362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55105" w14:textId="77777777" w:rsidR="00A90C47" w:rsidRDefault="00A90C47" w:rsidP="00A90C4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Holt (α=0.13, β=0.99)</w:t>
            </w:r>
          </w:p>
        </w:tc>
        <w:tc>
          <w:tcPr>
            <w:tcW w:w="11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1E504" w14:textId="77777777" w:rsidR="00A90C47" w:rsidRDefault="00A90C47" w:rsidP="00A90C4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14.78%</w:t>
            </w:r>
          </w:p>
        </w:tc>
      </w:tr>
      <w:tr w:rsidR="00A90C47" w14:paraId="3617C862" w14:textId="77777777" w:rsidTr="00A90C47">
        <w:trPr>
          <w:gridAfter w:val="2"/>
          <w:wAfter w:w="5749" w:type="dxa"/>
          <w:jc w:val="center"/>
        </w:trPr>
        <w:tc>
          <w:tcPr>
            <w:tcW w:w="362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E2CDE" w14:textId="77777777" w:rsidR="00A90C47" w:rsidRDefault="00A90C47" w:rsidP="00A90C4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roofErr w:type="gramStart"/>
            <w:r>
              <w:rPr>
                <w:rFonts w:ascii="Arial" w:eastAsia="Arial" w:hAnsi="Arial" w:cs="Arial"/>
                <w:color w:val="000000"/>
                <w:sz w:val="22"/>
                <w:szCs w:val="22"/>
              </w:rPr>
              <w:t>SARIMA(</w:t>
            </w:r>
            <w:proofErr w:type="gramEnd"/>
            <w:r>
              <w:rPr>
                <w:rFonts w:ascii="Arial" w:eastAsia="Arial" w:hAnsi="Arial" w:cs="Arial"/>
                <w:color w:val="000000"/>
                <w:sz w:val="22"/>
                <w:szCs w:val="22"/>
              </w:rPr>
              <w:t>1,1,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0,1,</w:t>
            </w:r>
            <w:proofErr w:type="gramStart"/>
            <w:r>
              <w:rPr>
                <w:rFonts w:ascii="Arial" w:eastAsia="Arial" w:hAnsi="Arial" w:cs="Arial"/>
                <w:color w:val="000000"/>
                <w:sz w:val="22"/>
                <w:szCs w:val="22"/>
              </w:rPr>
              <w:t>1)[</w:t>
            </w:r>
            <w:proofErr w:type="gramEnd"/>
            <w:r>
              <w:rPr>
                <w:rFonts w:ascii="Arial" w:eastAsia="Arial" w:hAnsi="Arial" w:cs="Arial"/>
                <w:color w:val="000000"/>
                <w:sz w:val="22"/>
                <w:szCs w:val="22"/>
              </w:rPr>
              <w:t>12]</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C0E28" w14:textId="77777777" w:rsidR="00A90C47" w:rsidRDefault="00A90C47" w:rsidP="00A90C4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2.58%</w:t>
            </w:r>
          </w:p>
        </w:tc>
      </w:tr>
      <w:tr w:rsidR="00A90C47" w14:paraId="7B0944A6" w14:textId="77777777" w:rsidTr="00A90C47">
        <w:trPr>
          <w:gridAfter w:val="2"/>
          <w:wAfter w:w="5749" w:type="dxa"/>
          <w:jc w:val="center"/>
        </w:trPr>
        <w:tc>
          <w:tcPr>
            <w:tcW w:w="3620"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6F25C0" w14:textId="77777777" w:rsidR="00A90C47" w:rsidRDefault="00A90C47" w:rsidP="00A90C4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Multiplicative (Trend × Seasonal)</w:t>
            </w:r>
          </w:p>
        </w:tc>
        <w:tc>
          <w:tcPr>
            <w:tcW w:w="11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0821E6" w14:textId="77777777" w:rsidR="00A90C47" w:rsidRDefault="00A90C47" w:rsidP="00A90C47">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2.44%</w:t>
            </w:r>
          </w:p>
        </w:tc>
      </w:tr>
    </w:tbl>
    <w:p w14:paraId="2DA3D3C6" w14:textId="77777777" w:rsidR="006668C5" w:rsidRDefault="006668C5">
      <w:pPr>
        <w:rPr>
          <w:rFonts w:eastAsia="宋体"/>
          <w:lang w:eastAsia="zh-CN"/>
        </w:rPr>
      </w:pPr>
    </w:p>
    <w:p w14:paraId="1F916C10" w14:textId="77777777" w:rsidR="00A90C47" w:rsidRPr="00A90C47" w:rsidRDefault="00A90C47">
      <w:pPr>
        <w:rPr>
          <w:rFonts w:eastAsia="宋体" w:hint="eastAsia"/>
          <w:lang w:eastAsia="zh-CN"/>
        </w:rPr>
      </w:pPr>
    </w:p>
    <w:p w14:paraId="010012B3" w14:textId="77777777" w:rsidR="006668C5" w:rsidRDefault="00000000">
      <w:r>
        <w:t xml:space="preserve">All R scripts and graphical outputs (21 PNG files) are located in the project directory. The </w:t>
      </w:r>
      <w:proofErr w:type="spellStart"/>
      <w:r>
        <w:t>AirPassengers</w:t>
      </w:r>
      <w:proofErr w:type="spellEnd"/>
      <w:r>
        <w:t xml:space="preserve"> dataset yields substantially better forecast accuracy (MAPE ≈ 2.5%) compared to the Johnson &amp; Johnson EPS series (MAPE ≈ 15%), largely because airline passenger data exhibits a stable, predictable seasonal pattern, while quarterly EPS is inherently more volatile.</w:t>
      </w:r>
    </w:p>
    <w:sectPr w:rsidR="006668C5"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53182604">
    <w:abstractNumId w:val="1"/>
  </w:num>
  <w:num w:numId="2" w16cid:durableId="1165583413">
    <w:abstractNumId w:val="2"/>
  </w:num>
  <w:num w:numId="3" w16cid:durableId="152751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3521EA"/>
    <w:rsid w:val="0035500D"/>
    <w:rsid w:val="00362E65"/>
    <w:rsid w:val="003843FB"/>
    <w:rsid w:val="004158F9"/>
    <w:rsid w:val="00457CF1"/>
    <w:rsid w:val="006668C5"/>
    <w:rsid w:val="00747CCE"/>
    <w:rsid w:val="007B3E96"/>
    <w:rsid w:val="008F1F48"/>
    <w:rsid w:val="00901463"/>
    <w:rsid w:val="00946CB3"/>
    <w:rsid w:val="00A90C47"/>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5AD964"/>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2">
    <w:name w:val="heading 2"/>
    <w:basedOn w:val="a"/>
    <w:next w:val="a"/>
    <w:link w:val="20"/>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要点1"/>
    <w:basedOn w:val="a0"/>
    <w:uiPriority w:val="1"/>
    <w:qFormat/>
    <w:rsid w:val="007B3E96"/>
    <w:rPr>
      <w:b/>
    </w:rPr>
  </w:style>
  <w:style w:type="paragraph" w:customStyle="1" w:styleId="centered">
    <w:name w:val="centered"/>
    <w:basedOn w:val="a"/>
    <w:qFormat/>
    <w:rsid w:val="001D75AB"/>
    <w:pPr>
      <w:jc w:val="center"/>
    </w:pPr>
  </w:style>
  <w:style w:type="table" w:customStyle="1" w:styleId="tabletemplate">
    <w:name w:val="table_template"/>
    <w:basedOn w:val="a1"/>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2">
    <w:name w:val="Light List Accent 2"/>
    <w:basedOn w:val="a1"/>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10">
    <w:name w:val="标题 1 字符"/>
    <w:basedOn w:val="a0"/>
    <w:link w:val="1"/>
    <w:uiPriority w:val="9"/>
    <w:rsid w:val="00362E65"/>
    <w:rPr>
      <w:rFonts w:asciiTheme="majorHAnsi" w:eastAsiaTheme="majorEastAsia" w:hAnsiTheme="majorHAnsi" w:cstheme="majorBidi"/>
      <w:b/>
      <w:bCs/>
      <w:sz w:val="32"/>
      <w:szCs w:val="32"/>
    </w:rPr>
  </w:style>
  <w:style w:type="character" w:customStyle="1" w:styleId="20">
    <w:name w:val="标题 2 字符"/>
    <w:basedOn w:val="a0"/>
    <w:link w:val="2"/>
    <w:uiPriority w:val="9"/>
    <w:semiHidden/>
    <w:rsid w:val="00362E65"/>
    <w:rPr>
      <w:rFonts w:asciiTheme="majorHAnsi" w:eastAsiaTheme="majorEastAsia" w:hAnsiTheme="majorHAnsi" w:cstheme="majorBidi"/>
      <w:b/>
      <w:bCs/>
      <w:sz w:val="26"/>
      <w:szCs w:val="26"/>
    </w:rPr>
  </w:style>
  <w:style w:type="character" w:customStyle="1" w:styleId="30">
    <w:name w:val="标题 3 字符"/>
    <w:basedOn w:val="a0"/>
    <w:link w:val="3"/>
    <w:uiPriority w:val="9"/>
    <w:semiHidden/>
    <w:rsid w:val="00362E65"/>
    <w:rPr>
      <w:rFonts w:asciiTheme="majorHAnsi" w:eastAsiaTheme="majorEastAsia" w:hAnsiTheme="majorHAnsi" w:cstheme="majorBidi"/>
      <w:b/>
      <w:bCs/>
    </w:rPr>
  </w:style>
  <w:style w:type="paragraph" w:customStyle="1" w:styleId="ImageCaption">
    <w:name w:val="Image Caption"/>
    <w:basedOn w:val="a"/>
    <w:qFormat/>
    <w:rsid w:val="00AE18EF"/>
    <w:pPr>
      <w:jc w:val="center"/>
    </w:pPr>
    <w:rPr>
      <w:b/>
      <w:i/>
    </w:rPr>
  </w:style>
  <w:style w:type="paragraph" w:customStyle="1" w:styleId="TableCaption">
    <w:name w:val="Table Caption"/>
    <w:basedOn w:val="ImageCaption"/>
    <w:qFormat/>
    <w:rsid w:val="00AE18EF"/>
  </w:style>
  <w:style w:type="table" w:styleId="a3">
    <w:name w:val="Table Professional"/>
    <w:basedOn w:val="a1"/>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a"/>
    <w:next w:val="a"/>
    <w:autoRedefine/>
    <w:uiPriority w:val="39"/>
    <w:unhideWhenUsed/>
    <w:rsid w:val="00FB63E7"/>
    <w:pPr>
      <w:spacing w:after="100"/>
    </w:pPr>
  </w:style>
  <w:style w:type="paragraph" w:styleId="TOC2">
    <w:name w:val="toc 2"/>
    <w:basedOn w:val="a"/>
    <w:next w:val="a"/>
    <w:autoRedefine/>
    <w:uiPriority w:val="39"/>
    <w:unhideWhenUsed/>
    <w:rsid w:val="00FB63E7"/>
    <w:pPr>
      <w:spacing w:after="100"/>
      <w:ind w:left="240"/>
    </w:pPr>
  </w:style>
  <w:style w:type="paragraph" w:styleId="a4">
    <w:name w:val="Balloon Text"/>
    <w:basedOn w:val="a"/>
    <w:link w:val="a5"/>
    <w:uiPriority w:val="99"/>
    <w:semiHidden/>
    <w:unhideWhenUsed/>
    <w:rsid w:val="00FB63E7"/>
    <w:rPr>
      <w:rFonts w:ascii="Lucida Grande" w:hAnsi="Lucida Grande"/>
      <w:sz w:val="18"/>
      <w:szCs w:val="18"/>
    </w:rPr>
  </w:style>
  <w:style w:type="character" w:customStyle="1" w:styleId="a5">
    <w:name w:val="批注框文本 字符"/>
    <w:basedOn w:val="a0"/>
    <w:link w:val="a4"/>
    <w:uiPriority w:val="99"/>
    <w:semiHidden/>
    <w:rsid w:val="00FB63E7"/>
    <w:rPr>
      <w:rFonts w:ascii="Lucida Grande" w:hAnsi="Lucida Grande"/>
      <w:sz w:val="18"/>
      <w:szCs w:val="18"/>
    </w:rPr>
  </w:style>
  <w:style w:type="character" w:customStyle="1" w:styleId="referenceid">
    <w:name w:val="reference_id"/>
    <w:basedOn w:val="a0"/>
    <w:uiPriority w:val="1"/>
    <w:rsid w:val="00457CF1"/>
    <w:rPr>
      <w:vertAlign w:val="superscript"/>
    </w:rPr>
  </w:style>
  <w:style w:type="paragraph" w:customStyle="1" w:styleId="graphictitle">
    <w:name w:val="graphic title"/>
    <w:basedOn w:val="ImageCaption"/>
    <w:next w:val="a"/>
    <w:rsid w:val="0035500D"/>
  </w:style>
  <w:style w:type="paragraph" w:customStyle="1" w:styleId="tabletitle">
    <w:name w:val="table title"/>
    <w:basedOn w:val="TableCaption"/>
    <w:next w:val="a"/>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1478</Words>
  <Characters>8150</Characters>
  <Application>Microsoft Office Word</Application>
  <DocSecurity>0</DocSecurity>
  <Lines>254</Lines>
  <Paragraphs>218</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9410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文杰 石</cp:lastModifiedBy>
  <cp:revision>11</cp:revision>
  <dcterms:created xsi:type="dcterms:W3CDTF">2017-02-28T11:18:00Z</dcterms:created>
  <dcterms:modified xsi:type="dcterms:W3CDTF">2026-05-11T14:11:00Z</dcterms:modified>
  <cp:category/>
</cp:coreProperties>
</file>