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__1.vsdx" ContentType="application/vnd.ms-visio.drawing"/>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sz w:val="28"/>
          <w:szCs w:val="28"/>
        </w:rPr>
      </w:pPr>
      <w:r>
        <w:rPr>
          <w:sz w:val="28"/>
          <w:szCs w:val="28"/>
        </w:rPr>
        <w:t>附件A</w:t>
      </w:r>
      <w:r>
        <w:rPr>
          <w:rFonts w:hint="eastAsia"/>
          <w:sz w:val="28"/>
          <w:szCs w:val="28"/>
        </w:rPr>
        <w:t>：房间温变过程的集总参数等值模型</w:t>
      </w:r>
    </w:p>
    <w:p>
      <w:pPr>
        <w:spacing w:line="360" w:lineRule="auto"/>
        <w:ind w:firstLine="480" w:firstLineChars="200"/>
        <w:rPr>
          <w:rFonts w:ascii="Times New Roman" w:hAnsi="Times New Roman" w:eastAsia="宋体" w:cs="Times New Roman"/>
          <w:sz w:val="24"/>
        </w:rPr>
      </w:pPr>
      <w:r>
        <w:rPr>
          <w:rFonts w:ascii="Times New Roman" w:hAnsi="Times New Roman" w:eastAsia="宋体" w:cs="Times New Roman"/>
          <w:sz w:val="24"/>
        </w:rPr>
        <w:t>建设以新能源为主体的新型电力系统是应对全球气候变化挑战的重要举措。高比例新能源接入导致电力系统调节能力稀缺，亟需开发新的调节资源，如火电深度调峰、建设抽水蓄能电站、配置储能和挖掘负荷中的调节能力等。现代电力负荷中含有较大比重的温控型负荷（如空调、电采暖），由于建筑热惯性的存在，可以在不影响住户舒适度体验的情况下，合理调控温控型负荷的用电方式，既可为电力系统提供调节能力，又可通过辅助服务收益降低温控型负荷的用电成本。</w:t>
      </w:r>
    </w:p>
    <w:p>
      <w:pPr>
        <w:spacing w:line="360" w:lineRule="auto"/>
        <w:ind w:firstLine="480" w:firstLineChars="200"/>
        <w:rPr>
          <w:rFonts w:ascii="Times New Roman" w:hAnsi="Times New Roman" w:eastAsia="宋体" w:cs="Times New Roman"/>
          <w:sz w:val="24"/>
        </w:rPr>
      </w:pPr>
      <w:r>
        <w:rPr>
          <w:rFonts w:ascii="Times New Roman" w:hAnsi="Times New Roman" w:eastAsia="宋体" w:cs="Times New Roman"/>
          <w:sz w:val="24"/>
        </w:rPr>
        <w:t>设某住宅小区有600个电采暖供热住户，为简便起见，</w:t>
      </w:r>
      <w:r>
        <w:rPr>
          <w:rFonts w:hint="eastAsia" w:ascii="Times New Roman" w:hAnsi="Times New Roman" w:eastAsia="宋体" w:cs="Times New Roman"/>
          <w:sz w:val="24"/>
        </w:rPr>
        <w:t>将所有住户用典型住户表示，典型住户只有一个房间，</w:t>
      </w:r>
      <w:r>
        <w:rPr>
          <w:rFonts w:ascii="Times New Roman" w:hAnsi="Times New Roman" w:eastAsia="宋体" w:cs="Times New Roman"/>
          <w:sz w:val="24"/>
        </w:rPr>
        <w:t>建筑面积80 m</w:t>
      </w:r>
      <w:r>
        <w:rPr>
          <w:rFonts w:ascii="Times New Roman" w:hAnsi="Times New Roman" w:eastAsia="宋体" w:cs="Times New Roman"/>
          <w:sz w:val="24"/>
          <w:vertAlign w:val="superscript"/>
        </w:rPr>
        <w:t>2</w:t>
      </w:r>
      <w:r>
        <w:rPr>
          <w:rFonts w:ascii="Times New Roman" w:hAnsi="Times New Roman" w:eastAsia="宋体" w:cs="Times New Roman"/>
          <w:sz w:val="24"/>
        </w:rPr>
        <w:t>（8m×10m×2.9m），</w:t>
      </w:r>
      <w:r>
        <w:rPr>
          <w:rFonts w:hint="eastAsia" w:ascii="Times New Roman" w:hAnsi="Times New Roman" w:eastAsia="宋体" w:cs="Times New Roman"/>
          <w:sz w:val="24"/>
        </w:rPr>
        <w:t>采用一个额定功率为</w:t>
      </w:r>
      <w:r>
        <w:rPr>
          <w:rFonts w:ascii="Times New Roman" w:hAnsi="Times New Roman" w:eastAsia="宋体" w:cs="Times New Roman"/>
          <w:sz w:val="24"/>
        </w:rPr>
        <w:t>8 kW</w:t>
      </w:r>
      <w:r>
        <w:rPr>
          <w:rFonts w:hint="eastAsia" w:ascii="Times New Roman" w:hAnsi="Times New Roman" w:eastAsia="宋体" w:cs="Times New Roman"/>
          <w:sz w:val="24"/>
        </w:rPr>
        <w:t>的电加热器，</w:t>
      </w:r>
      <w:r>
        <w:rPr>
          <w:rFonts w:ascii="Times New Roman" w:hAnsi="Times New Roman" w:eastAsia="宋体" w:cs="Times New Roman"/>
          <w:sz w:val="24"/>
        </w:rPr>
        <w:t>温控区间为18℃-22℃。小区电采暖设备总额定</w:t>
      </w:r>
      <w:r>
        <w:rPr>
          <w:rFonts w:hint="eastAsia" w:ascii="Times New Roman" w:hAnsi="Times New Roman" w:eastAsia="宋体" w:cs="Times New Roman"/>
          <w:sz w:val="24"/>
        </w:rPr>
        <w:t>功率</w:t>
      </w:r>
      <w:r>
        <w:rPr>
          <w:rFonts w:ascii="Times New Roman" w:hAnsi="Times New Roman" w:eastAsia="宋体" w:cs="Times New Roman"/>
          <w:sz w:val="24"/>
        </w:rPr>
        <w:t>为4800 kW。</w:t>
      </w:r>
      <w:bookmarkStart w:id="0" w:name="_Hlk135911487"/>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建筑物房间的温度变化过程由电采暖设备制热功率、室外温度共同作用决定，</w:t>
      </w:r>
      <w:bookmarkEnd w:id="0"/>
      <w:r>
        <w:rPr>
          <w:rFonts w:ascii="Times New Roman" w:hAnsi="Times New Roman" w:eastAsia="宋体" w:cs="Times New Roman"/>
          <w:sz w:val="24"/>
          <w:szCs w:val="24"/>
        </w:rPr>
        <w:t>通常用三维分布参数的偏微分方程来描述。为简化分析，将偏微分方程简化成集总参数的常微分方程，简化的室内温变过程模型及</w:t>
      </w:r>
      <w:r>
        <w:rPr>
          <w:rFonts w:hint="eastAsia" w:ascii="Times New Roman" w:hAnsi="Times New Roman" w:eastAsia="宋体" w:cs="Times New Roman"/>
          <w:sz w:val="24"/>
          <w:szCs w:val="24"/>
        </w:rPr>
        <w:t>典型住户模型</w:t>
      </w:r>
      <w:r>
        <w:rPr>
          <w:rFonts w:ascii="Times New Roman" w:hAnsi="Times New Roman" w:eastAsia="宋体" w:cs="Times New Roman"/>
          <w:sz w:val="24"/>
          <w:szCs w:val="24"/>
        </w:rPr>
        <w:t>参数见附件A。电采暖负荷用电的峰谷电价及其参与削峰填谷辅助服务补偿价格见附件B。</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若某聚合商组织</w:t>
      </w:r>
      <w:r>
        <w:rPr>
          <w:rFonts w:ascii="Times New Roman" w:hAnsi="Times New Roman" w:eastAsia="宋体" w:cs="Times New Roman"/>
          <w:sz w:val="24"/>
          <w:szCs w:val="24"/>
        </w:rPr>
        <w:t>该小区所有电采暖负荷参与电网功率调节，在日前向调度中心申报运行</w:t>
      </w:r>
      <w:r>
        <w:rPr>
          <w:rFonts w:hint="eastAsia" w:ascii="Times New Roman" w:hAnsi="Times New Roman" w:eastAsia="宋体" w:cs="Times New Roman"/>
          <w:sz w:val="24"/>
          <w:szCs w:val="24"/>
        </w:rPr>
        <w:t>日各时段</w:t>
      </w:r>
      <w:r>
        <w:rPr>
          <w:rFonts w:ascii="Times New Roman" w:hAnsi="Times New Roman" w:eastAsia="宋体" w:cs="Times New Roman"/>
          <w:sz w:val="24"/>
          <w:szCs w:val="24"/>
        </w:rPr>
        <w:t>电采暖负荷计划功率和向上、向下可调节功率，</w:t>
      </w:r>
      <w:r>
        <w:rPr>
          <w:rFonts w:hint="eastAsia" w:ascii="Times New Roman" w:hAnsi="Times New Roman" w:eastAsia="宋体" w:cs="Times New Roman"/>
          <w:sz w:val="24"/>
          <w:szCs w:val="24"/>
        </w:rPr>
        <w:t>在运行日</w:t>
      </w:r>
      <w:r>
        <w:rPr>
          <w:rFonts w:ascii="Times New Roman" w:hAnsi="Times New Roman" w:eastAsia="宋体" w:cs="Times New Roman"/>
          <w:sz w:val="24"/>
          <w:szCs w:val="24"/>
        </w:rPr>
        <w:t>按调度指令参与功率调节</w:t>
      </w:r>
      <w:r>
        <w:rPr>
          <w:rFonts w:hint="eastAsia" w:ascii="Times New Roman" w:hAnsi="Times New Roman" w:eastAsia="宋体" w:cs="Times New Roman"/>
          <w:sz w:val="24"/>
          <w:szCs w:val="24"/>
        </w:rPr>
        <w:t>可</w:t>
      </w:r>
      <w:r>
        <w:rPr>
          <w:rFonts w:ascii="Times New Roman" w:hAnsi="Times New Roman" w:eastAsia="宋体" w:cs="Times New Roman"/>
          <w:sz w:val="24"/>
          <w:szCs w:val="24"/>
        </w:rPr>
        <w:t>从中获得经济补偿。</w:t>
      </w:r>
    </w:p>
    <w:p>
      <w:pPr>
        <w:spacing w:line="360" w:lineRule="auto"/>
        <w:ind w:firstLine="420" w:firstLineChars="200"/>
        <w:rPr>
          <w:rFonts w:hint="eastAsia" w:ascii="Times New Roman" w:hAnsi="Times New Roman"/>
          <w:bCs/>
          <w:szCs w:val="21"/>
        </w:rPr>
      </w:pPr>
      <w:bookmarkStart w:id="1" w:name="_GoBack"/>
      <w:bookmarkEnd w:id="1"/>
    </w:p>
    <w:p>
      <w:pPr>
        <w:spacing w:line="360" w:lineRule="auto"/>
        <w:ind w:firstLine="420" w:firstLineChars="200"/>
        <w:rPr>
          <w:rFonts w:hint="eastAsia" w:ascii="Times New Roman" w:hAnsi="Times New Roman"/>
          <w:bCs/>
          <w:szCs w:val="21"/>
        </w:rPr>
      </w:pPr>
    </w:p>
    <w:p>
      <w:pPr>
        <w:spacing w:line="360" w:lineRule="auto"/>
        <w:ind w:firstLine="420" w:firstLineChars="200"/>
        <w:rPr>
          <w:rFonts w:ascii="Times New Roman" w:hAnsi="Times New Roman"/>
          <w:bCs/>
          <w:szCs w:val="21"/>
        </w:rPr>
      </w:pPr>
      <w:r>
        <w:rPr>
          <w:rFonts w:hint="eastAsia" w:ascii="Times New Roman" w:hAnsi="Times New Roman"/>
          <w:bCs/>
          <w:szCs w:val="21"/>
        </w:rPr>
        <w:t>建筑物房间的温度变化过程由电采暖设备制热功率、室外温度共同作用决定，房间温变过程可由图A</w:t>
      </w:r>
      <w:r>
        <w:rPr>
          <w:rFonts w:ascii="Times New Roman" w:hAnsi="Times New Roman"/>
          <w:bCs/>
          <w:szCs w:val="21"/>
        </w:rPr>
        <w:t>1</w:t>
      </w:r>
      <w:r>
        <w:rPr>
          <w:rFonts w:hint="eastAsia" w:ascii="Times New Roman" w:hAnsi="Times New Roman"/>
          <w:bCs/>
          <w:szCs w:val="21"/>
        </w:rPr>
        <w:t>所示的集总参数等值模型近似表达。</w:t>
      </w:r>
    </w:p>
    <w:p>
      <w:pPr>
        <w:jc w:val="center"/>
        <w:rPr>
          <w:rFonts w:ascii="Times New Roman" w:hAnsi="Times New Roman"/>
          <w:bCs/>
          <w:szCs w:val="21"/>
        </w:rPr>
      </w:pPr>
      <w:r>
        <w:object>
          <v:shape id="_x0000_i1025" o:spt="75" type="#_x0000_t75" style="height:125.75pt;width:237.1pt;" o:ole="t" filled="f" o:preferrelative="t" stroked="f" coordsize="21600,21600">
            <v:path/>
            <v:fill on="f" focussize="0,0"/>
            <v:stroke on="f" joinstyle="miter"/>
            <v:imagedata r:id="rId5" o:title=""/>
            <o:lock v:ext="edit" aspectratio="t"/>
            <w10:wrap type="none"/>
            <w10:anchorlock/>
          </v:shape>
          <o:OLEObject Type="Embed" ProgID="Visio.Drawing.15" ShapeID="_x0000_i1025" DrawAspect="Content" ObjectID="_1468075725" r:id="rId4">
            <o:LockedField>false</o:LockedField>
          </o:OLEObject>
        </w:object>
      </w:r>
    </w:p>
    <w:p>
      <w:pPr>
        <w:snapToGrid w:val="0"/>
        <w:spacing w:before="78" w:beforeLines="25" w:after="78" w:afterLines="25" w:line="360" w:lineRule="auto"/>
        <w:ind w:firstLine="402" w:firstLineChars="200"/>
        <w:jc w:val="center"/>
        <w:rPr>
          <w:rFonts w:ascii="宋体" w:hAnsi="宋体"/>
          <w:b/>
          <w:bCs/>
          <w:color w:val="000000"/>
          <w:kern w:val="0"/>
          <w:sz w:val="20"/>
          <w:szCs w:val="20"/>
        </w:rPr>
      </w:pPr>
      <w:r>
        <w:rPr>
          <w:rFonts w:ascii="宋体" w:hAnsi="宋体"/>
          <w:b/>
          <w:bCs/>
          <w:color w:val="000000"/>
          <w:kern w:val="0"/>
          <w:sz w:val="20"/>
          <w:szCs w:val="20"/>
        </w:rPr>
        <w:t xml:space="preserve">图A1 </w:t>
      </w:r>
      <w:r>
        <w:rPr>
          <w:rFonts w:hint="eastAsia" w:ascii="宋体" w:hAnsi="宋体"/>
          <w:b/>
          <w:bCs/>
          <w:color w:val="000000"/>
          <w:kern w:val="0"/>
          <w:sz w:val="20"/>
          <w:szCs w:val="20"/>
        </w:rPr>
        <w:t>房间温变过程等值模型</w:t>
      </w:r>
      <w:r>
        <w:rPr>
          <w:rFonts w:ascii="宋体" w:hAnsi="宋体"/>
          <w:b/>
          <w:bCs/>
          <w:color w:val="000000"/>
          <w:kern w:val="0"/>
          <w:sz w:val="20"/>
          <w:szCs w:val="20"/>
        </w:rPr>
        <w:t>示意</w:t>
      </w:r>
      <w:r>
        <w:rPr>
          <w:rFonts w:hint="eastAsia" w:ascii="宋体" w:hAnsi="宋体"/>
          <w:b/>
          <w:bCs/>
          <w:color w:val="000000"/>
          <w:kern w:val="0"/>
          <w:sz w:val="20"/>
          <w:szCs w:val="20"/>
        </w:rPr>
        <w:t>图</w:t>
      </w:r>
    </w:p>
    <w:p>
      <w:pPr>
        <w:spacing w:line="360" w:lineRule="auto"/>
        <w:rPr>
          <w:rFonts w:ascii="Times New Roman" w:hAnsi="Times New Roman"/>
          <w:bCs/>
          <w:szCs w:val="21"/>
        </w:rPr>
      </w:pPr>
      <w:r>
        <w:rPr>
          <w:rFonts w:hint="eastAsia" w:ascii="Times New Roman" w:hAnsi="Times New Roman"/>
          <w:bCs/>
          <w:szCs w:val="21"/>
        </w:rPr>
        <w:t>图中</w:t>
      </w:r>
      <w:r>
        <w:rPr>
          <w:rFonts w:hint="eastAsia" w:ascii="Times New Roman" w:hAnsi="Times New Roman"/>
        </w:rPr>
        <w:t>，</w:t>
      </w:r>
      <w:r>
        <w:rPr>
          <w:rFonts w:hint="eastAsia" w:ascii="Times New Roman" w:hAnsi="Times New Roman"/>
          <w:bCs/>
          <w:i/>
          <w:iCs/>
          <w:szCs w:val="21"/>
        </w:rPr>
        <w:t>C</w:t>
      </w:r>
      <w:r>
        <w:rPr>
          <w:rFonts w:hint="eastAsia" w:ascii="Times New Roman" w:hAnsi="Times New Roman"/>
          <w:bCs/>
          <w:szCs w:val="21"/>
          <w:vertAlign w:val="subscript"/>
        </w:rPr>
        <w:t>in</w:t>
      </w:r>
      <w:r>
        <w:rPr>
          <w:rFonts w:hint="eastAsia" w:ascii="Times New Roman" w:hAnsi="Times New Roman"/>
          <w:bCs/>
          <w:szCs w:val="21"/>
        </w:rPr>
        <w:t>、</w:t>
      </w:r>
      <w:r>
        <w:rPr>
          <w:rFonts w:hint="eastAsia" w:ascii="Times New Roman" w:hAnsi="Times New Roman"/>
          <w:bCs/>
          <w:i/>
          <w:iCs/>
          <w:szCs w:val="21"/>
        </w:rPr>
        <w:t>C</w:t>
      </w:r>
      <w:r>
        <w:rPr>
          <w:rFonts w:hint="eastAsia" w:ascii="Times New Roman" w:hAnsi="Times New Roman"/>
          <w:bCs/>
          <w:szCs w:val="21"/>
          <w:vertAlign w:val="subscript"/>
        </w:rPr>
        <w:t>wall</w:t>
      </w:r>
      <w:r>
        <w:rPr>
          <w:rFonts w:ascii="Times New Roman" w:hAnsi="Times New Roman"/>
        </w:rPr>
        <w:t>分别</w:t>
      </w:r>
      <w:r>
        <w:rPr>
          <w:rFonts w:ascii="Times New Roman" w:hAnsi="Times New Roman"/>
          <w:bCs/>
          <w:szCs w:val="21"/>
        </w:rPr>
        <w:t>为</w:t>
      </w:r>
      <w:r>
        <w:rPr>
          <w:rFonts w:hint="eastAsia" w:ascii="Times New Roman" w:hAnsi="Times New Roman"/>
          <w:bCs/>
          <w:szCs w:val="21"/>
        </w:rPr>
        <w:t>室内</w:t>
      </w:r>
      <w:r>
        <w:rPr>
          <w:rFonts w:ascii="Times New Roman" w:hAnsi="Times New Roman"/>
          <w:bCs/>
          <w:szCs w:val="21"/>
        </w:rPr>
        <w:t>空气</w:t>
      </w:r>
      <w:r>
        <w:rPr>
          <w:rFonts w:hint="eastAsia" w:ascii="Times New Roman" w:hAnsi="Times New Roman"/>
          <w:bCs/>
          <w:szCs w:val="21"/>
        </w:rPr>
        <w:t>等效</w:t>
      </w:r>
      <w:r>
        <w:rPr>
          <w:rFonts w:ascii="Times New Roman" w:hAnsi="Times New Roman"/>
          <w:bCs/>
          <w:szCs w:val="21"/>
        </w:rPr>
        <w:t>热容、墙体</w:t>
      </w:r>
      <w:r>
        <w:rPr>
          <w:rFonts w:hint="eastAsia" w:ascii="Times New Roman" w:hAnsi="Times New Roman"/>
          <w:bCs/>
          <w:szCs w:val="21"/>
        </w:rPr>
        <w:t>等效</w:t>
      </w:r>
      <w:r>
        <w:rPr>
          <w:rFonts w:ascii="Times New Roman" w:hAnsi="Times New Roman"/>
          <w:bCs/>
          <w:szCs w:val="21"/>
        </w:rPr>
        <w:t>热容；</w:t>
      </w:r>
      <w:r>
        <w:rPr>
          <w:rFonts w:ascii="Times New Roman" w:hAnsi="Times New Roman"/>
          <w:bCs/>
          <w:i/>
          <w:iCs/>
          <w:szCs w:val="21"/>
        </w:rPr>
        <w:t>R</w:t>
      </w:r>
      <w:r>
        <w:rPr>
          <w:rFonts w:ascii="Times New Roman" w:hAnsi="Times New Roman"/>
          <w:bCs/>
          <w:szCs w:val="21"/>
          <w:vertAlign w:val="subscript"/>
        </w:rPr>
        <w:t>1</w:t>
      </w:r>
      <w:r>
        <w:rPr>
          <w:rFonts w:hint="eastAsia" w:ascii="Times New Roman" w:hAnsi="Times New Roman"/>
          <w:bCs/>
          <w:szCs w:val="21"/>
        </w:rPr>
        <w:t>、</w:t>
      </w:r>
      <w:r>
        <w:rPr>
          <w:rFonts w:ascii="Times New Roman" w:hAnsi="Times New Roman"/>
          <w:bCs/>
          <w:i/>
          <w:iCs/>
          <w:szCs w:val="21"/>
        </w:rPr>
        <w:t>R</w:t>
      </w:r>
      <w:r>
        <w:rPr>
          <w:rFonts w:ascii="Times New Roman" w:hAnsi="Times New Roman"/>
          <w:bCs/>
          <w:szCs w:val="21"/>
          <w:vertAlign w:val="subscript"/>
        </w:rPr>
        <w:t>2</w:t>
      </w:r>
      <w:r>
        <w:rPr>
          <w:rFonts w:ascii="Times New Roman" w:hAnsi="Times New Roman"/>
        </w:rPr>
        <w:t>分别</w:t>
      </w:r>
      <w:r>
        <w:rPr>
          <w:rFonts w:ascii="Times New Roman" w:hAnsi="Times New Roman"/>
          <w:bCs/>
          <w:szCs w:val="21"/>
        </w:rPr>
        <w:t>为室内空气</w:t>
      </w:r>
      <w:r>
        <w:rPr>
          <w:rFonts w:hint="eastAsia" w:ascii="Times New Roman" w:hAnsi="Times New Roman"/>
          <w:bCs/>
          <w:szCs w:val="21"/>
        </w:rPr>
        <w:t>和墙体内侧的等效</w:t>
      </w:r>
      <w:r>
        <w:rPr>
          <w:rFonts w:ascii="Times New Roman" w:hAnsi="Times New Roman"/>
          <w:bCs/>
          <w:szCs w:val="21"/>
        </w:rPr>
        <w:t>热阻、</w:t>
      </w:r>
      <w:r>
        <w:rPr>
          <w:rFonts w:hint="eastAsia" w:ascii="Times New Roman" w:hAnsi="Times New Roman"/>
          <w:bCs/>
          <w:szCs w:val="21"/>
        </w:rPr>
        <w:t>墙体外侧和</w:t>
      </w:r>
      <w:r>
        <w:rPr>
          <w:rFonts w:ascii="Times New Roman" w:hAnsi="Times New Roman"/>
          <w:bCs/>
          <w:szCs w:val="21"/>
        </w:rPr>
        <w:t>室外空气</w:t>
      </w:r>
      <w:r>
        <w:rPr>
          <w:rFonts w:hint="eastAsia" w:ascii="Times New Roman" w:hAnsi="Times New Roman"/>
          <w:bCs/>
          <w:szCs w:val="21"/>
        </w:rPr>
        <w:t>的等效</w:t>
      </w:r>
      <w:r>
        <w:rPr>
          <w:rFonts w:ascii="Times New Roman" w:hAnsi="Times New Roman"/>
          <w:bCs/>
          <w:szCs w:val="21"/>
        </w:rPr>
        <w:t>热阻</w:t>
      </w:r>
      <w:r>
        <w:rPr>
          <w:rFonts w:hint="eastAsia" w:ascii="Times New Roman" w:hAnsi="Times New Roman"/>
          <w:bCs/>
          <w:szCs w:val="21"/>
        </w:rPr>
        <w:t>；</w:t>
      </w:r>
      <w:r>
        <w:rPr>
          <w:rFonts w:ascii="Symbol" w:hAnsi="Symbol"/>
          <w:bCs/>
          <w:i/>
          <w:iCs/>
          <w:szCs w:val="21"/>
        </w:rPr>
        <w:t>q</w:t>
      </w:r>
      <w:r>
        <w:rPr>
          <w:rFonts w:ascii="Times New Roman" w:hAnsi="Times New Roman"/>
          <w:vertAlign w:val="subscript"/>
        </w:rPr>
        <w:t>in</w:t>
      </w:r>
      <w:r>
        <w:rPr>
          <w:rFonts w:ascii="Times New Roman" w:hAnsi="Times New Roman"/>
        </w:rPr>
        <w:t>、</w:t>
      </w:r>
      <w:r>
        <w:rPr>
          <w:rFonts w:ascii="Symbol" w:hAnsi="Symbol"/>
          <w:bCs/>
          <w:i/>
          <w:iCs/>
          <w:szCs w:val="21"/>
        </w:rPr>
        <w:t>q</w:t>
      </w:r>
      <w:r>
        <w:rPr>
          <w:rFonts w:ascii="Times New Roman" w:hAnsi="Times New Roman"/>
          <w:vertAlign w:val="subscript"/>
        </w:rPr>
        <w:t>wall</w:t>
      </w:r>
      <w:r>
        <w:rPr>
          <w:rFonts w:hint="eastAsia" w:ascii="Times New Roman" w:hAnsi="Times New Roman"/>
        </w:rPr>
        <w:t>、</w:t>
      </w:r>
      <w:r>
        <w:rPr>
          <w:rFonts w:ascii="Symbol" w:hAnsi="Symbol"/>
          <w:bCs/>
          <w:i/>
          <w:iCs/>
          <w:szCs w:val="21"/>
        </w:rPr>
        <w:t>q</w:t>
      </w:r>
      <w:r>
        <w:rPr>
          <w:rFonts w:ascii="Times New Roman" w:hAnsi="Times New Roman"/>
          <w:vertAlign w:val="subscript"/>
        </w:rPr>
        <w:t>out</w:t>
      </w:r>
      <w:r>
        <w:rPr>
          <w:rFonts w:ascii="Times New Roman" w:hAnsi="Times New Roman"/>
        </w:rPr>
        <w:t>分别为</w:t>
      </w:r>
      <w:r>
        <w:rPr>
          <w:rFonts w:ascii="Times New Roman" w:hAnsi="Times New Roman"/>
          <w:bCs/>
          <w:szCs w:val="21"/>
        </w:rPr>
        <w:t>室内温度、墙体温度</w:t>
      </w:r>
      <w:r>
        <w:rPr>
          <w:rFonts w:hint="eastAsia" w:ascii="Times New Roman" w:hAnsi="Times New Roman"/>
          <w:bCs/>
          <w:szCs w:val="21"/>
        </w:rPr>
        <w:t>、</w:t>
      </w:r>
      <w:r>
        <w:rPr>
          <w:rFonts w:ascii="Times New Roman" w:hAnsi="Times New Roman"/>
          <w:bCs/>
          <w:szCs w:val="21"/>
        </w:rPr>
        <w:t>室外温度；</w:t>
      </w:r>
      <w:r>
        <w:rPr>
          <w:rFonts w:hint="eastAsia" w:ascii="Times New Roman" w:hAnsi="Times New Roman"/>
          <w:i/>
          <w:iCs/>
        </w:rPr>
        <w:t>P</w:t>
      </w:r>
      <w:r>
        <w:rPr>
          <w:rFonts w:hint="eastAsia" w:ascii="Times New Roman" w:hAnsi="Times New Roman"/>
          <w:vertAlign w:val="subscript"/>
        </w:rPr>
        <w:t>heat</w:t>
      </w:r>
      <w:r>
        <w:rPr>
          <w:rFonts w:hint="eastAsia" w:ascii="Times New Roman" w:hAnsi="Times New Roman"/>
        </w:rPr>
        <w:t>(</w:t>
      </w:r>
      <w:r>
        <w:rPr>
          <w:rFonts w:hint="eastAsia" w:ascii="Times New Roman" w:hAnsi="Times New Roman"/>
          <w:i/>
          <w:iCs/>
        </w:rPr>
        <w:t>t</w:t>
      </w:r>
      <w:r>
        <w:rPr>
          <w:rFonts w:hint="eastAsia" w:ascii="Times New Roman" w:hAnsi="Times New Roman"/>
        </w:rPr>
        <w:t>)</w:t>
      </w:r>
      <w:r>
        <w:rPr>
          <w:rFonts w:ascii="Times New Roman" w:hAnsi="Times New Roman"/>
          <w:bCs/>
          <w:szCs w:val="21"/>
        </w:rPr>
        <w:t>为电采暖</w:t>
      </w:r>
      <w:r>
        <w:rPr>
          <w:rFonts w:hint="eastAsia" w:ascii="Times New Roman" w:hAnsi="Times New Roman"/>
          <w:bCs/>
          <w:szCs w:val="21"/>
        </w:rPr>
        <w:t>设备制热</w:t>
      </w:r>
      <w:r>
        <w:rPr>
          <w:rFonts w:ascii="Times New Roman" w:hAnsi="Times New Roman"/>
          <w:bCs/>
          <w:szCs w:val="21"/>
        </w:rPr>
        <w:t>功率</w:t>
      </w:r>
      <w:r>
        <w:rPr>
          <w:rFonts w:hint="eastAsia" w:ascii="Times New Roman" w:hAnsi="Times New Roman"/>
          <w:bCs/>
          <w:szCs w:val="21"/>
        </w:rPr>
        <w:t>，</w:t>
      </w:r>
      <w:r>
        <w:rPr>
          <w:rFonts w:hint="eastAsia" w:ascii="Times New Roman" w:hAnsi="Times New Roman"/>
          <w:i/>
          <w:iCs/>
        </w:rPr>
        <w:t>P</w:t>
      </w:r>
      <w:r>
        <w:rPr>
          <w:rFonts w:hint="eastAsia" w:ascii="Times New Roman" w:hAnsi="Times New Roman"/>
          <w:vertAlign w:val="subscript"/>
        </w:rPr>
        <w:t>heat</w:t>
      </w:r>
      <w:r>
        <w:rPr>
          <w:rFonts w:hint="eastAsia" w:ascii="Times New Roman" w:hAnsi="Times New Roman"/>
        </w:rPr>
        <w:t>(</w:t>
      </w:r>
      <w:r>
        <w:rPr>
          <w:rFonts w:hint="eastAsia" w:ascii="Times New Roman" w:hAnsi="Times New Roman"/>
          <w:i/>
          <w:iCs/>
        </w:rPr>
        <w:t>t</w:t>
      </w:r>
      <w:r>
        <w:rPr>
          <w:rFonts w:hint="eastAsia" w:ascii="Times New Roman" w:hAnsi="Times New Roman"/>
        </w:rPr>
        <w:t>)</w:t>
      </w:r>
      <w:r>
        <w:rPr>
          <w:rFonts w:ascii="Times New Roman" w:hAnsi="Times New Roman"/>
        </w:rPr>
        <w:t>=</w:t>
      </w:r>
      <w:r>
        <w:rPr>
          <w:rFonts w:ascii="Times New Roman" w:hAnsi="Times New Roman"/>
          <w:i/>
          <w:iCs/>
        </w:rPr>
        <w:t>S</w:t>
      </w:r>
      <w:r>
        <w:rPr>
          <w:rFonts w:hint="eastAsia" w:ascii="Times New Roman" w:hAnsi="Times New Roman"/>
        </w:rPr>
        <w:t>(</w:t>
      </w:r>
      <w:r>
        <w:rPr>
          <w:rFonts w:ascii="Times New Roman" w:hAnsi="Times New Roman"/>
          <w:i/>
          <w:iCs/>
        </w:rPr>
        <w:t>t</w:t>
      </w:r>
      <w:r>
        <w:rPr>
          <w:rFonts w:ascii="Times New Roman" w:hAnsi="Times New Roman"/>
        </w:rPr>
        <w:t>)</w:t>
      </w:r>
      <w:r>
        <w:rPr>
          <w:rFonts w:hint="eastAsia" w:ascii="Times New Roman" w:hAnsi="Times New Roman"/>
          <w:bCs/>
          <w:i/>
          <w:iCs/>
          <w:szCs w:val="21"/>
        </w:rPr>
        <w:t>P</w:t>
      </w:r>
      <w:r>
        <w:rPr>
          <w:rFonts w:hint="eastAsia" w:ascii="Times New Roman" w:hAnsi="Times New Roman"/>
          <w:bCs/>
          <w:szCs w:val="21"/>
          <w:vertAlign w:val="subscript"/>
        </w:rPr>
        <w:t>N</w:t>
      </w:r>
      <w:r>
        <w:rPr>
          <w:rFonts w:hint="eastAsia" w:ascii="Times New Roman" w:hAnsi="Times New Roman"/>
          <w:bCs/>
          <w:szCs w:val="21"/>
        </w:rPr>
        <w:t>，其中</w:t>
      </w:r>
      <w:r>
        <w:rPr>
          <w:rFonts w:hint="eastAsia" w:ascii="Times New Roman" w:hAnsi="Times New Roman"/>
          <w:bCs/>
          <w:i/>
          <w:iCs/>
          <w:szCs w:val="21"/>
        </w:rPr>
        <w:t>P</w:t>
      </w:r>
      <w:r>
        <w:rPr>
          <w:rFonts w:hint="eastAsia" w:ascii="Times New Roman" w:hAnsi="Times New Roman"/>
          <w:bCs/>
          <w:szCs w:val="21"/>
          <w:vertAlign w:val="subscript"/>
        </w:rPr>
        <w:t>N</w:t>
      </w:r>
      <w:r>
        <w:rPr>
          <w:rFonts w:hint="eastAsia" w:ascii="Times New Roman" w:hAnsi="Times New Roman"/>
          <w:bCs/>
          <w:szCs w:val="21"/>
        </w:rPr>
        <w:t>为</w:t>
      </w:r>
      <w:r>
        <w:rPr>
          <w:rFonts w:ascii="Times New Roman" w:hAnsi="Times New Roman"/>
          <w:bCs/>
          <w:szCs w:val="21"/>
        </w:rPr>
        <w:t>电采暖</w:t>
      </w:r>
      <w:r>
        <w:rPr>
          <w:rFonts w:hint="eastAsia" w:ascii="Times New Roman" w:hAnsi="Times New Roman"/>
          <w:bCs/>
          <w:szCs w:val="21"/>
        </w:rPr>
        <w:t>设备的额定</w:t>
      </w:r>
      <w:r>
        <w:rPr>
          <w:rFonts w:ascii="Times New Roman" w:hAnsi="Times New Roman"/>
          <w:bCs/>
          <w:szCs w:val="21"/>
        </w:rPr>
        <w:t>功率</w:t>
      </w:r>
      <w:r>
        <w:rPr>
          <w:rFonts w:hint="eastAsia" w:ascii="Times New Roman" w:hAnsi="Times New Roman"/>
          <w:bCs/>
          <w:szCs w:val="21"/>
        </w:rPr>
        <w:t>，</w:t>
      </w:r>
      <w:r>
        <w:rPr>
          <w:rFonts w:ascii="Times New Roman" w:hAnsi="Times New Roman"/>
          <w:i/>
          <w:iCs/>
        </w:rPr>
        <w:t>S</w:t>
      </w:r>
      <w:r>
        <w:rPr>
          <w:rFonts w:hint="eastAsia" w:ascii="Times New Roman" w:hAnsi="Times New Roman"/>
        </w:rPr>
        <w:t>(</w:t>
      </w:r>
      <w:r>
        <w:rPr>
          <w:rFonts w:ascii="Times New Roman" w:hAnsi="Times New Roman"/>
          <w:i/>
          <w:iCs/>
        </w:rPr>
        <w:t>t</w:t>
      </w:r>
      <w:r>
        <w:rPr>
          <w:rFonts w:ascii="Times New Roman" w:hAnsi="Times New Roman"/>
        </w:rPr>
        <w:t>)</w:t>
      </w:r>
      <w:r>
        <w:rPr>
          <w:rFonts w:hint="eastAsia" w:ascii="Times New Roman" w:hAnsi="Times New Roman"/>
          <w:bCs/>
          <w:szCs w:val="21"/>
        </w:rPr>
        <w:t>为电采暖设备的开关状态，关闭时取0，开启时取1</w:t>
      </w:r>
      <w:r>
        <w:rPr>
          <w:rFonts w:ascii="Times New Roman" w:hAnsi="Times New Roman"/>
          <w:bCs/>
          <w:szCs w:val="21"/>
        </w:rPr>
        <w:t>。</w:t>
      </w:r>
    </w:p>
    <w:p>
      <w:pPr>
        <w:spacing w:line="360" w:lineRule="auto"/>
        <w:ind w:firstLine="420" w:firstLineChars="200"/>
        <w:rPr>
          <w:rFonts w:ascii="Times New Roman" w:hAnsi="Times New Roman"/>
          <w:szCs w:val="21"/>
        </w:rPr>
      </w:pPr>
      <w:r>
        <w:rPr>
          <w:rFonts w:hint="eastAsia" w:ascii="Times New Roman" w:hAnsi="Times New Roman"/>
          <w:szCs w:val="21"/>
        </w:rPr>
        <w:t>描述房间温变过程的集总</w:t>
      </w:r>
      <w:r>
        <w:rPr>
          <w:rFonts w:hint="eastAsia" w:ascii="Times New Roman" w:hAnsi="Times New Roman"/>
          <w:bCs/>
          <w:szCs w:val="21"/>
        </w:rPr>
        <w:t>参数</w:t>
      </w:r>
      <w:r>
        <w:rPr>
          <w:rFonts w:hint="eastAsia" w:ascii="Times New Roman" w:hAnsi="Times New Roman"/>
          <w:szCs w:val="21"/>
        </w:rPr>
        <w:t>常微分方程为：</w:t>
      </w:r>
    </w:p>
    <w:p>
      <w:pPr>
        <w:jc w:val="right"/>
        <w:rPr>
          <w:rFonts w:ascii="Times New Roman" w:hAnsi="Times New Roman"/>
          <w:szCs w:val="21"/>
        </w:rPr>
      </w:pPr>
      <w:r>
        <w:rPr>
          <w:rFonts w:ascii="Times New Roman" w:hAnsi="Times New Roman"/>
          <w:position w:val="-66"/>
          <w:szCs w:val="21"/>
        </w:rPr>
        <w:object>
          <v:shape id="_x0000_i1026" o:spt="75" type="#_x0000_t75" style="height:64.8pt;width:352.3pt;" o:ole="t" filled="f" o:preferrelative="t" stroked="f" coordsize="21600,21600">
            <v:path/>
            <v:fill on="f" focussize="0,0"/>
            <v:stroke on="f" joinstyle="miter"/>
            <v:imagedata r:id="rId7" o:title=""/>
            <o:lock v:ext="edit" aspectratio="t"/>
            <w10:wrap type="none"/>
            <w10:anchorlock/>
          </v:shape>
          <o:OLEObject Type="Embed" ProgID="Equation.DSMT4" ShapeID="_x0000_i1026" DrawAspect="Content" ObjectID="_1468075726" r:id="rId6">
            <o:LockedField>false</o:LockedField>
          </o:OLEObject>
        </w:object>
      </w:r>
      <w:r>
        <w:rPr>
          <w:rFonts w:ascii="Times New Roman" w:hAnsi="Times New Roman"/>
          <w:szCs w:val="21"/>
        </w:rPr>
        <w:t xml:space="preserve">    (A-1)</w:t>
      </w:r>
    </w:p>
    <w:p>
      <w:pPr>
        <w:spacing w:line="360" w:lineRule="auto"/>
        <w:ind w:firstLine="420" w:firstLineChars="200"/>
        <w:rPr>
          <w:rFonts w:ascii="Times New Roman" w:hAnsi="Times New Roman"/>
          <w:szCs w:val="21"/>
        </w:rPr>
      </w:pPr>
      <w:r>
        <w:rPr>
          <w:rFonts w:hint="eastAsia" w:ascii="Times New Roman" w:hAnsi="Times New Roman"/>
          <w:szCs w:val="21"/>
        </w:rPr>
        <w:t>8</w:t>
      </w:r>
      <w:r>
        <w:rPr>
          <w:rFonts w:ascii="Times New Roman" w:hAnsi="Times New Roman"/>
          <w:szCs w:val="21"/>
        </w:rPr>
        <w:t>0</w:t>
      </w:r>
      <w:r>
        <w:rPr>
          <w:rFonts w:hint="eastAsia" w:ascii="Times New Roman" w:hAnsi="Times New Roman"/>
          <w:szCs w:val="21"/>
        </w:rPr>
        <w:t>m</w:t>
      </w:r>
      <w:r>
        <w:rPr>
          <w:rFonts w:ascii="Times New Roman" w:hAnsi="Times New Roman"/>
          <w:szCs w:val="21"/>
          <w:vertAlign w:val="superscript"/>
        </w:rPr>
        <w:t>2</w:t>
      </w:r>
      <w:r>
        <w:rPr>
          <w:rFonts w:hint="eastAsia" w:ascii="Times New Roman" w:hAnsi="Times New Roman"/>
          <w:szCs w:val="21"/>
        </w:rPr>
        <w:t>的典型住户温变过程等值模型参数如</w:t>
      </w:r>
      <w:r>
        <w:rPr>
          <w:rFonts w:ascii="Times New Roman" w:hAnsi="Times New Roman"/>
          <w:szCs w:val="21"/>
        </w:rPr>
        <w:t>表</w:t>
      </w:r>
      <w:r>
        <w:rPr>
          <w:rFonts w:hint="eastAsia" w:ascii="Times New Roman" w:hAnsi="Times New Roman"/>
          <w:szCs w:val="21"/>
        </w:rPr>
        <w:t>A</w:t>
      </w:r>
      <w:r>
        <w:rPr>
          <w:rFonts w:ascii="Times New Roman" w:hAnsi="Times New Roman"/>
          <w:szCs w:val="21"/>
        </w:rPr>
        <w:t>1</w:t>
      </w:r>
      <w:r>
        <w:rPr>
          <w:rFonts w:hint="eastAsia" w:ascii="Times New Roman" w:hAnsi="Times New Roman"/>
          <w:szCs w:val="21"/>
        </w:rPr>
        <w:t>所示</w:t>
      </w:r>
      <w:r>
        <w:rPr>
          <w:rFonts w:ascii="Times New Roman" w:hAnsi="Times New Roman"/>
          <w:szCs w:val="21"/>
        </w:rPr>
        <w:t>。</w:t>
      </w:r>
    </w:p>
    <w:p>
      <w:pPr>
        <w:spacing w:line="360" w:lineRule="auto"/>
        <w:jc w:val="center"/>
        <w:rPr>
          <w:rFonts w:ascii="宋体" w:hAnsi="宋体"/>
          <w:b/>
          <w:sz w:val="18"/>
          <w:szCs w:val="18"/>
        </w:rPr>
      </w:pPr>
      <w:r>
        <w:rPr>
          <w:rFonts w:ascii="宋体" w:hAnsi="宋体"/>
          <w:b/>
          <w:sz w:val="18"/>
          <w:szCs w:val="18"/>
        </w:rPr>
        <w:t>表</w:t>
      </w:r>
      <w:r>
        <w:rPr>
          <w:rFonts w:hint="eastAsia" w:ascii="宋体" w:hAnsi="宋体"/>
          <w:b/>
          <w:sz w:val="18"/>
          <w:szCs w:val="18"/>
        </w:rPr>
        <w:t>A</w:t>
      </w:r>
      <w:r>
        <w:rPr>
          <w:rFonts w:ascii="宋体" w:hAnsi="宋体"/>
          <w:b/>
          <w:sz w:val="18"/>
          <w:szCs w:val="18"/>
        </w:rPr>
        <w:t xml:space="preserve">1 </w:t>
      </w:r>
      <w:r>
        <w:rPr>
          <w:rFonts w:hint="eastAsia" w:ascii="宋体" w:hAnsi="宋体"/>
          <w:b/>
          <w:sz w:val="18"/>
          <w:szCs w:val="18"/>
        </w:rPr>
        <w:t>典型住户（8</w:t>
      </w:r>
      <w:r>
        <w:rPr>
          <w:rFonts w:ascii="宋体" w:hAnsi="宋体"/>
          <w:b/>
          <w:sz w:val="18"/>
          <w:szCs w:val="18"/>
        </w:rPr>
        <w:t>0</w:t>
      </w:r>
      <w:r>
        <w:rPr>
          <w:rFonts w:hint="eastAsia" w:ascii="宋体" w:hAnsi="宋体"/>
          <w:b/>
          <w:sz w:val="18"/>
          <w:szCs w:val="18"/>
        </w:rPr>
        <w:t>m</w:t>
      </w:r>
      <w:r>
        <w:rPr>
          <w:rFonts w:ascii="宋体" w:hAnsi="宋体"/>
          <w:b/>
          <w:sz w:val="18"/>
          <w:szCs w:val="18"/>
          <w:vertAlign w:val="superscript"/>
        </w:rPr>
        <w:t>2</w:t>
      </w:r>
      <w:r>
        <w:rPr>
          <w:rFonts w:hint="eastAsia" w:ascii="宋体" w:hAnsi="宋体"/>
          <w:b/>
          <w:sz w:val="18"/>
          <w:szCs w:val="18"/>
        </w:rPr>
        <w:t>）温变过程等值模型</w:t>
      </w:r>
      <w:r>
        <w:rPr>
          <w:rFonts w:ascii="宋体" w:hAnsi="宋体"/>
          <w:b/>
          <w:sz w:val="18"/>
          <w:szCs w:val="18"/>
        </w:rPr>
        <w:t>参数</w:t>
      </w:r>
    </w:p>
    <w:tbl>
      <w:tblPr>
        <w:tblStyle w:val="1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3"/>
        <w:gridCol w:w="1311"/>
        <w:gridCol w:w="1311"/>
        <w:gridCol w:w="1601"/>
        <w:gridCol w:w="1601"/>
        <w:gridCol w:w="1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22" w:hRule="atLeast"/>
        </w:trPr>
        <w:tc>
          <w:tcPr>
            <w:tcW w:w="704" w:type="dxa"/>
            <w:tcBorders>
              <w:bottom w:val="nil"/>
            </w:tcBorders>
            <w:vAlign w:val="center"/>
          </w:tcPr>
          <w:p>
            <w:pPr>
              <w:jc w:val="center"/>
              <w:rPr>
                <w:rFonts w:ascii="Times New Roman" w:hAnsi="Times New Roman"/>
                <w:b/>
                <w:bCs/>
                <w:color w:val="000000" w:themeColor="text1"/>
                <w:szCs w:val="21"/>
                <w14:textFill>
                  <w14:solidFill>
                    <w14:schemeClr w14:val="tx1"/>
                  </w14:solidFill>
                </w14:textFill>
              </w:rPr>
            </w:pPr>
            <w:r>
              <w:rPr>
                <w:rFonts w:hint="eastAsia" w:ascii="Times New Roman" w:hAnsi="Times New Roman"/>
                <w:b/>
                <w:bCs/>
                <w:color w:val="000000" w:themeColor="text1"/>
                <w:szCs w:val="21"/>
                <w14:textFill>
                  <w14:solidFill>
                    <w14:schemeClr w14:val="tx1"/>
                  </w14:solidFill>
                </w14:textFill>
              </w:rPr>
              <w:t>参数</w:t>
            </w:r>
          </w:p>
        </w:tc>
        <w:tc>
          <w:tcPr>
            <w:tcW w:w="1276" w:type="dxa"/>
            <w:tcBorders>
              <w:bottom w:val="nil"/>
            </w:tcBorders>
            <w:vAlign w:val="center"/>
          </w:tcPr>
          <w:p>
            <w:pPr>
              <w:widowControl/>
              <w:adjustRightInd w:val="0"/>
              <w:snapToGrid w:val="0"/>
              <w:jc w:val="center"/>
              <w:textAlignment w:val="center"/>
              <w:rPr>
                <w:rFonts w:ascii="Times New Roman" w:hAnsi="Times New Roman"/>
                <w:b/>
                <w:bCs/>
                <w:color w:val="000000" w:themeColor="text1"/>
                <w:kern w:val="24"/>
                <w:szCs w:val="21"/>
                <w14:textFill>
                  <w14:solidFill>
                    <w14:schemeClr w14:val="tx1"/>
                  </w14:solidFill>
                </w14:textFill>
              </w:rPr>
            </w:pPr>
            <w:r>
              <w:rPr>
                <w:rFonts w:ascii="Times New Roman" w:hAnsi="Times New Roman"/>
                <w:b/>
                <w:bCs/>
                <w:color w:val="000000" w:themeColor="text1"/>
                <w:kern w:val="24"/>
                <w:szCs w:val="21"/>
                <w14:textFill>
                  <w14:solidFill>
                    <w14:schemeClr w14:val="tx1"/>
                  </w14:solidFill>
                </w14:textFill>
              </w:rPr>
              <w:t>热阻</w:t>
            </w:r>
            <w:r>
              <w:rPr>
                <w:rFonts w:ascii="Times New Roman" w:hAnsi="Times New Roman"/>
                <w:b/>
                <w:bCs/>
                <w:i/>
                <w:iCs/>
                <w:color w:val="000000" w:themeColor="text1"/>
                <w:kern w:val="24"/>
                <w:szCs w:val="21"/>
                <w14:textFill>
                  <w14:solidFill>
                    <w14:schemeClr w14:val="tx1"/>
                  </w14:solidFill>
                </w14:textFill>
              </w:rPr>
              <w:t>R</w:t>
            </w:r>
            <w:r>
              <w:rPr>
                <w:rFonts w:ascii="Times New Roman" w:hAnsi="Times New Roman"/>
                <w:b/>
                <w:bCs/>
                <w:color w:val="000000" w:themeColor="text1"/>
                <w:kern w:val="24"/>
                <w:szCs w:val="21"/>
                <w:vertAlign w:val="subscript"/>
                <w14:textFill>
                  <w14:solidFill>
                    <w14:schemeClr w14:val="tx1"/>
                  </w14:solidFill>
                </w14:textFill>
              </w:rPr>
              <w:t>1</w:t>
            </w:r>
            <w:r>
              <w:rPr>
                <w:rFonts w:ascii="Times New Roman" w:hAnsi="Times New Roman"/>
                <w:b/>
                <w:bCs/>
                <w:color w:val="000000" w:themeColor="text1"/>
                <w:kern w:val="24"/>
                <w:szCs w:val="21"/>
                <w14:textFill>
                  <w14:solidFill>
                    <w14:schemeClr w14:val="tx1"/>
                  </w14:solidFill>
                </w14:textFill>
              </w:rPr>
              <w:t>/</w:t>
            </w:r>
          </w:p>
          <w:p>
            <w:pPr>
              <w:widowControl/>
              <w:adjustRightInd w:val="0"/>
              <w:snapToGrid w:val="0"/>
              <w:jc w:val="center"/>
              <w:textAlignment w:val="center"/>
              <w:rPr>
                <w:rFonts w:ascii="Times New Roman" w:hAnsi="Times New Roman"/>
                <w:b/>
                <w:bCs/>
                <w:color w:val="000000" w:themeColor="text1"/>
                <w:kern w:val="24"/>
                <w:szCs w:val="21"/>
                <w:vertAlign w:val="subscript"/>
                <w14:textFill>
                  <w14:solidFill>
                    <w14:schemeClr w14:val="tx1"/>
                  </w14:solidFill>
                </w14:textFill>
              </w:rPr>
            </w:pPr>
            <w:r>
              <w:rPr>
                <w:rFonts w:hint="eastAsia" w:ascii="Times New Roman" w:hAnsi="Times New Roman"/>
                <w:b/>
                <w:bCs/>
                <w:color w:val="000000" w:themeColor="text1"/>
                <w:kern w:val="24"/>
                <w:szCs w:val="21"/>
                <w14:textFill>
                  <w14:solidFill>
                    <w14:schemeClr w14:val="tx1"/>
                  </w14:solidFill>
                </w14:textFill>
              </w:rPr>
              <w:t>(</w:t>
            </w:r>
            <w:r>
              <w:rPr>
                <w:rFonts w:ascii="Times New Roman" w:hAnsi="Times New Roman"/>
                <w:b/>
                <w:bCs/>
                <w:color w:val="000000" w:themeColor="text1"/>
                <w:kern w:val="24"/>
                <w:szCs w:val="21"/>
                <w14:textFill>
                  <w14:solidFill>
                    <w14:schemeClr w14:val="tx1"/>
                  </w14:solidFill>
                </w14:textFill>
              </w:rPr>
              <w:t>℃/W)</w:t>
            </w:r>
          </w:p>
        </w:tc>
        <w:tc>
          <w:tcPr>
            <w:tcW w:w="1276" w:type="dxa"/>
            <w:tcBorders>
              <w:bottom w:val="nil"/>
            </w:tcBorders>
            <w:vAlign w:val="center"/>
          </w:tcPr>
          <w:p>
            <w:pPr>
              <w:widowControl/>
              <w:adjustRightInd w:val="0"/>
              <w:snapToGrid w:val="0"/>
              <w:jc w:val="center"/>
              <w:textAlignment w:val="center"/>
              <w:rPr>
                <w:rFonts w:ascii="Times New Roman" w:hAnsi="Times New Roman"/>
                <w:b/>
                <w:bCs/>
                <w:color w:val="000000" w:themeColor="text1"/>
                <w:kern w:val="24"/>
                <w:szCs w:val="21"/>
                <w14:textFill>
                  <w14:solidFill>
                    <w14:schemeClr w14:val="tx1"/>
                  </w14:solidFill>
                </w14:textFill>
              </w:rPr>
            </w:pPr>
            <w:r>
              <w:rPr>
                <w:rFonts w:ascii="Times New Roman" w:hAnsi="Times New Roman"/>
                <w:b/>
                <w:bCs/>
                <w:color w:val="000000" w:themeColor="text1"/>
                <w:kern w:val="24"/>
                <w:szCs w:val="21"/>
                <w14:textFill>
                  <w14:solidFill>
                    <w14:schemeClr w14:val="tx1"/>
                  </w14:solidFill>
                </w14:textFill>
              </w:rPr>
              <w:t>热阻</w:t>
            </w:r>
            <w:r>
              <w:rPr>
                <w:rFonts w:ascii="Times New Roman" w:hAnsi="Times New Roman"/>
                <w:b/>
                <w:bCs/>
                <w:i/>
                <w:iCs/>
                <w:color w:val="000000" w:themeColor="text1"/>
                <w:kern w:val="24"/>
                <w:szCs w:val="21"/>
                <w14:textFill>
                  <w14:solidFill>
                    <w14:schemeClr w14:val="tx1"/>
                  </w14:solidFill>
                </w14:textFill>
              </w:rPr>
              <w:t>R</w:t>
            </w:r>
            <w:r>
              <w:rPr>
                <w:rFonts w:ascii="Times New Roman" w:hAnsi="Times New Roman"/>
                <w:b/>
                <w:bCs/>
                <w:color w:val="000000" w:themeColor="text1"/>
                <w:kern w:val="24"/>
                <w:szCs w:val="21"/>
                <w:vertAlign w:val="subscript"/>
                <w14:textFill>
                  <w14:solidFill>
                    <w14:schemeClr w14:val="tx1"/>
                  </w14:solidFill>
                </w14:textFill>
              </w:rPr>
              <w:t>2</w:t>
            </w:r>
            <w:r>
              <w:rPr>
                <w:rFonts w:ascii="Times New Roman" w:hAnsi="Times New Roman"/>
                <w:b/>
                <w:bCs/>
                <w:color w:val="000000" w:themeColor="text1"/>
                <w:kern w:val="24"/>
                <w:szCs w:val="21"/>
                <w14:textFill>
                  <w14:solidFill>
                    <w14:schemeClr w14:val="tx1"/>
                  </w14:solidFill>
                </w14:textFill>
              </w:rPr>
              <w:t>/</w:t>
            </w:r>
          </w:p>
          <w:p>
            <w:pPr>
              <w:widowControl/>
              <w:adjustRightInd w:val="0"/>
              <w:snapToGrid w:val="0"/>
              <w:jc w:val="center"/>
              <w:textAlignment w:val="center"/>
              <w:rPr>
                <w:rFonts w:ascii="Times New Roman" w:hAnsi="Times New Roman"/>
                <w:b/>
                <w:bCs/>
                <w:color w:val="000000" w:themeColor="text1"/>
                <w:szCs w:val="21"/>
                <w14:textFill>
                  <w14:solidFill>
                    <w14:schemeClr w14:val="tx1"/>
                  </w14:solidFill>
                </w14:textFill>
              </w:rPr>
            </w:pPr>
            <w:r>
              <w:rPr>
                <w:rFonts w:ascii="Times New Roman" w:hAnsi="Times New Roman"/>
                <w:b/>
                <w:bCs/>
                <w:color w:val="000000" w:themeColor="text1"/>
                <w:kern w:val="24"/>
                <w:szCs w:val="21"/>
                <w14:textFill>
                  <w14:solidFill>
                    <w14:schemeClr w14:val="tx1"/>
                  </w14:solidFill>
                </w14:textFill>
              </w:rPr>
              <w:t>(℃/W)</w:t>
            </w:r>
          </w:p>
        </w:tc>
        <w:tc>
          <w:tcPr>
            <w:tcW w:w="1559" w:type="dxa"/>
            <w:tcBorders>
              <w:bottom w:val="nil"/>
            </w:tcBorders>
            <w:vAlign w:val="center"/>
          </w:tcPr>
          <w:p>
            <w:pPr>
              <w:widowControl/>
              <w:adjustRightInd w:val="0"/>
              <w:snapToGrid w:val="0"/>
              <w:jc w:val="center"/>
              <w:textAlignment w:val="center"/>
              <w:rPr>
                <w:rFonts w:ascii="Times New Roman" w:hAnsi="Times New Roman"/>
                <w:b/>
                <w:bCs/>
                <w:color w:val="000000" w:themeColor="text1"/>
                <w:kern w:val="24"/>
                <w:szCs w:val="21"/>
                <w14:textFill>
                  <w14:solidFill>
                    <w14:schemeClr w14:val="tx1"/>
                  </w14:solidFill>
                </w14:textFill>
              </w:rPr>
            </w:pPr>
            <w:r>
              <w:rPr>
                <w:rFonts w:ascii="Times New Roman" w:hAnsi="Times New Roman"/>
                <w:b/>
                <w:bCs/>
                <w:color w:val="000000" w:themeColor="text1"/>
                <w:kern w:val="24"/>
                <w:szCs w:val="21"/>
                <w14:textFill>
                  <w14:solidFill>
                    <w14:schemeClr w14:val="tx1"/>
                  </w14:solidFill>
                </w14:textFill>
              </w:rPr>
              <w:t>热容</w:t>
            </w:r>
            <w:r>
              <w:rPr>
                <w:rFonts w:ascii="Times New Roman" w:hAnsi="Times New Roman"/>
                <w:b/>
                <w:bCs/>
                <w:i/>
                <w:iCs/>
                <w:color w:val="000000" w:themeColor="text1"/>
                <w:kern w:val="24"/>
                <w:szCs w:val="21"/>
                <w14:textFill>
                  <w14:solidFill>
                    <w14:schemeClr w14:val="tx1"/>
                  </w14:solidFill>
                </w14:textFill>
              </w:rPr>
              <w:t>C</w:t>
            </w:r>
            <w:r>
              <w:rPr>
                <w:rFonts w:ascii="Times New Roman" w:hAnsi="Times New Roman"/>
                <w:b/>
                <w:bCs/>
                <w:color w:val="000000" w:themeColor="text1"/>
                <w:kern w:val="24"/>
                <w:szCs w:val="21"/>
                <w:vertAlign w:val="subscript"/>
                <w14:textFill>
                  <w14:solidFill>
                    <w14:schemeClr w14:val="tx1"/>
                  </w14:solidFill>
                </w14:textFill>
              </w:rPr>
              <w:t>in</w:t>
            </w:r>
            <w:r>
              <w:rPr>
                <w:rFonts w:ascii="Times New Roman" w:hAnsi="Times New Roman"/>
                <w:b/>
                <w:bCs/>
                <w:color w:val="000000" w:themeColor="text1"/>
                <w:kern w:val="24"/>
                <w:szCs w:val="21"/>
                <w14:textFill>
                  <w14:solidFill>
                    <w14:schemeClr w14:val="tx1"/>
                  </w14:solidFill>
                </w14:textFill>
              </w:rPr>
              <w:t>/</w:t>
            </w:r>
          </w:p>
          <w:p>
            <w:pPr>
              <w:widowControl/>
              <w:adjustRightInd w:val="0"/>
              <w:snapToGrid w:val="0"/>
              <w:jc w:val="center"/>
              <w:textAlignment w:val="center"/>
              <w:rPr>
                <w:rFonts w:ascii="Times New Roman" w:hAnsi="Times New Roman"/>
                <w:b/>
                <w:bCs/>
                <w:color w:val="000000" w:themeColor="text1"/>
                <w:szCs w:val="21"/>
                <w14:textFill>
                  <w14:solidFill>
                    <w14:schemeClr w14:val="tx1"/>
                  </w14:solidFill>
                </w14:textFill>
              </w:rPr>
            </w:pPr>
            <w:r>
              <w:rPr>
                <w:rFonts w:ascii="Times New Roman" w:hAnsi="Times New Roman"/>
                <w:b/>
                <w:bCs/>
                <w:color w:val="000000" w:themeColor="text1"/>
                <w:kern w:val="24"/>
                <w:szCs w:val="21"/>
                <w14:textFill>
                  <w14:solidFill>
                    <w14:schemeClr w14:val="tx1"/>
                  </w14:solidFill>
                </w14:textFill>
              </w:rPr>
              <w:t>(J/℃)</w:t>
            </w:r>
          </w:p>
        </w:tc>
        <w:tc>
          <w:tcPr>
            <w:tcW w:w="1559" w:type="dxa"/>
            <w:tcBorders>
              <w:bottom w:val="nil"/>
            </w:tcBorders>
            <w:vAlign w:val="center"/>
          </w:tcPr>
          <w:p>
            <w:pPr>
              <w:adjustRightInd w:val="0"/>
              <w:snapToGrid w:val="0"/>
              <w:jc w:val="center"/>
              <w:rPr>
                <w:rFonts w:ascii="Times New Roman" w:hAnsi="Times New Roman"/>
                <w:b/>
                <w:bCs/>
                <w:color w:val="000000" w:themeColor="text1"/>
                <w:kern w:val="24"/>
                <w:szCs w:val="21"/>
                <w14:textFill>
                  <w14:solidFill>
                    <w14:schemeClr w14:val="tx1"/>
                  </w14:solidFill>
                </w14:textFill>
              </w:rPr>
            </w:pPr>
            <w:r>
              <w:rPr>
                <w:rFonts w:ascii="Times New Roman" w:hAnsi="Times New Roman"/>
                <w:b/>
                <w:bCs/>
                <w:color w:val="000000" w:themeColor="text1"/>
                <w:kern w:val="24"/>
                <w:szCs w:val="21"/>
                <w14:textFill>
                  <w14:solidFill>
                    <w14:schemeClr w14:val="tx1"/>
                  </w14:solidFill>
                </w14:textFill>
              </w:rPr>
              <w:t>热容</w:t>
            </w:r>
            <w:r>
              <w:rPr>
                <w:rFonts w:ascii="Times New Roman" w:hAnsi="Times New Roman"/>
                <w:b/>
                <w:bCs/>
                <w:i/>
                <w:iCs/>
                <w:color w:val="000000" w:themeColor="text1"/>
                <w:kern w:val="24"/>
                <w:szCs w:val="21"/>
                <w14:textFill>
                  <w14:solidFill>
                    <w14:schemeClr w14:val="tx1"/>
                  </w14:solidFill>
                </w14:textFill>
              </w:rPr>
              <w:t>C</w:t>
            </w:r>
            <w:r>
              <w:rPr>
                <w:rFonts w:hint="eastAsia" w:ascii="Times New Roman" w:hAnsi="Times New Roman"/>
                <w:b/>
                <w:bCs/>
                <w:color w:val="000000" w:themeColor="text1"/>
                <w:kern w:val="24"/>
                <w:szCs w:val="21"/>
                <w:vertAlign w:val="subscript"/>
                <w14:textFill>
                  <w14:solidFill>
                    <w14:schemeClr w14:val="tx1"/>
                  </w14:solidFill>
                </w14:textFill>
              </w:rPr>
              <w:t>wall</w:t>
            </w:r>
            <w:r>
              <w:rPr>
                <w:rFonts w:ascii="Times New Roman" w:hAnsi="Times New Roman"/>
                <w:b/>
                <w:bCs/>
                <w:color w:val="000000" w:themeColor="text1"/>
                <w:kern w:val="24"/>
                <w:szCs w:val="21"/>
                <w14:textFill>
                  <w14:solidFill>
                    <w14:schemeClr w14:val="tx1"/>
                  </w14:solidFill>
                </w14:textFill>
              </w:rPr>
              <w:t>/</w:t>
            </w:r>
          </w:p>
          <w:p>
            <w:pPr>
              <w:adjustRightInd w:val="0"/>
              <w:snapToGrid w:val="0"/>
              <w:jc w:val="center"/>
              <w:rPr>
                <w:rFonts w:ascii="Times New Roman" w:hAnsi="Times New Roman"/>
                <w:b/>
                <w:bCs/>
                <w:color w:val="000000" w:themeColor="text1"/>
                <w:szCs w:val="21"/>
                <w14:textFill>
                  <w14:solidFill>
                    <w14:schemeClr w14:val="tx1"/>
                  </w14:solidFill>
                </w14:textFill>
              </w:rPr>
            </w:pPr>
            <w:r>
              <w:rPr>
                <w:rFonts w:ascii="Times New Roman" w:hAnsi="Times New Roman"/>
                <w:b/>
                <w:bCs/>
                <w:color w:val="000000" w:themeColor="text1"/>
                <w:kern w:val="24"/>
                <w:szCs w:val="21"/>
                <w14:textFill>
                  <w14:solidFill>
                    <w14:schemeClr w14:val="tx1"/>
                  </w14:solidFill>
                </w14:textFill>
              </w:rPr>
              <w:t>(J/℃)</w:t>
            </w:r>
          </w:p>
        </w:tc>
        <w:tc>
          <w:tcPr>
            <w:tcW w:w="1922" w:type="dxa"/>
            <w:tcBorders>
              <w:bottom w:val="nil"/>
            </w:tcBorders>
            <w:vAlign w:val="center"/>
          </w:tcPr>
          <w:p>
            <w:pPr>
              <w:adjustRightInd w:val="0"/>
              <w:snapToGrid w:val="0"/>
              <w:jc w:val="center"/>
              <w:rPr>
                <w:rFonts w:ascii="Times New Roman" w:hAnsi="Times New Roman"/>
                <w:b/>
                <w:bCs/>
                <w:color w:val="000000" w:themeColor="text1"/>
                <w:kern w:val="24"/>
                <w:szCs w:val="21"/>
                <w14:textFill>
                  <w14:solidFill>
                    <w14:schemeClr w14:val="tx1"/>
                  </w14:solidFill>
                </w14:textFill>
              </w:rPr>
            </w:pPr>
            <w:r>
              <w:rPr>
                <w:rFonts w:hint="eastAsia" w:ascii="Times New Roman" w:hAnsi="Times New Roman"/>
                <w:b/>
                <w:bCs/>
                <w:color w:val="000000" w:themeColor="text1"/>
                <w:kern w:val="24"/>
                <w:szCs w:val="21"/>
                <w14:textFill>
                  <w14:solidFill>
                    <w14:schemeClr w14:val="tx1"/>
                  </w14:solidFill>
                </w14:textFill>
              </w:rPr>
              <w:t>电采暖设备</w:t>
            </w:r>
          </w:p>
          <w:p>
            <w:pPr>
              <w:adjustRightInd w:val="0"/>
              <w:snapToGrid w:val="0"/>
              <w:jc w:val="center"/>
              <w:rPr>
                <w:rFonts w:ascii="Times New Roman" w:hAnsi="Times New Roman"/>
                <w:b/>
                <w:bCs/>
                <w:color w:val="000000" w:themeColor="text1"/>
                <w:kern w:val="24"/>
                <w:szCs w:val="21"/>
                <w14:textFill>
                  <w14:solidFill>
                    <w14:schemeClr w14:val="tx1"/>
                  </w14:solidFill>
                </w14:textFill>
              </w:rPr>
            </w:pPr>
            <w:r>
              <w:rPr>
                <w:rFonts w:hint="eastAsia" w:ascii="Times New Roman" w:hAnsi="Times New Roman"/>
                <w:b/>
                <w:bCs/>
                <w:color w:val="000000" w:themeColor="text1"/>
                <w:kern w:val="24"/>
                <w:szCs w:val="21"/>
                <w14:textFill>
                  <w14:solidFill>
                    <w14:schemeClr w14:val="tx1"/>
                  </w14:solidFill>
                </w14:textFill>
              </w:rPr>
              <w:t>额定</w:t>
            </w:r>
            <w:r>
              <w:rPr>
                <w:rFonts w:ascii="Times New Roman" w:hAnsi="Times New Roman"/>
                <w:b/>
                <w:bCs/>
                <w:color w:val="000000" w:themeColor="text1"/>
                <w:kern w:val="24"/>
                <w:szCs w:val="21"/>
                <w14:textFill>
                  <w14:solidFill>
                    <w14:schemeClr w14:val="tx1"/>
                  </w14:solidFill>
                </w14:textFill>
              </w:rPr>
              <w:t>功率</w:t>
            </w:r>
            <w:r>
              <w:rPr>
                <w:rFonts w:hint="eastAsia" w:ascii="Times New Roman" w:hAnsi="Times New Roman"/>
                <w:b/>
                <w:bCs/>
                <w:i/>
                <w:iCs/>
                <w:color w:val="000000" w:themeColor="text1"/>
                <w:kern w:val="24"/>
                <w:szCs w:val="21"/>
                <w14:textFill>
                  <w14:solidFill>
                    <w14:schemeClr w14:val="tx1"/>
                  </w14:solidFill>
                </w14:textFill>
              </w:rPr>
              <w:t>P</w:t>
            </w:r>
            <w:r>
              <w:rPr>
                <w:rFonts w:ascii="Times New Roman" w:hAnsi="Times New Roman"/>
                <w:b/>
                <w:bCs/>
                <w:color w:val="000000" w:themeColor="text1"/>
                <w:kern w:val="24"/>
                <w:szCs w:val="21"/>
                <w:vertAlign w:val="subscript"/>
                <w14:textFill>
                  <w14:solidFill>
                    <w14:schemeClr w14:val="tx1"/>
                  </w14:solidFill>
                </w14:textFill>
              </w:rPr>
              <w:t>N</w:t>
            </w:r>
            <w:r>
              <w:rPr>
                <w:rFonts w:ascii="Times New Roman" w:hAnsi="Times New Roman"/>
                <w:b/>
                <w:bCs/>
                <w:color w:val="000000" w:themeColor="text1"/>
                <w:kern w:val="24"/>
                <w:szCs w:val="21"/>
                <w14:textFill>
                  <w14:solidFill>
                    <w14:schemeClr w14:val="tx1"/>
                  </w14:solidFill>
                </w14:textFill>
              </w:rPr>
              <w:t>/(</w:t>
            </w:r>
            <w:r>
              <w:rPr>
                <w:rFonts w:hint="eastAsia" w:ascii="Times New Roman" w:hAnsi="Times New Roman"/>
                <w:b/>
                <w:bCs/>
                <w:color w:val="000000" w:themeColor="text1"/>
                <w:kern w:val="24"/>
                <w:szCs w:val="21"/>
                <w14:textFill>
                  <w14:solidFill>
                    <w14:schemeClr w14:val="tx1"/>
                  </w14:solidFill>
                </w14:textFill>
              </w:rPr>
              <w:t>k</w:t>
            </w:r>
            <w:r>
              <w:rPr>
                <w:rFonts w:ascii="Times New Roman" w:hAnsi="Times New Roman"/>
                <w:b/>
                <w:bCs/>
                <w:color w:val="000000" w:themeColor="text1"/>
                <w:kern w:val="24"/>
                <w:szCs w:val="21"/>
                <w14:textFill>
                  <w14:solidFill>
                    <w14:schemeClr w14:val="tx1"/>
                  </w14:solidFill>
                </w14:textFill>
              </w:rPr>
              <w:t>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 w:hRule="atLeast"/>
        </w:trPr>
        <w:tc>
          <w:tcPr>
            <w:tcW w:w="704" w:type="dxa"/>
            <w:vAlign w:val="center"/>
          </w:tcPr>
          <w:p>
            <w:pPr>
              <w:jc w:val="center"/>
              <w:rPr>
                <w:rFonts w:ascii="Times New Roman" w:hAnsi="Times New Roman"/>
                <w:b/>
                <w:bCs/>
                <w:color w:val="000000" w:themeColor="text1"/>
                <w:szCs w:val="21"/>
                <w14:textFill>
                  <w14:solidFill>
                    <w14:schemeClr w14:val="tx1"/>
                  </w14:solidFill>
                </w14:textFill>
              </w:rPr>
            </w:pPr>
            <w:r>
              <w:rPr>
                <w:rFonts w:hint="eastAsia" w:ascii="Times New Roman" w:hAnsi="Times New Roman"/>
                <w:b/>
                <w:bCs/>
                <w:color w:val="000000" w:themeColor="text1"/>
                <w:szCs w:val="21"/>
                <w14:textFill>
                  <w14:solidFill>
                    <w14:schemeClr w14:val="tx1"/>
                  </w14:solidFill>
                </w14:textFill>
              </w:rPr>
              <w:t>数值</w:t>
            </w:r>
          </w:p>
        </w:tc>
        <w:tc>
          <w:tcPr>
            <w:tcW w:w="1276" w:type="dxa"/>
            <w:vAlign w:val="center"/>
          </w:tcPr>
          <w:p>
            <w:pPr>
              <w:widowControl/>
              <w:jc w:val="center"/>
              <w:textAlignment w:val="center"/>
              <w:rPr>
                <w:rFonts w:ascii="Times New Roman" w:hAnsi="Times New Roman"/>
                <w:color w:val="000000" w:themeColor="text1"/>
                <w:kern w:val="24"/>
                <w:szCs w:val="21"/>
                <w14:textFill>
                  <w14:solidFill>
                    <w14:schemeClr w14:val="tx1"/>
                  </w14:solidFill>
                </w14:textFill>
              </w:rPr>
            </w:pPr>
            <w:r>
              <w:rPr>
                <w:rFonts w:ascii="Times New Roman" w:hAnsi="Times New Roman"/>
                <w:color w:val="000000" w:themeColor="text1"/>
                <w:kern w:val="24"/>
                <w:szCs w:val="21"/>
                <w14:textFill>
                  <w14:solidFill>
                    <w14:schemeClr w14:val="tx1"/>
                  </w14:solidFill>
                </w14:textFill>
              </w:rPr>
              <w:t>1.2</w:t>
            </w:r>
            <w:r>
              <w:rPr>
                <w:rFonts w:hint="eastAsia" w:ascii="Times New Roman" w:hAnsi="Times New Roman"/>
                <w:color w:val="000000" w:themeColor="text1"/>
                <w:kern w:val="24"/>
                <w:szCs w:val="21"/>
                <w14:textFill>
                  <w14:solidFill>
                    <w14:schemeClr w14:val="tx1"/>
                  </w14:solidFill>
                </w14:textFill>
              </w:rPr>
              <w:t>×</w:t>
            </w:r>
            <w:r>
              <w:rPr>
                <w:rFonts w:ascii="Times New Roman" w:hAnsi="Times New Roman"/>
                <w:color w:val="000000" w:themeColor="text1"/>
                <w:kern w:val="24"/>
                <w:szCs w:val="21"/>
                <w14:textFill>
                  <w14:solidFill>
                    <w14:schemeClr w14:val="tx1"/>
                  </w14:solidFill>
                </w14:textFill>
              </w:rPr>
              <w:t>10</w:t>
            </w:r>
            <w:r>
              <w:rPr>
                <w:rFonts w:ascii="Times New Roman" w:hAnsi="Times New Roman"/>
                <w:color w:val="000000" w:themeColor="text1"/>
                <w:kern w:val="24"/>
                <w:szCs w:val="21"/>
                <w:vertAlign w:val="superscript"/>
                <w14:textFill>
                  <w14:solidFill>
                    <w14:schemeClr w14:val="tx1"/>
                  </w14:solidFill>
                </w14:textFill>
              </w:rPr>
              <w:t>-3</w:t>
            </w:r>
          </w:p>
        </w:tc>
        <w:tc>
          <w:tcPr>
            <w:tcW w:w="1276" w:type="dxa"/>
            <w:vAlign w:val="center"/>
          </w:tcPr>
          <w:p>
            <w:pPr>
              <w:widowControl/>
              <w:jc w:val="center"/>
              <w:textAlignment w:val="center"/>
              <w:rPr>
                <w:rFonts w:ascii="Times New Roman" w:hAnsi="Times New Roman"/>
                <w:color w:val="000000" w:themeColor="text1"/>
                <w:kern w:val="24"/>
                <w:szCs w:val="21"/>
                <w14:textFill>
                  <w14:solidFill>
                    <w14:schemeClr w14:val="tx1"/>
                  </w14:solidFill>
                </w14:textFill>
              </w:rPr>
            </w:pPr>
            <w:r>
              <w:rPr>
                <w:rFonts w:ascii="Times New Roman" w:hAnsi="Times New Roman"/>
                <w:color w:val="000000" w:themeColor="text1"/>
                <w:kern w:val="24"/>
                <w:szCs w:val="21"/>
                <w14:textFill>
                  <w14:solidFill>
                    <w14:schemeClr w14:val="tx1"/>
                  </w14:solidFill>
                </w14:textFill>
              </w:rPr>
              <w:t>9.2</w:t>
            </w:r>
            <w:r>
              <w:rPr>
                <w:rFonts w:hint="eastAsia" w:ascii="Times New Roman" w:hAnsi="Times New Roman"/>
                <w:color w:val="000000" w:themeColor="text1"/>
                <w:kern w:val="24"/>
                <w:szCs w:val="21"/>
                <w14:textFill>
                  <w14:solidFill>
                    <w14:schemeClr w14:val="tx1"/>
                  </w14:solidFill>
                </w14:textFill>
              </w:rPr>
              <w:t>×</w:t>
            </w:r>
            <w:r>
              <w:rPr>
                <w:rFonts w:ascii="Times New Roman" w:hAnsi="Times New Roman"/>
                <w:color w:val="000000" w:themeColor="text1"/>
                <w:kern w:val="24"/>
                <w:szCs w:val="21"/>
                <w14:textFill>
                  <w14:solidFill>
                    <w14:schemeClr w14:val="tx1"/>
                  </w14:solidFill>
                </w14:textFill>
              </w:rPr>
              <w:t>10</w:t>
            </w:r>
            <w:r>
              <w:rPr>
                <w:rFonts w:ascii="Times New Roman" w:hAnsi="Times New Roman"/>
                <w:color w:val="000000" w:themeColor="text1"/>
                <w:kern w:val="24"/>
                <w:szCs w:val="21"/>
                <w:vertAlign w:val="superscript"/>
                <w14:textFill>
                  <w14:solidFill>
                    <w14:schemeClr w14:val="tx1"/>
                  </w14:solidFill>
                </w14:textFill>
              </w:rPr>
              <w:t>-3</w:t>
            </w:r>
          </w:p>
        </w:tc>
        <w:tc>
          <w:tcPr>
            <w:tcW w:w="1559" w:type="dxa"/>
            <w:vAlign w:val="center"/>
          </w:tcPr>
          <w:p>
            <w:pPr>
              <w:widowControl/>
              <w:jc w:val="center"/>
              <w:textAlignment w:val="center"/>
              <w:rPr>
                <w:rFonts w:ascii="Times New Roman" w:hAnsi="Times New Roman"/>
                <w:color w:val="000000" w:themeColor="text1"/>
                <w:kern w:val="24"/>
                <w:szCs w:val="21"/>
                <w14:textFill>
                  <w14:solidFill>
                    <w14:schemeClr w14:val="tx1"/>
                  </w14:solidFill>
                </w14:textFill>
              </w:rPr>
            </w:pPr>
            <w:r>
              <w:rPr>
                <w:rFonts w:ascii="Times New Roman" w:hAnsi="Times New Roman"/>
                <w:color w:val="000000" w:themeColor="text1"/>
                <w:kern w:val="24"/>
                <w:szCs w:val="21"/>
                <w14:textFill>
                  <w14:solidFill>
                    <w14:schemeClr w14:val="tx1"/>
                  </w14:solidFill>
                </w14:textFill>
              </w:rPr>
              <w:t>1.1</w:t>
            </w:r>
            <w:r>
              <w:rPr>
                <w:rFonts w:hint="eastAsia" w:ascii="Times New Roman" w:hAnsi="Times New Roman"/>
                <w:color w:val="000000" w:themeColor="text1"/>
                <w:kern w:val="24"/>
                <w:szCs w:val="21"/>
                <w14:textFill>
                  <w14:solidFill>
                    <w14:schemeClr w14:val="tx1"/>
                  </w14:solidFill>
                </w14:textFill>
              </w:rPr>
              <w:t>×</w:t>
            </w:r>
            <w:r>
              <w:rPr>
                <w:rFonts w:ascii="Times New Roman" w:hAnsi="Times New Roman"/>
                <w:color w:val="000000" w:themeColor="text1"/>
                <w:kern w:val="24"/>
                <w:szCs w:val="21"/>
                <w14:textFill>
                  <w14:solidFill>
                    <w14:schemeClr w14:val="tx1"/>
                  </w14:solidFill>
                </w14:textFill>
              </w:rPr>
              <w:t>10</w:t>
            </w:r>
            <w:r>
              <w:rPr>
                <w:rFonts w:ascii="Times New Roman" w:hAnsi="Times New Roman"/>
                <w:color w:val="000000" w:themeColor="text1"/>
                <w:kern w:val="24"/>
                <w:szCs w:val="21"/>
                <w:vertAlign w:val="superscript"/>
                <w14:textFill>
                  <w14:solidFill>
                    <w14:schemeClr w14:val="tx1"/>
                  </w14:solidFill>
                </w14:textFill>
              </w:rPr>
              <w:t>6</w:t>
            </w:r>
          </w:p>
        </w:tc>
        <w:tc>
          <w:tcPr>
            <w:tcW w:w="1559" w:type="dxa"/>
            <w:vAlign w:val="center"/>
          </w:tcPr>
          <w:p>
            <w:pPr>
              <w:jc w:val="center"/>
              <w:rPr>
                <w:rFonts w:ascii="Times New Roman" w:hAnsi="Times New Roman"/>
                <w:color w:val="000000" w:themeColor="text1"/>
                <w:kern w:val="24"/>
                <w:szCs w:val="21"/>
                <w14:textFill>
                  <w14:solidFill>
                    <w14:schemeClr w14:val="tx1"/>
                  </w14:solidFill>
                </w14:textFill>
              </w:rPr>
            </w:pPr>
            <w:r>
              <w:rPr>
                <w:rFonts w:ascii="Times New Roman" w:hAnsi="Times New Roman"/>
                <w:color w:val="000000" w:themeColor="text1"/>
                <w:kern w:val="24"/>
                <w:szCs w:val="21"/>
                <w14:textFill>
                  <w14:solidFill>
                    <w14:schemeClr w14:val="tx1"/>
                  </w14:solidFill>
                </w14:textFill>
              </w:rPr>
              <w:t>1.86</w:t>
            </w:r>
            <w:r>
              <w:rPr>
                <w:rFonts w:hint="eastAsia" w:ascii="Times New Roman" w:hAnsi="Times New Roman"/>
                <w:color w:val="000000" w:themeColor="text1"/>
                <w:kern w:val="24"/>
                <w:szCs w:val="21"/>
                <w14:textFill>
                  <w14:solidFill>
                    <w14:schemeClr w14:val="tx1"/>
                  </w14:solidFill>
                </w14:textFill>
              </w:rPr>
              <w:t>×</w:t>
            </w:r>
            <w:r>
              <w:rPr>
                <w:rFonts w:ascii="Times New Roman" w:hAnsi="Times New Roman"/>
                <w:color w:val="000000" w:themeColor="text1"/>
                <w:kern w:val="24"/>
                <w:szCs w:val="21"/>
                <w14:textFill>
                  <w14:solidFill>
                    <w14:schemeClr w14:val="tx1"/>
                  </w14:solidFill>
                </w14:textFill>
              </w:rPr>
              <w:t>10</w:t>
            </w:r>
            <w:r>
              <w:rPr>
                <w:rFonts w:ascii="Times New Roman" w:hAnsi="Times New Roman"/>
                <w:color w:val="000000" w:themeColor="text1"/>
                <w:kern w:val="24"/>
                <w:szCs w:val="21"/>
                <w:vertAlign w:val="superscript"/>
                <w14:textFill>
                  <w14:solidFill>
                    <w14:schemeClr w14:val="tx1"/>
                  </w14:solidFill>
                </w14:textFill>
              </w:rPr>
              <w:t>8</w:t>
            </w:r>
          </w:p>
        </w:tc>
        <w:tc>
          <w:tcPr>
            <w:tcW w:w="1922" w:type="dxa"/>
            <w:vAlign w:val="center"/>
          </w:tcPr>
          <w:p>
            <w:pPr>
              <w:jc w:val="center"/>
              <w:rPr>
                <w:rFonts w:ascii="Times New Roman" w:hAnsi="Times New Roman"/>
                <w:color w:val="000000" w:themeColor="text1"/>
                <w:kern w:val="24"/>
                <w:szCs w:val="21"/>
                <w14:textFill>
                  <w14:solidFill>
                    <w14:schemeClr w14:val="tx1"/>
                  </w14:solidFill>
                </w14:textFill>
              </w:rPr>
            </w:pPr>
            <w:r>
              <w:rPr>
                <w:rFonts w:hint="eastAsia" w:ascii="Times New Roman" w:hAnsi="Times New Roman"/>
                <w:color w:val="000000" w:themeColor="text1"/>
                <w:kern w:val="24"/>
                <w:szCs w:val="21"/>
                <w14:textFill>
                  <w14:solidFill>
                    <w14:schemeClr w14:val="tx1"/>
                  </w14:solidFill>
                </w14:textFill>
              </w:rPr>
              <w:t>8</w:t>
            </w:r>
            <w:r>
              <w:rPr>
                <w:rFonts w:ascii="Times New Roman" w:hAnsi="Times New Roman"/>
                <w:color w:val="000000" w:themeColor="text1"/>
                <w:kern w:val="24"/>
                <w:szCs w:val="21"/>
                <w14:textFill>
                  <w14:solidFill>
                    <w14:schemeClr w14:val="tx1"/>
                  </w14:solidFill>
                </w14:textFill>
              </w:rPr>
              <w:t>.0</w:t>
            </w:r>
          </w:p>
        </w:tc>
      </w:tr>
    </w:tbl>
    <w:p>
      <w:pPr>
        <w:rPr>
          <w:rFonts w:ascii="Times New Roman" w:hAnsi="Times New Roman"/>
          <w:szCs w:val="21"/>
        </w:rPr>
      </w:pPr>
    </w:p>
    <w:p>
      <w:pPr>
        <w:rPr>
          <w:rFonts w:ascii="Times New Roman" w:hAnsi="Times New Roman"/>
          <w:szCs w:val="21"/>
        </w:rPr>
      </w:pPr>
    </w:p>
    <w:p>
      <w:pPr>
        <w:rPr>
          <w:rFonts w:ascii="Times New Roman" w:hAnsi="Times New Roman"/>
          <w:szCs w:val="21"/>
        </w:rPr>
      </w:pPr>
    </w:p>
    <w:p>
      <w:pPr>
        <w:rPr>
          <w:rFonts w:ascii="Times New Roman" w:hAnsi="Times New Roman"/>
          <w:szCs w:val="21"/>
        </w:rPr>
      </w:pPr>
    </w:p>
    <w:p>
      <w:pPr>
        <w:pStyle w:val="3"/>
        <w:jc w:val="center"/>
        <w:rPr>
          <w:sz w:val="28"/>
          <w:szCs w:val="28"/>
        </w:rPr>
      </w:pPr>
      <w:r>
        <w:rPr>
          <w:rFonts w:hint="eastAsia"/>
          <w:sz w:val="28"/>
          <w:szCs w:val="28"/>
        </w:rPr>
        <w:t>附件</w:t>
      </w:r>
      <w:r>
        <w:rPr>
          <w:sz w:val="28"/>
          <w:szCs w:val="28"/>
        </w:rPr>
        <w:t>B</w:t>
      </w:r>
      <w:r>
        <w:rPr>
          <w:rFonts w:hint="eastAsia"/>
          <w:sz w:val="28"/>
          <w:szCs w:val="28"/>
        </w:rPr>
        <w:t>：分时电价及辅助服务补偿机制</w:t>
      </w:r>
    </w:p>
    <w:p>
      <w:pPr>
        <w:ind w:firstLine="480" w:firstLineChars="200"/>
      </w:pPr>
      <w:r>
        <w:rPr>
          <w:rFonts w:hint="eastAsia" w:ascii="Times New Roman" w:hAnsi="Times New Roman"/>
          <w:sz w:val="24"/>
          <w:szCs w:val="24"/>
        </w:rPr>
        <w:t>电采暖负荷用电的峰谷电价及其参与削峰填谷辅助服务补偿价格见表B</w:t>
      </w:r>
      <w:r>
        <w:rPr>
          <w:rFonts w:ascii="Times New Roman" w:hAnsi="Times New Roman"/>
          <w:sz w:val="24"/>
          <w:szCs w:val="24"/>
        </w:rPr>
        <w:t>1</w:t>
      </w:r>
      <w:r>
        <w:rPr>
          <w:rFonts w:hint="eastAsia" w:ascii="Times New Roman" w:hAnsi="Times New Roman"/>
          <w:sz w:val="24"/>
          <w:szCs w:val="24"/>
        </w:rPr>
        <w:t>、B</w:t>
      </w:r>
      <w:r>
        <w:rPr>
          <w:rFonts w:ascii="Times New Roman" w:hAnsi="Times New Roman"/>
          <w:sz w:val="24"/>
          <w:szCs w:val="24"/>
        </w:rPr>
        <w:t>2</w:t>
      </w:r>
      <w:r>
        <w:rPr>
          <w:rFonts w:hint="eastAsia" w:ascii="Times New Roman" w:hAnsi="Times New Roman"/>
          <w:sz w:val="24"/>
          <w:szCs w:val="24"/>
        </w:rPr>
        <w:t>。</w:t>
      </w:r>
    </w:p>
    <w:p>
      <w:pPr>
        <w:jc w:val="center"/>
      </w:pPr>
    </w:p>
    <w:p>
      <w:pPr>
        <w:spacing w:line="360" w:lineRule="auto"/>
        <w:jc w:val="center"/>
        <w:rPr>
          <w:rFonts w:ascii="宋体" w:hAnsi="宋体"/>
          <w:b/>
          <w:sz w:val="18"/>
          <w:szCs w:val="18"/>
        </w:rPr>
      </w:pPr>
      <w:r>
        <w:rPr>
          <w:rFonts w:hint="eastAsia" w:ascii="宋体" w:hAnsi="宋体"/>
          <w:b/>
          <w:sz w:val="18"/>
          <w:szCs w:val="18"/>
        </w:rPr>
        <w:t>表B</w:t>
      </w:r>
      <w:r>
        <w:rPr>
          <w:rFonts w:ascii="宋体" w:hAnsi="宋体"/>
          <w:b/>
          <w:sz w:val="18"/>
          <w:szCs w:val="18"/>
        </w:rPr>
        <w:t xml:space="preserve">1 </w:t>
      </w:r>
      <w:r>
        <w:rPr>
          <w:rFonts w:hint="eastAsia" w:ascii="宋体" w:hAnsi="宋体"/>
          <w:b/>
          <w:sz w:val="18"/>
          <w:szCs w:val="18"/>
        </w:rPr>
        <w:t>电采暖负荷用电的峰谷电价</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jc w:val="center"/>
              <w:rPr>
                <w:rFonts w:ascii="Times New Roman" w:hAnsi="Times New Roman"/>
                <w:sz w:val="18"/>
                <w:szCs w:val="18"/>
              </w:rPr>
            </w:pPr>
          </w:p>
        </w:tc>
        <w:tc>
          <w:tcPr>
            <w:tcW w:w="2765" w:type="dxa"/>
          </w:tcPr>
          <w:p>
            <w:pPr>
              <w:spacing w:line="360" w:lineRule="auto"/>
              <w:jc w:val="center"/>
              <w:rPr>
                <w:rFonts w:ascii="Times New Roman" w:hAnsi="Times New Roman"/>
                <w:sz w:val="18"/>
                <w:szCs w:val="18"/>
              </w:rPr>
            </w:pPr>
            <w:r>
              <w:rPr>
                <w:rFonts w:hint="eastAsia" w:ascii="Times New Roman" w:hAnsi="Times New Roman"/>
                <w:sz w:val="18"/>
                <w:szCs w:val="18"/>
              </w:rPr>
              <w:t>峰时（8:00</w:t>
            </w:r>
            <w:r>
              <w:rPr>
                <w:rFonts w:ascii="Lucida Sans" w:hAnsi="Lucida Sans"/>
                <w:sz w:val="18"/>
                <w:szCs w:val="18"/>
              </w:rPr>
              <w:t>-</w:t>
            </w:r>
            <w:r>
              <w:rPr>
                <w:rFonts w:hint="eastAsia" w:ascii="Times New Roman" w:hAnsi="Times New Roman"/>
                <w:sz w:val="18"/>
                <w:szCs w:val="18"/>
              </w:rPr>
              <w:t>21:00）</w:t>
            </w:r>
          </w:p>
        </w:tc>
        <w:tc>
          <w:tcPr>
            <w:tcW w:w="2766" w:type="dxa"/>
          </w:tcPr>
          <w:p>
            <w:pPr>
              <w:spacing w:line="360" w:lineRule="auto"/>
              <w:jc w:val="center"/>
              <w:rPr>
                <w:rFonts w:ascii="Times New Roman" w:hAnsi="Times New Roman"/>
                <w:sz w:val="18"/>
                <w:szCs w:val="18"/>
              </w:rPr>
            </w:pPr>
            <w:r>
              <w:rPr>
                <w:rFonts w:hint="eastAsia" w:ascii="Times New Roman" w:hAnsi="Times New Roman"/>
                <w:sz w:val="18"/>
                <w:szCs w:val="18"/>
              </w:rPr>
              <w:t>谷时（21:00</w:t>
            </w:r>
            <w:r>
              <w:rPr>
                <w:rFonts w:ascii="Times New Roman" w:hAnsi="Times New Roman"/>
                <w:sz w:val="18"/>
                <w:szCs w:val="18"/>
              </w:rPr>
              <w:t>-</w:t>
            </w:r>
            <w:r>
              <w:rPr>
                <w:rFonts w:hint="eastAsia" w:ascii="Times New Roman" w:hAnsi="Times New Roman"/>
                <w:sz w:val="18"/>
                <w:szCs w:val="18"/>
              </w:rPr>
              <w:t>次日8:00）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jc w:val="center"/>
              <w:rPr>
                <w:rFonts w:ascii="Times New Roman" w:hAnsi="Times New Roman"/>
                <w:sz w:val="18"/>
                <w:szCs w:val="18"/>
              </w:rPr>
            </w:pPr>
            <w:r>
              <w:rPr>
                <w:rFonts w:hint="eastAsia" w:ascii="Times New Roman" w:hAnsi="Times New Roman"/>
                <w:sz w:val="18"/>
                <w:szCs w:val="18"/>
              </w:rPr>
              <w:t>电价（元/kWh）</w:t>
            </w:r>
          </w:p>
        </w:tc>
        <w:tc>
          <w:tcPr>
            <w:tcW w:w="2765" w:type="dxa"/>
          </w:tcPr>
          <w:p>
            <w:pPr>
              <w:spacing w:line="360" w:lineRule="auto"/>
              <w:jc w:val="center"/>
              <w:rPr>
                <w:rFonts w:ascii="Times New Roman" w:hAnsi="Times New Roman"/>
                <w:sz w:val="18"/>
                <w:szCs w:val="18"/>
              </w:rPr>
            </w:pPr>
            <w:r>
              <w:rPr>
                <w:rFonts w:hint="eastAsia" w:ascii="Times New Roman" w:hAnsi="Times New Roman"/>
                <w:sz w:val="18"/>
                <w:szCs w:val="18"/>
              </w:rPr>
              <w:t>0.56</w:t>
            </w:r>
          </w:p>
        </w:tc>
        <w:tc>
          <w:tcPr>
            <w:tcW w:w="2766" w:type="dxa"/>
          </w:tcPr>
          <w:p>
            <w:pPr>
              <w:spacing w:line="360" w:lineRule="auto"/>
              <w:jc w:val="center"/>
              <w:rPr>
                <w:rFonts w:ascii="Times New Roman" w:hAnsi="Times New Roman"/>
                <w:sz w:val="18"/>
                <w:szCs w:val="18"/>
              </w:rPr>
            </w:pPr>
            <w:r>
              <w:rPr>
                <w:rFonts w:hint="eastAsia" w:ascii="Times New Roman" w:hAnsi="Times New Roman"/>
                <w:sz w:val="18"/>
                <w:szCs w:val="18"/>
              </w:rPr>
              <w:t>0.32</w:t>
            </w:r>
          </w:p>
        </w:tc>
      </w:tr>
    </w:tbl>
    <w:p>
      <w:pPr>
        <w:jc w:val="center"/>
      </w:pPr>
    </w:p>
    <w:p>
      <w:pPr>
        <w:spacing w:line="360" w:lineRule="auto"/>
        <w:jc w:val="center"/>
        <w:rPr>
          <w:rFonts w:ascii="宋体" w:hAnsi="宋体"/>
          <w:b/>
          <w:sz w:val="18"/>
          <w:szCs w:val="18"/>
        </w:rPr>
      </w:pPr>
      <w:r>
        <w:rPr>
          <w:rFonts w:hint="eastAsia" w:ascii="宋体" w:hAnsi="宋体"/>
          <w:b/>
          <w:sz w:val="18"/>
          <w:szCs w:val="18"/>
        </w:rPr>
        <w:t>表B</w:t>
      </w:r>
      <w:r>
        <w:rPr>
          <w:rFonts w:ascii="宋体" w:hAnsi="宋体"/>
          <w:b/>
          <w:sz w:val="18"/>
          <w:szCs w:val="18"/>
        </w:rPr>
        <w:t xml:space="preserve">2 </w:t>
      </w:r>
      <w:r>
        <w:rPr>
          <w:rFonts w:hint="eastAsia" w:ascii="宋体" w:hAnsi="宋体"/>
          <w:b/>
          <w:sz w:val="18"/>
          <w:szCs w:val="18"/>
        </w:rPr>
        <w:t>电采暖负荷参与削峰填谷辅助服务补偿价格</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5" w:type="dxa"/>
          </w:tcPr>
          <w:p>
            <w:pPr>
              <w:spacing w:line="360" w:lineRule="auto"/>
              <w:jc w:val="center"/>
              <w:rPr>
                <w:rFonts w:ascii="Times New Roman" w:hAnsi="Times New Roman"/>
                <w:sz w:val="18"/>
                <w:szCs w:val="18"/>
              </w:rPr>
            </w:pPr>
          </w:p>
        </w:tc>
        <w:tc>
          <w:tcPr>
            <w:tcW w:w="2765" w:type="dxa"/>
          </w:tcPr>
          <w:p>
            <w:pPr>
              <w:spacing w:line="360" w:lineRule="auto"/>
              <w:jc w:val="center"/>
              <w:rPr>
                <w:rFonts w:ascii="Times New Roman" w:hAnsi="Times New Roman"/>
                <w:sz w:val="18"/>
                <w:szCs w:val="18"/>
              </w:rPr>
            </w:pPr>
            <w:r>
              <w:rPr>
                <w:rFonts w:hint="eastAsia" w:ascii="Times New Roman" w:hAnsi="Times New Roman"/>
                <w:sz w:val="18"/>
                <w:szCs w:val="18"/>
              </w:rPr>
              <w:t>削峰时段（1</w:t>
            </w:r>
            <w:r>
              <w:rPr>
                <w:rFonts w:ascii="Times New Roman" w:hAnsi="Times New Roman"/>
                <w:sz w:val="18"/>
                <w:szCs w:val="18"/>
              </w:rPr>
              <w:t>6</w:t>
            </w:r>
            <w:r>
              <w:rPr>
                <w:rFonts w:hint="eastAsia" w:ascii="Times New Roman" w:hAnsi="Times New Roman"/>
                <w:sz w:val="18"/>
                <w:szCs w:val="18"/>
              </w:rPr>
              <w:t>:00</w:t>
            </w:r>
            <w:r>
              <w:rPr>
                <w:rFonts w:ascii="Lucida Sans" w:hAnsi="Lucida Sans"/>
                <w:sz w:val="18"/>
                <w:szCs w:val="18"/>
              </w:rPr>
              <w:t>-</w:t>
            </w:r>
            <w:r>
              <w:rPr>
                <w:rFonts w:hint="eastAsia" w:ascii="Times New Roman" w:hAnsi="Times New Roman"/>
                <w:sz w:val="18"/>
                <w:szCs w:val="18"/>
              </w:rPr>
              <w:t>2</w:t>
            </w:r>
            <w:r>
              <w:rPr>
                <w:rFonts w:ascii="Times New Roman" w:hAnsi="Times New Roman"/>
                <w:sz w:val="18"/>
                <w:szCs w:val="18"/>
              </w:rPr>
              <w:t>0</w:t>
            </w:r>
            <w:r>
              <w:rPr>
                <w:rFonts w:hint="eastAsia" w:ascii="Times New Roman" w:hAnsi="Times New Roman"/>
                <w:sz w:val="18"/>
                <w:szCs w:val="18"/>
              </w:rPr>
              <w:t>:00）</w:t>
            </w:r>
          </w:p>
        </w:tc>
        <w:tc>
          <w:tcPr>
            <w:tcW w:w="2766" w:type="dxa"/>
          </w:tcPr>
          <w:p>
            <w:pPr>
              <w:spacing w:line="360" w:lineRule="auto"/>
              <w:jc w:val="center"/>
              <w:rPr>
                <w:rFonts w:ascii="Times New Roman" w:hAnsi="Times New Roman"/>
                <w:sz w:val="18"/>
                <w:szCs w:val="18"/>
              </w:rPr>
            </w:pPr>
            <w:r>
              <w:rPr>
                <w:rFonts w:hint="eastAsia" w:ascii="Times New Roman" w:hAnsi="Times New Roman"/>
                <w:sz w:val="18"/>
                <w:szCs w:val="18"/>
              </w:rPr>
              <w:t>填谷时段（</w:t>
            </w:r>
            <w:r>
              <w:rPr>
                <w:rFonts w:ascii="Times New Roman" w:hAnsi="Times New Roman"/>
                <w:sz w:val="18"/>
                <w:szCs w:val="18"/>
              </w:rPr>
              <w:t>0</w:t>
            </w:r>
            <w:r>
              <w:rPr>
                <w:rFonts w:hint="eastAsia" w:ascii="Times New Roman" w:hAnsi="Times New Roman"/>
                <w:sz w:val="18"/>
                <w:szCs w:val="18"/>
              </w:rPr>
              <w:t>:00</w:t>
            </w:r>
            <w:r>
              <w:rPr>
                <w:rFonts w:ascii="Times New Roman" w:hAnsi="Times New Roman"/>
                <w:sz w:val="18"/>
                <w:szCs w:val="18"/>
              </w:rPr>
              <w:t>-</w:t>
            </w:r>
            <w:r>
              <w:rPr>
                <w:rFonts w:hint="eastAsia" w:ascii="Times New Roman" w:hAnsi="Times New Roman"/>
                <w:sz w:val="18"/>
                <w:szCs w:val="18"/>
              </w:rPr>
              <w:t>次日</w:t>
            </w:r>
            <w:r>
              <w:rPr>
                <w:rFonts w:ascii="Times New Roman" w:hAnsi="Times New Roman"/>
                <w:sz w:val="18"/>
                <w:szCs w:val="18"/>
              </w:rPr>
              <w:t>4</w:t>
            </w:r>
            <w:r>
              <w:rPr>
                <w:rFonts w:hint="eastAsia" w:ascii="Times New Roman" w:hAnsi="Times New Roman"/>
                <w:sz w:val="18"/>
                <w:szCs w:val="18"/>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jc w:val="center"/>
              <w:rPr>
                <w:rFonts w:ascii="Times New Roman" w:hAnsi="Times New Roman"/>
                <w:sz w:val="18"/>
                <w:szCs w:val="18"/>
              </w:rPr>
            </w:pPr>
            <w:r>
              <w:rPr>
                <w:rFonts w:hint="eastAsia" w:ascii="Times New Roman" w:hAnsi="Times New Roman"/>
                <w:sz w:val="18"/>
                <w:szCs w:val="18"/>
              </w:rPr>
              <w:t>补偿价格（元/kWh）</w:t>
            </w:r>
          </w:p>
        </w:tc>
        <w:tc>
          <w:tcPr>
            <w:tcW w:w="2765" w:type="dxa"/>
          </w:tcPr>
          <w:p>
            <w:pPr>
              <w:spacing w:line="360" w:lineRule="auto"/>
              <w:jc w:val="center"/>
              <w:rPr>
                <w:rFonts w:ascii="Times New Roman" w:hAnsi="Times New Roman"/>
                <w:sz w:val="18"/>
                <w:szCs w:val="18"/>
              </w:rPr>
            </w:pPr>
            <w:r>
              <w:rPr>
                <w:rFonts w:hint="eastAsia" w:ascii="Times New Roman" w:hAnsi="Times New Roman"/>
                <w:sz w:val="18"/>
                <w:szCs w:val="18"/>
              </w:rPr>
              <w:t>1.</w:t>
            </w:r>
            <w:r>
              <w:rPr>
                <w:rFonts w:ascii="Times New Roman" w:hAnsi="Times New Roman"/>
                <w:sz w:val="18"/>
                <w:szCs w:val="18"/>
              </w:rPr>
              <w:t>30</w:t>
            </w:r>
          </w:p>
        </w:tc>
        <w:tc>
          <w:tcPr>
            <w:tcW w:w="2766" w:type="dxa"/>
          </w:tcPr>
          <w:p>
            <w:pPr>
              <w:spacing w:line="360" w:lineRule="auto"/>
              <w:jc w:val="center"/>
              <w:rPr>
                <w:rFonts w:ascii="Times New Roman" w:hAnsi="Times New Roman"/>
                <w:sz w:val="18"/>
                <w:szCs w:val="18"/>
              </w:rPr>
            </w:pPr>
            <w:r>
              <w:rPr>
                <w:rFonts w:hint="eastAsia" w:ascii="Times New Roman" w:hAnsi="Times New Roman"/>
                <w:sz w:val="18"/>
                <w:szCs w:val="18"/>
              </w:rPr>
              <w:t>0</w:t>
            </w:r>
            <w:r>
              <w:rPr>
                <w:rFonts w:ascii="Times New Roman" w:hAnsi="Times New Roman"/>
                <w:sz w:val="18"/>
                <w:szCs w:val="18"/>
              </w:rPr>
              <w:t>.</w:t>
            </w:r>
            <w:r>
              <w:rPr>
                <w:rFonts w:hint="eastAsia" w:ascii="Times New Roman" w:hAnsi="Times New Roman"/>
                <w:sz w:val="18"/>
                <w:szCs w:val="18"/>
              </w:rPr>
              <w:t>6</w:t>
            </w:r>
            <w:r>
              <w:rPr>
                <w:rFonts w:ascii="Times New Roman" w:hAnsi="Times New Roman"/>
                <w:sz w:val="18"/>
                <w:szCs w:val="18"/>
              </w:rPr>
              <w:t>5</w:t>
            </w:r>
          </w:p>
        </w:tc>
      </w:tr>
    </w:tbl>
    <w:p>
      <w:pPr>
        <w:rPr>
          <w:rFonts w:ascii="Times New Roman" w:hAnsi="Times New Roman"/>
        </w:rPr>
      </w:pP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Lucida Sans">
    <w:altName w:val="Lucida Sans Unicode"/>
    <w:panose1 w:val="020B0602030504020204"/>
    <w:charset w:val="00"/>
    <w:family w:val="swiss"/>
    <w:pitch w:val="default"/>
    <w:sig w:usb0="00000000" w:usb1="00000000" w:usb2="00000000" w:usb3="00000000" w:csb0="00000001" w:csb1="00000000"/>
  </w:font>
  <w:font w:name="Lucida Sans Unicode">
    <w:panose1 w:val="020B0602030504020204"/>
    <w:charset w:val="00"/>
    <w:family w:val="auto"/>
    <w:pitch w:val="default"/>
    <w:sig w:usb0="80001AFF" w:usb1="0000396B" w:usb2="00000000" w:usb3="00000000" w:csb0="200000BF" w:csb1="D7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I3ZWRjYWQ0YmUzNjMwNmRhZTJkYzkyYzM4NjllNDcifQ=="/>
  </w:docVars>
  <w:rsids>
    <w:rsidRoot w:val="00ED2FFA"/>
    <w:rsid w:val="00005AB7"/>
    <w:rsid w:val="00012D91"/>
    <w:rsid w:val="00025952"/>
    <w:rsid w:val="00043D90"/>
    <w:rsid w:val="00044B88"/>
    <w:rsid w:val="00045FA5"/>
    <w:rsid w:val="00056140"/>
    <w:rsid w:val="00057C6D"/>
    <w:rsid w:val="00087332"/>
    <w:rsid w:val="00090413"/>
    <w:rsid w:val="000A0E61"/>
    <w:rsid w:val="000C65BD"/>
    <w:rsid w:val="000C69FE"/>
    <w:rsid w:val="000D69AD"/>
    <w:rsid w:val="0012709E"/>
    <w:rsid w:val="00144836"/>
    <w:rsid w:val="0015269F"/>
    <w:rsid w:val="0015654B"/>
    <w:rsid w:val="00163869"/>
    <w:rsid w:val="0016592A"/>
    <w:rsid w:val="00175C39"/>
    <w:rsid w:val="00176B1E"/>
    <w:rsid w:val="00194E3E"/>
    <w:rsid w:val="001971EA"/>
    <w:rsid w:val="001A39FC"/>
    <w:rsid w:val="001B0383"/>
    <w:rsid w:val="001D53B5"/>
    <w:rsid w:val="001E7BB0"/>
    <w:rsid w:val="001F3F07"/>
    <w:rsid w:val="00200370"/>
    <w:rsid w:val="00207732"/>
    <w:rsid w:val="00211C49"/>
    <w:rsid w:val="00215F9F"/>
    <w:rsid w:val="00233F5C"/>
    <w:rsid w:val="002476C5"/>
    <w:rsid w:val="00252BD1"/>
    <w:rsid w:val="002540A5"/>
    <w:rsid w:val="00270330"/>
    <w:rsid w:val="0028302A"/>
    <w:rsid w:val="00284257"/>
    <w:rsid w:val="00286380"/>
    <w:rsid w:val="00291F4E"/>
    <w:rsid w:val="00297841"/>
    <w:rsid w:val="002A74F1"/>
    <w:rsid w:val="002B7E0F"/>
    <w:rsid w:val="002D17EB"/>
    <w:rsid w:val="002F491B"/>
    <w:rsid w:val="00306D3E"/>
    <w:rsid w:val="0031005E"/>
    <w:rsid w:val="00323EB0"/>
    <w:rsid w:val="003471A4"/>
    <w:rsid w:val="00352889"/>
    <w:rsid w:val="00364214"/>
    <w:rsid w:val="0037572B"/>
    <w:rsid w:val="00380F42"/>
    <w:rsid w:val="003815D1"/>
    <w:rsid w:val="00381A53"/>
    <w:rsid w:val="00394C3D"/>
    <w:rsid w:val="003B07B4"/>
    <w:rsid w:val="003E18D8"/>
    <w:rsid w:val="003F3B92"/>
    <w:rsid w:val="004009AC"/>
    <w:rsid w:val="00417558"/>
    <w:rsid w:val="00423D39"/>
    <w:rsid w:val="00424F93"/>
    <w:rsid w:val="00434A5A"/>
    <w:rsid w:val="00443B08"/>
    <w:rsid w:val="00452C09"/>
    <w:rsid w:val="00452DBA"/>
    <w:rsid w:val="00456680"/>
    <w:rsid w:val="00464101"/>
    <w:rsid w:val="00474BB8"/>
    <w:rsid w:val="0049003B"/>
    <w:rsid w:val="004908C8"/>
    <w:rsid w:val="004B6D0B"/>
    <w:rsid w:val="004C4FAD"/>
    <w:rsid w:val="004D2D7B"/>
    <w:rsid w:val="004D356B"/>
    <w:rsid w:val="004F0069"/>
    <w:rsid w:val="005007C4"/>
    <w:rsid w:val="00512D30"/>
    <w:rsid w:val="005131B9"/>
    <w:rsid w:val="005171FB"/>
    <w:rsid w:val="0052382A"/>
    <w:rsid w:val="00536300"/>
    <w:rsid w:val="0054193E"/>
    <w:rsid w:val="00544336"/>
    <w:rsid w:val="005472B6"/>
    <w:rsid w:val="00557C76"/>
    <w:rsid w:val="00565BF9"/>
    <w:rsid w:val="00591FDC"/>
    <w:rsid w:val="005929A6"/>
    <w:rsid w:val="005A1971"/>
    <w:rsid w:val="005A1FDA"/>
    <w:rsid w:val="005A7FE0"/>
    <w:rsid w:val="005B3954"/>
    <w:rsid w:val="005E66E5"/>
    <w:rsid w:val="005F2AED"/>
    <w:rsid w:val="005F78E7"/>
    <w:rsid w:val="00602792"/>
    <w:rsid w:val="006162FA"/>
    <w:rsid w:val="00630166"/>
    <w:rsid w:val="006345A6"/>
    <w:rsid w:val="006372E5"/>
    <w:rsid w:val="00656427"/>
    <w:rsid w:val="00662BA5"/>
    <w:rsid w:val="00685C26"/>
    <w:rsid w:val="00694A6E"/>
    <w:rsid w:val="006B0EB4"/>
    <w:rsid w:val="006C68A6"/>
    <w:rsid w:val="006E76E2"/>
    <w:rsid w:val="006F08E9"/>
    <w:rsid w:val="00700FC5"/>
    <w:rsid w:val="00704312"/>
    <w:rsid w:val="00713831"/>
    <w:rsid w:val="00715E9A"/>
    <w:rsid w:val="00721B5E"/>
    <w:rsid w:val="0072580B"/>
    <w:rsid w:val="00727CF1"/>
    <w:rsid w:val="00736E9E"/>
    <w:rsid w:val="00756240"/>
    <w:rsid w:val="0076026C"/>
    <w:rsid w:val="00780B19"/>
    <w:rsid w:val="00782143"/>
    <w:rsid w:val="00784187"/>
    <w:rsid w:val="007875CF"/>
    <w:rsid w:val="00794A11"/>
    <w:rsid w:val="007A5346"/>
    <w:rsid w:val="007A6301"/>
    <w:rsid w:val="007D60C8"/>
    <w:rsid w:val="007E5886"/>
    <w:rsid w:val="007F1266"/>
    <w:rsid w:val="007F245D"/>
    <w:rsid w:val="00800D22"/>
    <w:rsid w:val="008207F4"/>
    <w:rsid w:val="00820B4A"/>
    <w:rsid w:val="008305B6"/>
    <w:rsid w:val="008353BB"/>
    <w:rsid w:val="00841F95"/>
    <w:rsid w:val="00856B26"/>
    <w:rsid w:val="00857F1A"/>
    <w:rsid w:val="00870EA0"/>
    <w:rsid w:val="00876C18"/>
    <w:rsid w:val="00876E0F"/>
    <w:rsid w:val="00877228"/>
    <w:rsid w:val="00885A71"/>
    <w:rsid w:val="008B4060"/>
    <w:rsid w:val="008C0AE8"/>
    <w:rsid w:val="008C594A"/>
    <w:rsid w:val="008D32FB"/>
    <w:rsid w:val="008F1DF9"/>
    <w:rsid w:val="0091198C"/>
    <w:rsid w:val="00926362"/>
    <w:rsid w:val="00933436"/>
    <w:rsid w:val="009519F2"/>
    <w:rsid w:val="009656F0"/>
    <w:rsid w:val="00976A36"/>
    <w:rsid w:val="0098470F"/>
    <w:rsid w:val="00984836"/>
    <w:rsid w:val="009A2E4E"/>
    <w:rsid w:val="009A547C"/>
    <w:rsid w:val="009A7BD4"/>
    <w:rsid w:val="009B35D6"/>
    <w:rsid w:val="009B40ED"/>
    <w:rsid w:val="009B76E7"/>
    <w:rsid w:val="009E21DC"/>
    <w:rsid w:val="009E7A7E"/>
    <w:rsid w:val="009F7EDF"/>
    <w:rsid w:val="00A00E6F"/>
    <w:rsid w:val="00A0449A"/>
    <w:rsid w:val="00A05F07"/>
    <w:rsid w:val="00A06F20"/>
    <w:rsid w:val="00A21CD0"/>
    <w:rsid w:val="00A2329A"/>
    <w:rsid w:val="00A43F9F"/>
    <w:rsid w:val="00A44168"/>
    <w:rsid w:val="00A45DCD"/>
    <w:rsid w:val="00A52673"/>
    <w:rsid w:val="00A64E24"/>
    <w:rsid w:val="00A775A3"/>
    <w:rsid w:val="00A83B90"/>
    <w:rsid w:val="00A8686E"/>
    <w:rsid w:val="00AA0293"/>
    <w:rsid w:val="00AA4D50"/>
    <w:rsid w:val="00AA63E4"/>
    <w:rsid w:val="00AB0BDF"/>
    <w:rsid w:val="00AB223D"/>
    <w:rsid w:val="00AD427A"/>
    <w:rsid w:val="00AD7F5F"/>
    <w:rsid w:val="00AE7283"/>
    <w:rsid w:val="00AF0E2D"/>
    <w:rsid w:val="00B010C7"/>
    <w:rsid w:val="00B04091"/>
    <w:rsid w:val="00B20256"/>
    <w:rsid w:val="00B244B4"/>
    <w:rsid w:val="00B253AA"/>
    <w:rsid w:val="00B274CE"/>
    <w:rsid w:val="00B330CB"/>
    <w:rsid w:val="00B36CB6"/>
    <w:rsid w:val="00B56A30"/>
    <w:rsid w:val="00B62BF6"/>
    <w:rsid w:val="00B66021"/>
    <w:rsid w:val="00B66594"/>
    <w:rsid w:val="00B93AB5"/>
    <w:rsid w:val="00B95242"/>
    <w:rsid w:val="00BA2ABF"/>
    <w:rsid w:val="00BA3AFD"/>
    <w:rsid w:val="00BA6D47"/>
    <w:rsid w:val="00BB7483"/>
    <w:rsid w:val="00BC2F55"/>
    <w:rsid w:val="00BC5BFD"/>
    <w:rsid w:val="00BC7F4A"/>
    <w:rsid w:val="00BD7E39"/>
    <w:rsid w:val="00C105BC"/>
    <w:rsid w:val="00C50BD5"/>
    <w:rsid w:val="00C50E65"/>
    <w:rsid w:val="00C80574"/>
    <w:rsid w:val="00C908AD"/>
    <w:rsid w:val="00C92C36"/>
    <w:rsid w:val="00CB09A5"/>
    <w:rsid w:val="00CC442D"/>
    <w:rsid w:val="00CC4AD5"/>
    <w:rsid w:val="00CF440B"/>
    <w:rsid w:val="00D156B5"/>
    <w:rsid w:val="00D1643D"/>
    <w:rsid w:val="00D44B16"/>
    <w:rsid w:val="00D47EE8"/>
    <w:rsid w:val="00D54875"/>
    <w:rsid w:val="00D6603F"/>
    <w:rsid w:val="00D672D2"/>
    <w:rsid w:val="00D8001D"/>
    <w:rsid w:val="00D8034E"/>
    <w:rsid w:val="00D87FF9"/>
    <w:rsid w:val="00D94463"/>
    <w:rsid w:val="00D96E4D"/>
    <w:rsid w:val="00DC1E60"/>
    <w:rsid w:val="00DD01CF"/>
    <w:rsid w:val="00DD05D6"/>
    <w:rsid w:val="00DE6C8D"/>
    <w:rsid w:val="00E00B54"/>
    <w:rsid w:val="00E02761"/>
    <w:rsid w:val="00E07FF1"/>
    <w:rsid w:val="00E339C7"/>
    <w:rsid w:val="00E44DCC"/>
    <w:rsid w:val="00E574A4"/>
    <w:rsid w:val="00E73005"/>
    <w:rsid w:val="00E7300E"/>
    <w:rsid w:val="00E7582D"/>
    <w:rsid w:val="00E75954"/>
    <w:rsid w:val="00E82A2F"/>
    <w:rsid w:val="00E92682"/>
    <w:rsid w:val="00E95CF1"/>
    <w:rsid w:val="00E973DF"/>
    <w:rsid w:val="00EA4F63"/>
    <w:rsid w:val="00EB379D"/>
    <w:rsid w:val="00ED2DB9"/>
    <w:rsid w:val="00ED2FFA"/>
    <w:rsid w:val="00ED74ED"/>
    <w:rsid w:val="00EE61B1"/>
    <w:rsid w:val="00EE659B"/>
    <w:rsid w:val="00EF3179"/>
    <w:rsid w:val="00EF5FA8"/>
    <w:rsid w:val="00F02232"/>
    <w:rsid w:val="00F03954"/>
    <w:rsid w:val="00F06859"/>
    <w:rsid w:val="00F138A9"/>
    <w:rsid w:val="00F25904"/>
    <w:rsid w:val="00F301B6"/>
    <w:rsid w:val="00F37360"/>
    <w:rsid w:val="00F61D45"/>
    <w:rsid w:val="00F64B8E"/>
    <w:rsid w:val="00F74A94"/>
    <w:rsid w:val="00F76602"/>
    <w:rsid w:val="00FB02D4"/>
    <w:rsid w:val="00FB2BB0"/>
    <w:rsid w:val="00FB37BE"/>
    <w:rsid w:val="00FC7F17"/>
    <w:rsid w:val="00FD1B2F"/>
    <w:rsid w:val="00FD2671"/>
    <w:rsid w:val="00FE30A0"/>
    <w:rsid w:val="00FF4BCB"/>
    <w:rsid w:val="561176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footer"/>
    <w:basedOn w:val="1"/>
    <w:link w:val="12"/>
    <w:unhideWhenUsed/>
    <w:uiPriority w:val="99"/>
    <w:pPr>
      <w:tabs>
        <w:tab w:val="center" w:pos="4153"/>
        <w:tab w:val="right" w:pos="8306"/>
      </w:tabs>
      <w:snapToGrid w:val="0"/>
      <w:jc w:val="left"/>
    </w:pPr>
    <w:rPr>
      <w:sz w:val="18"/>
      <w:szCs w:val="18"/>
    </w:rPr>
  </w:style>
  <w:style w:type="paragraph" w:styleId="5">
    <w:name w:val="header"/>
    <w:basedOn w:val="1"/>
    <w:link w:val="11"/>
    <w:unhideWhenUsed/>
    <w:uiPriority w:val="99"/>
    <w:pPr>
      <w:tabs>
        <w:tab w:val="center" w:pos="4153"/>
        <w:tab w:val="right" w:pos="8306"/>
      </w:tabs>
      <w:snapToGrid w:val="0"/>
      <w:jc w:val="center"/>
    </w:pPr>
    <w:rPr>
      <w:sz w:val="18"/>
      <w:szCs w:val="18"/>
    </w:rPr>
  </w:style>
  <w:style w:type="table" w:styleId="7">
    <w:name w:val="Table Grid"/>
    <w:basedOn w:val="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MTDisplayEquation"/>
    <w:basedOn w:val="1"/>
    <w:next w:val="1"/>
    <w:link w:val="10"/>
    <w:uiPriority w:val="0"/>
    <w:pPr>
      <w:tabs>
        <w:tab w:val="center" w:pos="4160"/>
        <w:tab w:val="right" w:pos="8300"/>
      </w:tabs>
    </w:pPr>
    <w:rPr>
      <w:rFonts w:asciiTheme="minorHAnsi" w:hAnsiTheme="minorHAnsi" w:eastAsiaTheme="minorEastAsia" w:cstheme="minorBidi"/>
      <w:szCs w:val="21"/>
    </w:rPr>
  </w:style>
  <w:style w:type="character" w:customStyle="1" w:styleId="10">
    <w:name w:val="MTDisplayEquation 字符"/>
    <w:basedOn w:val="8"/>
    <w:link w:val="9"/>
    <w:uiPriority w:val="0"/>
    <w:rPr>
      <w:szCs w:val="21"/>
    </w:rPr>
  </w:style>
  <w:style w:type="character" w:customStyle="1" w:styleId="11">
    <w:name w:val="页眉 字符"/>
    <w:basedOn w:val="8"/>
    <w:link w:val="5"/>
    <w:uiPriority w:val="99"/>
    <w:rPr>
      <w:rFonts w:ascii="Calibri" w:hAnsi="Calibri" w:eastAsia="宋体" w:cs="Times New Roman"/>
      <w:sz w:val="18"/>
      <w:szCs w:val="18"/>
    </w:rPr>
  </w:style>
  <w:style w:type="character" w:customStyle="1" w:styleId="12">
    <w:name w:val="页脚 字符"/>
    <w:basedOn w:val="8"/>
    <w:link w:val="4"/>
    <w:uiPriority w:val="99"/>
    <w:rPr>
      <w:rFonts w:ascii="Calibri" w:hAnsi="Calibri" w:eastAsia="宋体" w:cs="Times New Roman"/>
      <w:sz w:val="18"/>
      <w:szCs w:val="18"/>
    </w:rPr>
  </w:style>
  <w:style w:type="character" w:customStyle="1" w:styleId="13">
    <w:name w:val="标题 2 字符"/>
    <w:basedOn w:val="8"/>
    <w:link w:val="3"/>
    <w:uiPriority w:val="9"/>
    <w:rPr>
      <w:rFonts w:asciiTheme="majorHAnsi" w:hAnsiTheme="majorHAnsi" w:eastAsiaTheme="majorEastAsia" w:cstheme="majorBidi"/>
      <w:b/>
      <w:bCs/>
      <w:sz w:val="32"/>
      <w:szCs w:val="32"/>
    </w:rPr>
  </w:style>
  <w:style w:type="character" w:customStyle="1" w:styleId="14">
    <w:name w:val="标题 1 字符"/>
    <w:basedOn w:val="8"/>
    <w:link w:val="2"/>
    <w:qFormat/>
    <w:uiPriority w:val="9"/>
    <w:rPr>
      <w:rFonts w:ascii="Calibri" w:hAnsi="Calibri" w:eastAsia="宋体" w:cs="Times New Roman"/>
      <w:b/>
      <w:bCs/>
      <w:kern w:val="44"/>
      <w:sz w:val="44"/>
      <w:szCs w:val="44"/>
    </w:rPr>
  </w:style>
  <w:style w:type="table" w:customStyle="1" w:styleId="15">
    <w:name w:val="Grid Table 4 Accent 4"/>
    <w:basedOn w:val="6"/>
    <w:qFormat/>
    <w:uiPriority w:val="49"/>
    <w:tblPr>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Pr>
    <w:tblStylePr w:type="firstRow">
      <w:rPr>
        <w:b/>
        <w:bCs/>
        <w:color w:val="FFFFFF" w:themeColor="background1"/>
        <w14:textFill>
          <w14:solidFill>
            <w14:schemeClr w14:val="bg1"/>
          </w14:solidFill>
        </w14:textFill>
      </w:r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insideV w:val="nil"/>
        </w:tcBorders>
        <w:shd w:val="clear" w:color="auto" w:fill="FFC000" w:themeFill="accent4"/>
      </w:tcPr>
    </w:tblStylePr>
    <w:tblStylePr w:type="lastRow">
      <w:rPr>
        <w:b/>
        <w:bCs/>
      </w:rPr>
      <w:tcPr>
        <w:tcBorders>
          <w:top w:val="double" w:color="FFC000" w:themeColor="accent4" w:sz="4" w:space="0"/>
        </w:tcBorders>
      </w:tcPr>
    </w:tblStylePr>
    <w:tblStylePr w:type="firstCol">
      <w:rPr>
        <w:b/>
        <w:bCs/>
      </w:rPr>
    </w:tblStylePr>
    <w:tblStylePr w:type="lastCol">
      <w:rPr>
        <w:b/>
        <w:bCs/>
      </w:r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table" w:customStyle="1" w:styleId="16">
    <w:name w:val="Grid Table 5 Dark Accent 4"/>
    <w:basedOn w:val="6"/>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EF2CC" w:themeFill="accent4"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C000" w:themeFill="accent4"/>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C000" w:themeFill="accent4"/>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C000" w:themeFill="accent4"/>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C000" w:themeFill="accent4"/>
      </w:tcPr>
    </w:tblStylePr>
    <w:tblStylePr w:type="band1Vert">
      <w:tcPr>
        <w:shd w:val="clear" w:color="auto" w:fill="FFE599" w:themeFill="accent4" w:themeFillTint="66"/>
      </w:tcPr>
    </w:tblStylePr>
    <w:tblStylePr w:type="band1Horz">
      <w:tcPr>
        <w:shd w:val="clear" w:color="auto" w:fill="FFE599" w:themeFill="accent4" w:themeFillTint="66"/>
      </w:tcPr>
    </w:tblStylePr>
  </w:style>
  <w:style w:type="table" w:customStyle="1" w:styleId="17">
    <w:name w:val="Grid Table 1 Light Accent 2"/>
    <w:basedOn w:val="6"/>
    <w:uiPriority w:val="46"/>
    <w:tblPr>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cPr>
        <w:tcBorders>
          <w:bottom w:val="single" w:color="F4B083" w:themeColor="accent2" w:themeTint="99" w:sz="12" w:space="0"/>
        </w:tcBorders>
      </w:tcPr>
    </w:tblStylePr>
    <w:tblStylePr w:type="lastRow">
      <w:rPr>
        <w:b/>
        <w:bCs/>
      </w:rPr>
      <w:tcPr>
        <w:tcBorders>
          <w:top w:val="double" w:color="F4B083" w:themeColor="accent2" w:themeTint="99" w:sz="2" w:space="0"/>
        </w:tcBorders>
      </w:tcPr>
    </w:tblStylePr>
    <w:tblStylePr w:type="firstCol">
      <w:rPr>
        <w:b/>
        <w:bCs/>
      </w:rPr>
    </w:tblStylePr>
    <w:tblStylePr w:type="lastCol">
      <w:rPr>
        <w:b/>
        <w:bCs/>
      </w:r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wmf"/><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package" Target="embeddings/Microsoft_Visio___1.vsdx"/><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BA0CEF-68E0-4E91-A21F-B31203C27DAD}">
  <ds:schemaRefs/>
</ds:datastoreItem>
</file>

<file path=docProps/app.xml><?xml version="1.0" encoding="utf-8"?>
<Properties xmlns="http://schemas.openxmlformats.org/officeDocument/2006/extended-properties" xmlns:vt="http://schemas.openxmlformats.org/officeDocument/2006/docPropsVTypes">
  <Template>Normal</Template>
  <Pages>2</Pages>
  <Words>471</Words>
  <Characters>638</Characters>
  <Lines>5</Lines>
  <Paragraphs>1</Paragraphs>
  <TotalTime>0</TotalTime>
  <ScaleCrop>false</ScaleCrop>
  <LinksUpToDate>false</LinksUpToDate>
  <CharactersWithSpaces>646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2023-05-25T01:44:00Z</dcterms:created>
  <dc:creator>1361418319@qq.com</dc:creator>
  <cp:lastModifiedBy>SWJ</cp:lastModifiedBy>
  <dcterms:modified xsi:type="dcterms:W3CDTF">2023-05-27T14:28:39Z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BF2BD145F3F6486FA934FF356F0AC553_12</vt:lpwstr>
  </property>
</Properties>
</file>