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Immer online?</w:t>
      </w:r>
    </w:p>
    <w:p>
      <w:r>
        <w:t xml:space="preserve">Ergebnisse der Smartphone-Umfrage der Klasse 10b</w:t>
      </w:r>
    </w:p>
    <w:p/>
    <w:p>
      <w:r>
        <w:t xml:space="preserve">Einleitung</w:t>
      </w:r>
    </w:p>
    <w:p>
      <w:r>
        <w:t xml:space="preserve">Wie lange nutzen Jugendliche ihr Smartphone und wie gut schützen sie ihre Daten? Dazu hat die Klasse 10b 120 Schülerinnen und Schüler der Jahrgangsstufen 7 bis 10 anonym befragt.</w:t>
      </w:r>
    </w:p>
    <w:p/>
    <w:p>
      <w:r>
        <w:t xml:space="preserve">Ergebnisse der Umfrage</w:t>
      </w:r>
    </w:p>
    <w:p>
      <w:r>
        <w:t xml:space="preserve">Nutzungsdauer</w:t>
      </w:r>
    </w:p>
    <w:p>
      <w:r>
        <w:t xml:space="preserve">An einem Schultag nutzen die Befragten ihr Smartphone knapp vier Stunden, am Wochenende deutlich länger. Ältere Schülerinnen und Schüler verwenden ihr Gerät länger als jüngere.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 xml:space="preserve">Jahrgangsstufe</w:t>
            </w:r>
          </w:p>
        </w:tc>
        <w:tc>
          <w:tcPr>
            <w:tcW w:type="dxa" w:w="3024"/>
          </w:tcPr>
          <w:p>
            <w:r>
              <w:t xml:space="preserve">Nutzungsdauer pro Tag (in Stunden)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t xml:space="preserve">Schultag</w:t>
            </w:r>
          </w:p>
        </w:tc>
        <w:tc>
          <w:tcPr>
            <w:tcW w:type="dxa" w:w="3024"/>
          </w:tcPr>
          <w:p>
            <w:r>
              <w:t xml:space="preserve">Wochenende</w:t>
            </w:r>
          </w:p>
        </w:tc>
      </w:tr>
      <w:tr>
        <w:tc>
          <w:tcPr>
            <w:tcW w:type="dxa" w:w="3024"/>
          </w:tcPr>
          <w:p>
            <w:r>
              <w:t xml:space="preserve">7</w:t>
            </w:r>
          </w:p>
        </w:tc>
        <w:tc>
          <w:tcPr>
            <w:tcW w:type="dxa" w:w="3024"/>
          </w:tcPr>
          <w:p>
            <w:r>
              <w:t xml:space="preserve">2,9</w:t>
            </w:r>
          </w:p>
        </w:tc>
        <w:tc>
          <w:tcPr>
            <w:tcW w:type="dxa" w:w="3024"/>
          </w:tcPr>
          <w:p>
            <w:r>
              <w:t xml:space="preserve">4,6</w:t>
            </w:r>
          </w:p>
        </w:tc>
      </w:tr>
      <w:tr>
        <w:tc>
          <w:tcPr>
            <w:tcW w:type="dxa" w:w="3024"/>
          </w:tcPr>
          <w:p>
            <w:r>
              <w:t xml:space="preserve">8</w:t>
            </w:r>
          </w:p>
        </w:tc>
        <w:tc>
          <w:tcPr>
            <w:tcW w:type="dxa" w:w="3024"/>
          </w:tcPr>
          <w:p>
            <w:r>
              <w:t xml:space="preserve">3,4</w:t>
            </w:r>
          </w:p>
        </w:tc>
        <w:tc>
          <w:tcPr>
            <w:tcW w:type="dxa" w:w="3024"/>
          </w:tcPr>
          <w:p>
            <w:r>
              <w:t xml:space="preserve">5,1</w:t>
            </w:r>
          </w:p>
        </w:tc>
      </w:tr>
      <w:tr>
        <w:tc>
          <w:tcPr>
            <w:tcW w:type="dxa" w:w="3024"/>
          </w:tcPr>
          <w:p>
            <w:r>
              <w:t xml:space="preserve">9</w:t>
            </w:r>
          </w:p>
        </w:tc>
        <w:tc>
          <w:tcPr>
            <w:tcW w:type="dxa" w:w="3024"/>
          </w:tcPr>
          <w:p>
            <w:r>
              <w:t xml:space="preserve">4,1</w:t>
            </w:r>
          </w:p>
        </w:tc>
        <w:tc>
          <w:tcPr>
            <w:tcW w:type="dxa" w:w="3024"/>
          </w:tcPr>
          <w:p>
            <w:r>
              <w:t xml:space="preserve">5,8</w:t>
            </w:r>
          </w:p>
        </w:tc>
      </w:tr>
      <w:tr>
        <w:tc>
          <w:tcPr>
            <w:tcW w:type="dxa" w:w="3024"/>
          </w:tcPr>
          <w:p>
            <w:r>
              <w:t xml:space="preserve">10</w:t>
            </w:r>
          </w:p>
        </w:tc>
        <w:tc>
          <w:tcPr>
            <w:tcW w:type="dxa" w:w="3024"/>
          </w:tcPr>
          <w:p>
            <w:r>
              <w:t xml:space="preserve">4,5</w:t>
            </w:r>
          </w:p>
        </w:tc>
        <w:tc>
          <w:tcPr>
            <w:tcW w:type="dxa" w:w="3024"/>
          </w:tcPr>
          <w:p>
            <w:r>
              <w:t xml:space="preserve">6,3</w:t>
            </w:r>
          </w:p>
        </w:tc>
      </w:tr>
      <w:tr>
        <w:tc>
          <w:tcPr>
            <w:tcW w:type="dxa" w:w="3024"/>
          </w:tcPr>
          <w:p>
            <w:r>
              <w:t xml:space="preserve">Gesamt</w:t>
            </w:r>
          </w:p>
        </w:tc>
        <w:tc>
          <w:tcPr>
            <w:tcW w:type="dxa" w:w="3024"/>
          </w:tcPr>
          <w:p>
            <w:r>
              <w:t xml:space="preserve">3,7</w:t>
            </w:r>
          </w:p>
        </w:tc>
        <w:tc>
          <w:tcPr>
            <w:tcW w:type="dxa" w:w="3024"/>
          </w:tcPr>
          <w:p>
            <w:r>
              <w:t xml:space="preserve">5,5</w:t>
            </w:r>
          </w:p>
        </w:tc>
      </w:tr>
    </w:tbl>
    <w:p/>
    <w:p>
      <w:r>
        <w:t xml:space="preserve">Beliebteste Apps</w:t>
      </w:r>
    </w:p>
    <w:p>
      <w:r>
        <w:t xml:space="preserve">Bei den meistgenutzten Apps lagen Messenger-Dienste klar vorne, dahinter folgten Video-Plattformen und soziale Netzwerke. Spiele-Apps nannten vor allem die jüngeren Jahrgangsstufen. Lern-Apps landeten auf dem letzten Platz, obwohl viele Befragte sie hin und wieder für die Schule nutzen.</w:t>
      </w:r>
    </w:p>
    <w:p/>
    <w:p>
      <w:r>
        <w:t xml:space="preserve">Datenschutz</w:t>
      </w:r>
    </w:p>
    <w:p>
      <w:r>
        <w:t xml:space="preserve">Nur etwa ein Drittel der Befragten überprüft regelmäßig die Berechtigungen der eigenen Apps. Fast die Hälfte verwendet für mehrere Konten dasselbe Passwort. Eine Schülerin der 9. Klasse meinte dazu:</w:t>
      </w:r>
    </w:p>
    <w:p>
      <w:r>
        <w:t xml:space="preserve">„Ich lese die Datenschutzhinweise nie. Ich klicke einfach auf Akzeptieren, weil ich die App ja sofort benutzen will.“</w:t>
      </w:r>
    </w:p>
    <w:p/>
    <w:p>
      <w:r>
        <w:t xml:space="preserve">Fazit und Tipps</w:t>
      </w:r>
    </w:p>
    <w:p>
      <w:r>
        <w:t xml:space="preserve">Vier Tipps der Klasse 10b für einen bewussten Umgang – mehr findest du bei klicksafe:</w:t>
      </w:r>
    </w:p>
    <w:p>
      <w:r>
        <w:t xml:space="preserve">Bildschirmzeit-Funktion nutzen</w:t>
      </w:r>
    </w:p>
    <w:p>
      <w:r>
        <w:t xml:space="preserve">Für jedes Konto ein eigenes Passwort</w:t>
      </w:r>
    </w:p>
    <w:p>
      <w:r>
        <w:t xml:space="preserve">App-Berechtigungen regelmäßig prüfen</w:t>
      </w:r>
    </w:p>
    <w:p>
      <w:r>
        <w:t xml:space="preserve">Beim Lernen das Smartphone weglegen</w:t>
      </w:r>
    </w:p>
    <w:sectPr>
      <w:headerReference w:type="default" r:id="rId6"/>
      <w:pgSz w:w="11906" w:h="16838" w:orient="portrait"/>
      <w:pgMar w:top="1417" w:right="1417" w:bottom="1134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5670"/>
      <w:jc w:val="right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402"/>
      <w:gridCol w:w="1134"/>
      <w:gridCol w:w="1134"/>
    </w:tblGrid>
    <w:tr>
      <w:tc>
        <w:tcPr>
          <w:tcW w:type="dxa" w:w="3402"/>
          <w:tcMar>
            <w:top w:type="dxa" w:w="40"/>
            <w:left w:type="dxa" w:w="100"/>
            <w:bottom w:type="dxa" w:w="40"/>
            <w:right w:type="dxa" w:w="100"/>
          </w:tcMar>
        </w:tcPr>
        <w:p>
          <w:pPr>
            <w:spacing w:after="0"/>
          </w:pPr>
          <w:r>
            <w:rPr>
              <w:rFonts w:ascii="Calibri" w:cs="Calibri" w:eastAsia="Calibri" w:hAnsi="Calibri"/>
              <w:sz w:val="16"/>
              <w:szCs w:val="16"/>
            </w:rPr>
            <w:t xml:space="preserve">Vorname Nachname</w:t>
          </w:r>
        </w:p>
      </w:tc>
      <w:tc>
        <w:tcPr>
          <w:tcW w:type="dxa" w:w="1134"/>
          <w:tcMar>
            <w:top w:type="dxa" w:w="40"/>
            <w:left w:type="dxa" w:w="100"/>
            <w:bottom w:type="dxa" w:w="40"/>
            <w:right w:type="dxa" w:w="100"/>
          </w:tcMar>
        </w:tcPr>
        <w:p>
          <w:pPr>
            <w:spacing w:after="0"/>
          </w:pPr>
          <w:r>
            <w:rPr>
              <w:rFonts w:ascii="Calibri" w:cs="Calibri" w:eastAsia="Calibri" w:hAnsi="Calibri"/>
              <w:sz w:val="16"/>
              <w:szCs w:val="16"/>
            </w:rPr>
            <w:t xml:space="preserve">Klasse</w:t>
          </w:r>
        </w:p>
      </w:tc>
      <w:tc>
        <w:tcPr>
          <w:tcW w:type="dxa" w:w="1134"/>
          <w:tcMar>
            <w:top w:type="dxa" w:w="40"/>
            <w:left w:type="dxa" w:w="100"/>
            <w:bottom w:type="dxa" w:w="40"/>
            <w:right w:type="dxa" w:w="100"/>
          </w:tcMar>
        </w:tcPr>
        <w:p>
          <w:pPr>
            <w:spacing w:after="0"/>
          </w:pPr>
          <w:r>
            <w:rPr>
              <w:rFonts w:ascii="Calibri" w:cs="Calibri" w:eastAsia="Calibri" w:hAnsi="Calibri"/>
              <w:sz w:val="16"/>
              <w:szCs w:val="16"/>
            </w:rPr>
            <w:t xml:space="preserve">Datum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ManJ</dc:creator>
  <cp:lastModifiedBy>Un-named</cp:lastModifiedBy>
  <cp:revision>1</cp:revision>
  <dcterms:created xsi:type="dcterms:W3CDTF">2026-10-30T11:52:16.156Z</dcterms:created>
  <dcterms:modified xsi:type="dcterms:W3CDTF">2026-10-30T11:52:16.156Z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