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0F96D">
      <w:pPr>
        <w:widowControl/>
        <w:spacing w:line="422" w:lineRule="exact"/>
        <w:ind w:firstLine="140" w:firstLineChars="50"/>
        <w:jc w:val="center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eastAsia="zh-CN"/>
        </w:rPr>
        <w:t>《概率统计》期末自测练习（</w:t>
      </w:r>
      <w:r>
        <w:rPr>
          <w:rFonts w:hint="eastAsia"/>
          <w:sz w:val="28"/>
          <w:szCs w:val="28"/>
          <w:lang w:val="en-US" w:eastAsia="zh-CN"/>
        </w:rPr>
        <w:t>1）</w:t>
      </w:r>
    </w:p>
    <w:p w14:paraId="6C9C02B4">
      <w:pPr>
        <w:widowControl/>
        <w:spacing w:line="422" w:lineRule="exact"/>
        <w:ind w:firstLine="120" w:firstLineChars="50"/>
        <w:rPr>
          <w:sz w:val="24"/>
        </w:rPr>
      </w:pPr>
      <w:r>
        <w:rPr>
          <w:rFonts w:hint="eastAsia"/>
          <w:sz w:val="24"/>
        </w:rPr>
        <w:t>一、选择题：（每题</w:t>
      </w:r>
      <w:r>
        <w:rPr>
          <w:sz w:val="24"/>
        </w:rPr>
        <w:t>4</w:t>
      </w:r>
      <w:r>
        <w:rPr>
          <w:rFonts w:hint="eastAsia"/>
          <w:sz w:val="24"/>
        </w:rPr>
        <w:t>分，共</w:t>
      </w:r>
      <w:r>
        <w:rPr>
          <w:sz w:val="24"/>
        </w:rPr>
        <w:t>24</w:t>
      </w:r>
      <w:r>
        <w:rPr>
          <w:rFonts w:hint="eastAsia"/>
          <w:sz w:val="24"/>
        </w:rPr>
        <w:t>分）</w:t>
      </w:r>
      <w:r>
        <w:rPr>
          <w:sz w:val="24"/>
        </w:rPr>
        <w:t xml:space="preserve"> </w:t>
      </w:r>
    </w:p>
    <w:p w14:paraId="4201F54B">
      <w:pPr>
        <w:widowControl/>
        <w:ind w:firstLine="120" w:firstLineChars="5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、设（</w:t>
      </w:r>
      <w:r>
        <w:rPr>
          <w:sz w:val="24"/>
        </w:rPr>
        <w:t>X,Y</w:t>
      </w:r>
      <w:r>
        <w:rPr>
          <w:rFonts w:hint="eastAsia"/>
          <w:sz w:val="24"/>
        </w:rPr>
        <w:t>）是二维随机变量，关于（</w:t>
      </w:r>
      <w:r>
        <w:rPr>
          <w:sz w:val="24"/>
        </w:rPr>
        <w:t>X,Y</w:t>
      </w:r>
      <w:r>
        <w:rPr>
          <w:rFonts w:hint="eastAsia"/>
          <w:sz w:val="24"/>
        </w:rPr>
        <w:t>）的论述，以下正确的是（</w:t>
      </w:r>
      <w:r>
        <w:rPr>
          <w:b/>
          <w:sz w:val="24"/>
        </w:rPr>
        <w:t xml:space="preserve">      </w:t>
      </w:r>
      <w:r>
        <w:rPr>
          <w:rFonts w:hint="eastAsia"/>
          <w:sz w:val="24"/>
        </w:rPr>
        <w:t>）</w:t>
      </w:r>
    </w:p>
    <w:p w14:paraId="0F830D7A">
      <w:pPr>
        <w:widowControl/>
        <w:ind w:firstLine="120" w:firstLineChars="50"/>
      </w:pPr>
      <w:r>
        <w:rPr>
          <w:sz w:val="24"/>
        </w:rPr>
        <w:t>A.</w:t>
      </w:r>
      <w:r>
        <w:rPr>
          <w:rFonts w:hint="eastAsia"/>
          <w:sz w:val="24"/>
        </w:rPr>
        <w:t>可能既没有联合密度，也没有联合分布律</w:t>
      </w:r>
      <w:r>
        <w:t xml:space="preserve">        </w:t>
      </w:r>
      <w:r>
        <w:rPr>
          <w:sz w:val="24"/>
        </w:rPr>
        <w:t>B.</w:t>
      </w:r>
      <w:r>
        <w:rPr>
          <w:rFonts w:hint="eastAsia"/>
          <w:sz w:val="24"/>
        </w:rPr>
        <w:t>一定具有联合分布律</w:t>
      </w:r>
    </w:p>
    <w:p w14:paraId="4A9EBA75">
      <w:pPr>
        <w:widowControl/>
        <w:ind w:firstLine="120" w:firstLineChars="50"/>
      </w:pPr>
      <w:r>
        <w:rPr>
          <w:sz w:val="24"/>
        </w:rPr>
        <w:t>C.</w:t>
      </w:r>
      <w:r>
        <w:t xml:space="preserve"> </w:t>
      </w:r>
      <w:r>
        <w:rPr>
          <w:rFonts w:hint="eastAsia"/>
        </w:rPr>
        <w:t>具有联合密度函数或者具有联合分布律</w:t>
      </w:r>
      <w:r>
        <w:t xml:space="preserve">              </w:t>
      </w:r>
      <w:r>
        <w:rPr>
          <w:sz w:val="24"/>
        </w:rPr>
        <w:t>D.</w:t>
      </w:r>
      <w:r>
        <w:rPr>
          <w:rFonts w:hint="eastAsia"/>
          <w:sz w:val="24"/>
        </w:rPr>
        <w:t>一定具有联合密度函数</w:t>
      </w:r>
    </w:p>
    <w:p w14:paraId="57774314">
      <w:pPr>
        <w:widowControl/>
        <w:ind w:firstLine="120" w:firstLineChars="5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、设</w:t>
      </w:r>
      <w:r>
        <w:rPr>
          <w:position w:val="-10"/>
        </w:rPr>
        <w:object>
          <v:shape id="_x0000_i1025" o:spt="75" type="#_x0000_t75" style="height:15.05pt;width:113.9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</w:rPr>
        <w:t>，则（</w:t>
      </w:r>
      <w:r>
        <w:rPr>
          <w:b/>
          <w:sz w:val="24"/>
        </w:rPr>
        <w:t xml:space="preserve">      </w:t>
      </w:r>
      <w:r>
        <w:rPr>
          <w:rFonts w:hint="eastAsia"/>
          <w:sz w:val="24"/>
        </w:rPr>
        <w:t>）</w:t>
      </w:r>
    </w:p>
    <w:p w14:paraId="059802BC">
      <w:pPr>
        <w:widowControl/>
        <w:ind w:firstLine="120" w:firstLineChars="50"/>
      </w:pPr>
      <w:r>
        <w:rPr>
          <w:sz w:val="24"/>
        </w:rPr>
        <w:t xml:space="preserve"> A.</w:t>
      </w:r>
      <w:r>
        <w:rPr>
          <w:position w:val="-8"/>
        </w:rPr>
        <w:object>
          <v:shape id="_x0000_i1026" o:spt="75" type="#_x0000_t75" style="height:14.4pt;width:64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t xml:space="preserve">     </w:t>
      </w:r>
      <w:r>
        <w:rPr>
          <w:sz w:val="24"/>
        </w:rPr>
        <w:t>B.</w:t>
      </w:r>
      <w:r>
        <w:rPr>
          <w:position w:val="-8"/>
        </w:rPr>
        <w:object>
          <v:shape id="_x0000_i1027" o:spt="75" type="#_x0000_t75" style="height:14.4pt;width:6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t xml:space="preserve">      </w:t>
      </w:r>
      <w:r>
        <w:rPr>
          <w:sz w:val="24"/>
        </w:rPr>
        <w:t>C. X,Y</w:t>
      </w:r>
      <w:r>
        <w:rPr>
          <w:rFonts w:hint="eastAsia"/>
          <w:sz w:val="24"/>
        </w:rPr>
        <w:t>不相关</w:t>
      </w:r>
      <w:r>
        <w:t xml:space="preserve">     </w:t>
      </w:r>
      <w:r>
        <w:rPr>
          <w:sz w:val="24"/>
        </w:rPr>
        <w:t>D. X,Y</w:t>
      </w:r>
      <w:r>
        <w:rPr>
          <w:rFonts w:hint="eastAsia"/>
          <w:sz w:val="24"/>
        </w:rPr>
        <w:t>不独立</w:t>
      </w:r>
    </w:p>
    <w:p w14:paraId="246B5D6C">
      <w:pPr>
        <w:widowControl/>
        <w:ind w:left="585" w:leftChars="50" w:hanging="480" w:hangingChars="20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、设二维随机变量（</w:t>
      </w:r>
      <w:r>
        <w:rPr>
          <w:sz w:val="24"/>
        </w:rPr>
        <w:t>X,Y</w:t>
      </w:r>
      <w:r>
        <w:rPr>
          <w:rFonts w:hint="eastAsia"/>
          <w:sz w:val="24"/>
        </w:rPr>
        <w:t>）服从区域</w:t>
      </w:r>
      <w:r>
        <w:rPr>
          <w:sz w:val="24"/>
        </w:rPr>
        <w:t>D</w:t>
      </w:r>
      <w:r>
        <w:rPr>
          <w:rFonts w:hint="eastAsia"/>
          <w:sz w:val="24"/>
        </w:rPr>
        <w:t>上的均匀分布，则（</w:t>
      </w:r>
      <w:r>
        <w:rPr>
          <w:b/>
          <w:sz w:val="24"/>
        </w:rPr>
        <w:t xml:space="preserve">      </w:t>
      </w:r>
      <w:r>
        <w:rPr>
          <w:rFonts w:hint="eastAsia"/>
          <w:sz w:val="24"/>
        </w:rPr>
        <w:t>）</w:t>
      </w:r>
    </w:p>
    <w:p w14:paraId="29679B95">
      <w:pPr>
        <w:widowControl/>
        <w:ind w:firstLine="120" w:firstLineChars="50"/>
      </w:pPr>
      <w:r>
        <w:rPr>
          <w:sz w:val="24"/>
        </w:rPr>
        <w:t xml:space="preserve"> A.</w:t>
      </w:r>
      <w:r>
        <w:rPr>
          <w:rFonts w:hint="eastAsia"/>
          <w:sz w:val="24"/>
        </w:rPr>
        <w:t>（</w:t>
      </w:r>
      <w:r>
        <w:rPr>
          <w:sz w:val="24"/>
        </w:rPr>
        <w:t>X,Y</w:t>
      </w:r>
      <w:r>
        <w:rPr>
          <w:rFonts w:hint="eastAsia"/>
          <w:sz w:val="24"/>
        </w:rPr>
        <w:t>）的联合分布函数等于常数</w:t>
      </w:r>
    </w:p>
    <w:p w14:paraId="68A08266">
      <w:pPr>
        <w:widowControl/>
        <w:ind w:firstLine="240" w:firstLineChars="100"/>
      </w:pPr>
      <w:r>
        <w:rPr>
          <w:sz w:val="24"/>
        </w:rPr>
        <w:t>B.</w:t>
      </w:r>
      <w:r>
        <w:rPr>
          <w:rFonts w:hint="eastAsia"/>
          <w:sz w:val="24"/>
        </w:rPr>
        <w:t>（</w:t>
      </w:r>
      <w:r>
        <w:rPr>
          <w:sz w:val="24"/>
        </w:rPr>
        <w:t>X,Y</w:t>
      </w:r>
      <w:r>
        <w:rPr>
          <w:rFonts w:hint="eastAsia"/>
          <w:sz w:val="24"/>
        </w:rPr>
        <w:t>）的联合密度函数等于常数</w:t>
      </w:r>
    </w:p>
    <w:p w14:paraId="39F7D798">
      <w:pPr>
        <w:widowControl/>
        <w:ind w:firstLine="240" w:firstLineChars="100"/>
      </w:pPr>
      <w:r>
        <w:rPr>
          <w:sz w:val="24"/>
        </w:rPr>
        <w:t>C.</w:t>
      </w:r>
      <w:r>
        <w:t xml:space="preserve"> </w:t>
      </w:r>
      <w:r>
        <w:rPr>
          <w:position w:val="-12"/>
        </w:rPr>
        <w:object>
          <v:shape id="_x0000_i1028" o:spt="75" type="#_x0000_t75" style="height:17.55pt;width:31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4"/>
        </w:rPr>
        <w:t>是一维均匀分布密度函数</w:t>
      </w:r>
    </w:p>
    <w:p w14:paraId="0B80E534">
      <w:pPr>
        <w:widowControl/>
        <w:ind w:firstLine="240" w:firstLineChars="100"/>
      </w:pPr>
      <w:r>
        <w:rPr>
          <w:sz w:val="24"/>
        </w:rPr>
        <w:t>D.</w:t>
      </w:r>
      <w:r>
        <w:rPr>
          <w:rFonts w:hint="eastAsia"/>
          <w:sz w:val="24"/>
        </w:rPr>
        <w:t>固定</w:t>
      </w:r>
      <w:r>
        <w:rPr>
          <w:position w:val="-10"/>
        </w:rPr>
        <w:object>
          <v:shape id="_x0000_i1029" o:spt="75" type="#_x0000_t75" style="height:12.5pt;width:10.6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时，若条件概率密度</w:t>
      </w:r>
      <w:r>
        <w:rPr>
          <w:position w:val="-14"/>
        </w:rPr>
        <w:object>
          <v:shape id="_x0000_i1030" o:spt="75" type="#_x0000_t75" style="height:18.8pt;width:50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存在，则</w:t>
      </w:r>
      <w:r>
        <w:rPr>
          <w:rFonts w:hint="eastAsia"/>
          <w:sz w:val="24"/>
        </w:rPr>
        <w:t>是一维均匀</w:t>
      </w:r>
      <w:r>
        <w:rPr>
          <w:sz w:val="24"/>
        </w:rPr>
        <w:t xml:space="preserve"> </w:t>
      </w:r>
      <w:r>
        <w:rPr>
          <w:rFonts w:hint="eastAsia"/>
          <w:sz w:val="24"/>
        </w:rPr>
        <w:t>分布密度函数</w:t>
      </w:r>
    </w:p>
    <w:p w14:paraId="48F76349">
      <w:pPr>
        <w:widowControl/>
        <w:ind w:firstLine="120" w:firstLineChars="5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</w:t>
      </w:r>
      <w:r>
        <w:rPr>
          <w:rFonts w:hint="eastAsia"/>
          <w:bCs/>
          <w:sz w:val="24"/>
        </w:rPr>
        <w:t>设总体</w:t>
      </w:r>
      <w:r>
        <w:rPr>
          <w:position w:val="-10"/>
        </w:rPr>
        <w:object>
          <v:shape id="_x0000_i1031" o:spt="75" type="#_x0000_t75" style="height:15.05pt;width:67.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032" o:spt="75" type="#_x0000_t75" style="height:18.15pt;width:15.0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bCs/>
          <w:sz w:val="24"/>
        </w:rPr>
        <w:t xml:space="preserve">, </w:t>
      </w:r>
      <w:r>
        <w:rPr>
          <w:position w:val="-12"/>
        </w:rPr>
        <w:object>
          <v:shape id="_x0000_i1033" o:spt="75" type="#_x0000_t75" style="height:18.15pt;width:17.5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bCs/>
          <w:sz w:val="24"/>
        </w:rPr>
        <w:t>,</w:t>
      </w:r>
      <w:r>
        <w:rPr>
          <w:position w:val="-4"/>
        </w:rPr>
        <w:object>
          <v:shape id="_x0000_i1034" o:spt="75" type="#_x0000_t75" style="height:8.15pt;width:14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bCs/>
          <w:sz w:val="24"/>
        </w:rPr>
        <w:t xml:space="preserve">, </w:t>
      </w:r>
      <w:r>
        <w:rPr>
          <w:position w:val="-12"/>
        </w:rPr>
        <w:object>
          <v:shape id="_x0000_i1035" o:spt="75" type="#_x0000_t75" style="height:18.15pt;width:17.5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bCs/>
          <w:sz w:val="24"/>
        </w:rPr>
        <w:t>为来自该总体的简单随机样本，则</w:t>
      </w:r>
      <w:r>
        <w:rPr>
          <w:rFonts w:hint="eastAsia"/>
          <w:sz w:val="24"/>
        </w:rPr>
        <w:t>（</w:t>
      </w:r>
      <w:r>
        <w:rPr>
          <w:b/>
          <w:sz w:val="24"/>
        </w:rPr>
        <w:t xml:space="preserve">      </w:t>
      </w:r>
      <w:r>
        <w:rPr>
          <w:rFonts w:hint="eastAsia"/>
          <w:sz w:val="24"/>
        </w:rPr>
        <w:t>）</w:t>
      </w:r>
    </w:p>
    <w:p w14:paraId="06574437">
      <w:pPr>
        <w:widowControl/>
        <w:ind w:firstLine="120" w:firstLineChars="50"/>
      </w:pPr>
      <w:r>
        <w:rPr>
          <w:sz w:val="24"/>
        </w:rPr>
        <w:t xml:space="preserve">A. </w:t>
      </w:r>
      <w:r>
        <w:rPr>
          <w:position w:val="-14"/>
        </w:rPr>
        <w:object>
          <v:shape id="_x0000_i1036" o:spt="75" type="#_x0000_t75" style="height:21.9pt;width:54.4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</w:rPr>
        <w:t>服从</w:t>
      </w:r>
      <w:r>
        <w:rPr>
          <w:position w:val="-10"/>
        </w:rPr>
        <w:object>
          <v:shape id="_x0000_i1037" o:spt="75" type="#_x0000_t75" style="height:17.55pt;width:15.0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</w:rPr>
        <w:t>分布</w:t>
      </w:r>
      <w:r>
        <w:t xml:space="preserve">                </w:t>
      </w:r>
      <w:r>
        <w:rPr>
          <w:sz w:val="24"/>
        </w:rPr>
        <w:t xml:space="preserve">B. </w:t>
      </w:r>
      <w:r>
        <w:rPr>
          <w:position w:val="-12"/>
        </w:rPr>
        <w:object>
          <v:shape id="_x0000_i1038" o:spt="75" type="#_x0000_t75" style="height:18.8pt;width:90.1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</w:rPr>
        <w:t>服从</w:t>
      </w:r>
      <w:r>
        <w:rPr>
          <w:position w:val="-10"/>
        </w:rPr>
        <w:object>
          <v:shape id="_x0000_i1039" o:spt="75" type="#_x0000_t75" style="height:17.55pt;width:15.0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</w:rPr>
        <w:t>分布</w:t>
      </w:r>
    </w:p>
    <w:p w14:paraId="2488F426">
      <w:pPr>
        <w:widowControl/>
        <w:ind w:firstLine="120" w:firstLineChars="50"/>
      </w:pPr>
      <w:r>
        <w:rPr>
          <w:sz w:val="24"/>
        </w:rPr>
        <w:t xml:space="preserve">C. </w:t>
      </w:r>
      <w:r>
        <w:rPr>
          <w:position w:val="-30"/>
        </w:rPr>
        <w:object>
          <v:shape id="_x0000_i1040" o:spt="75" type="#_x0000_t75" style="height:33.8pt;width:89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</w:rPr>
        <w:t>服从</w:t>
      </w:r>
      <w:r>
        <w:t>F</w:t>
      </w:r>
      <w:r>
        <w:rPr>
          <w:rFonts w:hint="eastAsia"/>
        </w:rPr>
        <w:t>分布</w:t>
      </w:r>
      <w:r>
        <w:t xml:space="preserve">          </w:t>
      </w:r>
      <w:r>
        <w:rPr>
          <w:sz w:val="24"/>
        </w:rPr>
        <w:t xml:space="preserve">D. </w:t>
      </w:r>
      <w:r>
        <w:rPr>
          <w:position w:val="-30"/>
        </w:rPr>
        <w:object>
          <v:shape id="_x0000_i1041" o:spt="75" type="#_x0000_t75" style="height:36.3pt;width:92.6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</w:rPr>
        <w:t>服从</w:t>
      </w:r>
      <w:r>
        <w:t>F</w:t>
      </w:r>
      <w:r>
        <w:rPr>
          <w:rFonts w:hint="eastAsia"/>
        </w:rPr>
        <w:t>分布</w:t>
      </w:r>
    </w:p>
    <w:p w14:paraId="102C732D">
      <w:pPr>
        <w:widowControl/>
        <w:ind w:firstLine="120" w:firstLineChars="50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、设总体</w:t>
      </w:r>
      <w:r>
        <w:rPr>
          <w:position w:val="-14"/>
        </w:rPr>
        <w:object>
          <v:shape id="_x0000_i1042" o:spt="75" type="#_x0000_t75" style="height:19.4pt;width:71.3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  <w:sz w:val="24"/>
        </w:rPr>
        <w:t>，简单样本</w:t>
      </w:r>
      <w:r>
        <w:rPr>
          <w:position w:val="-12"/>
        </w:rPr>
        <w:object>
          <v:shape id="_x0000_i1043" o:spt="75" type="#_x0000_t75" style="height:18.15pt;width:15.0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bCs/>
          <w:sz w:val="24"/>
        </w:rPr>
        <w:t xml:space="preserve">, </w:t>
      </w:r>
      <w:r>
        <w:rPr>
          <w:position w:val="-12"/>
        </w:rPr>
        <w:object>
          <v:shape id="_x0000_i1044" o:spt="75" type="#_x0000_t75" style="height:18.15pt;width:17.5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bCs/>
          <w:sz w:val="24"/>
        </w:rPr>
        <w:t>,</w:t>
      </w:r>
      <w:r>
        <w:rPr>
          <w:position w:val="-4"/>
        </w:rPr>
        <w:object>
          <v:shape id="_x0000_i1045" o:spt="75" type="#_x0000_t75" style="height:8.15pt;width:14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bCs/>
          <w:sz w:val="24"/>
        </w:rPr>
        <w:t xml:space="preserve">, </w:t>
      </w:r>
      <w:r>
        <w:rPr>
          <w:position w:val="-12"/>
        </w:rPr>
        <w:object>
          <v:shape id="_x0000_i1046" o:spt="75" type="#_x0000_t75" style="height:18.15pt;width:17.5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hint="eastAsia"/>
          <w:sz w:val="24"/>
        </w:rPr>
        <w:t>来自该总体，则参数</w:t>
      </w:r>
      <w:r>
        <w:rPr>
          <w:position w:val="-6"/>
        </w:rPr>
        <w:object>
          <v:shape id="_x0000_i1047" o:spt="75" type="#_x0000_t75" style="height:13.75pt;width:10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hint="eastAsia"/>
          <w:sz w:val="24"/>
        </w:rPr>
        <w:t>的无偏估计量是（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）</w:t>
      </w:r>
    </w:p>
    <w:p w14:paraId="093B29B3">
      <w:pPr>
        <w:widowControl/>
        <w:ind w:firstLine="240" w:firstLineChars="100"/>
        <w:rPr>
          <w:sz w:val="24"/>
        </w:rPr>
      </w:pPr>
      <w:r>
        <w:rPr>
          <w:sz w:val="24"/>
        </w:rPr>
        <w:t xml:space="preserve">A.  </w:t>
      </w:r>
      <w:r>
        <w:rPr>
          <w:rFonts w:hint="eastAsia"/>
          <w:sz w:val="24"/>
        </w:rPr>
        <w:t>样本均值</w:t>
      </w:r>
      <w:r>
        <w:rPr>
          <w:position w:val="-4"/>
        </w:rPr>
        <w:object>
          <v:shape id="_x0000_i1048" o:spt="75" type="#_x0000_t75" style="height:15.65pt;width:14.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t xml:space="preserve">    </w:t>
      </w:r>
      <w:r>
        <w:rPr>
          <w:sz w:val="24"/>
        </w:rPr>
        <w:t xml:space="preserve">B. </w:t>
      </w:r>
      <w:r>
        <w:rPr>
          <w:rFonts w:hint="eastAsia"/>
          <w:sz w:val="24"/>
        </w:rPr>
        <w:t>样本方差</w:t>
      </w:r>
      <w:r>
        <w:rPr>
          <w:position w:val="-6"/>
        </w:rPr>
        <w:object>
          <v:shape id="_x0000_i1049" o:spt="75" type="#_x0000_t75" style="height:15.65pt;width:15.6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t xml:space="preserve">    </w:t>
      </w:r>
      <w:r>
        <w:rPr>
          <w:sz w:val="24"/>
        </w:rPr>
        <w:t xml:space="preserve">C. </w:t>
      </w:r>
      <w:r>
        <w:rPr>
          <w:rFonts w:hint="eastAsia"/>
          <w:sz w:val="24"/>
        </w:rPr>
        <w:t>样本标准差</w:t>
      </w:r>
      <w:r>
        <w:rPr>
          <w:position w:val="-6"/>
        </w:rPr>
        <w:object>
          <v:shape id="_x0000_i1050" o:spt="75" type="#_x0000_t75" style="height:13.75pt;width:11.2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t xml:space="preserve">     </w:t>
      </w:r>
      <w:r>
        <w:rPr>
          <w:sz w:val="24"/>
        </w:rPr>
        <w:t xml:space="preserve">D. </w:t>
      </w:r>
      <w:r>
        <w:rPr>
          <w:rFonts w:hint="eastAsia"/>
          <w:sz w:val="24"/>
        </w:rPr>
        <w:t>不存在</w:t>
      </w:r>
    </w:p>
    <w:p w14:paraId="7C8FB3B7">
      <w:pPr>
        <w:widowControl/>
        <w:rPr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、设</w:t>
      </w:r>
      <w:r>
        <w:rPr>
          <w:position w:val="-14"/>
        </w:rPr>
        <w:object>
          <v:shape id="_x0000_i1051" o:spt="75" type="#_x0000_t75" style="height:20.05pt;width:127.7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eastAsia"/>
        </w:rPr>
        <w:t>，且</w:t>
      </w:r>
      <w:r>
        <w:rPr>
          <w:position w:val="-12"/>
        </w:rPr>
        <w:object>
          <v:shape id="_x0000_i1052" o:spt="75" type="#_x0000_t75" style="height:18.15pt;width:26.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hint="eastAsia"/>
        </w:rPr>
        <w:t>相互独立，则</w:t>
      </w:r>
      <w:r>
        <w:rPr>
          <w:rFonts w:hint="eastAsia"/>
          <w:sz w:val="24"/>
        </w:rPr>
        <w:t>（</w:t>
      </w:r>
      <w:r>
        <w:rPr>
          <w:b/>
          <w:sz w:val="24"/>
        </w:rPr>
        <w:t xml:space="preserve">       </w:t>
      </w:r>
      <w:r>
        <w:rPr>
          <w:rFonts w:hint="eastAsia"/>
          <w:sz w:val="24"/>
        </w:rPr>
        <w:t>）</w:t>
      </w:r>
    </w:p>
    <w:p w14:paraId="23B35CD9">
      <w:pPr>
        <w:widowControl/>
        <w:ind w:firstLine="240" w:firstLineChars="100"/>
      </w:pPr>
      <w:r>
        <w:rPr>
          <w:sz w:val="24"/>
        </w:rPr>
        <w:t xml:space="preserve">A.  </w:t>
      </w:r>
      <w:r>
        <w:rPr>
          <w:position w:val="-14"/>
        </w:rPr>
        <w:object>
          <v:shape id="_x0000_i1053" o:spt="75" type="#_x0000_t75" style="height:20.05pt;width:88.3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t xml:space="preserve">                </w:t>
      </w:r>
      <w:r>
        <w:rPr>
          <w:sz w:val="24"/>
        </w:rPr>
        <w:t xml:space="preserve">B.  </w:t>
      </w:r>
      <w:r>
        <w:rPr>
          <w:position w:val="-14"/>
        </w:rPr>
        <w:object>
          <v:shape id="_x0000_i1054" o:spt="75" type="#_x0000_t75" style="height:20.05pt;width:83.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</w:p>
    <w:p w14:paraId="26F297AD">
      <w:pPr>
        <w:widowControl/>
        <w:ind w:firstLine="240" w:firstLineChars="100"/>
      </w:pPr>
      <w:r>
        <w:rPr>
          <w:sz w:val="24"/>
        </w:rPr>
        <w:t xml:space="preserve">C.   </w:t>
      </w:r>
      <w:r>
        <w:rPr>
          <w:position w:val="-14"/>
        </w:rPr>
        <w:object>
          <v:shape id="_x0000_i1055" o:spt="75" type="#_x0000_t75" style="height:20.05pt;width:82.6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t xml:space="preserve">                 </w:t>
      </w:r>
      <w:r>
        <w:rPr>
          <w:sz w:val="24"/>
        </w:rPr>
        <w:t xml:space="preserve">D.  </w:t>
      </w:r>
      <w:r>
        <w:rPr>
          <w:position w:val="-14"/>
        </w:rPr>
        <w:object>
          <v:shape id="_x0000_i1056" o:spt="75" type="#_x0000_t75" style="height:20.05pt;width:76.4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</w:p>
    <w:p w14:paraId="6FFFB8CC">
      <w:pPr>
        <w:widowControl/>
        <w:ind w:firstLine="120" w:firstLineChars="50"/>
        <w:rPr>
          <w:sz w:val="24"/>
        </w:rPr>
      </w:pPr>
      <w:r>
        <w:rPr>
          <w:rFonts w:hint="eastAsia"/>
          <w:sz w:val="24"/>
        </w:rPr>
        <w:t>二、填空题：</w:t>
      </w:r>
      <w:r>
        <w:rPr>
          <w:sz w:val="24"/>
        </w:rPr>
        <w:t>(</w:t>
      </w:r>
      <w:r>
        <w:rPr>
          <w:rFonts w:hint="eastAsia"/>
          <w:sz w:val="24"/>
        </w:rPr>
        <w:t>每题</w:t>
      </w:r>
      <w:r>
        <w:rPr>
          <w:sz w:val="24"/>
        </w:rPr>
        <w:t>4</w:t>
      </w:r>
      <w:r>
        <w:rPr>
          <w:rFonts w:hint="eastAsia"/>
          <w:sz w:val="24"/>
        </w:rPr>
        <w:t>分，共</w:t>
      </w:r>
      <w:r>
        <w:rPr>
          <w:sz w:val="24"/>
        </w:rPr>
        <w:t>24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14:paraId="06158ED8">
      <w:pPr>
        <w:widowControl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、已知事件</w:t>
      </w:r>
      <w:r>
        <w:rPr>
          <w:position w:val="-10"/>
        </w:rPr>
        <w:object>
          <v:shape id="_x0000_i1057" o:spt="75" type="#_x0000_t75" style="height:15.65pt;width:25.0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hint="eastAsia"/>
          <w:sz w:val="24"/>
        </w:rPr>
        <w:t>相互独立，且</w:t>
      </w:r>
      <w:r>
        <w:rPr>
          <w:position w:val="-10"/>
        </w:rPr>
        <w:object>
          <v:shape id="_x0000_i1058" o:spt="75" type="#_x0000_t75" style="height:15.05pt;width:113.3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0"/>
        </w:rPr>
        <w:object>
          <v:shape id="_x0000_i1059" o:spt="75" type="#_x0000_t75" style="height:15.05pt;width:23.8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hint="eastAsia"/>
          <w:sz w:val="24"/>
        </w:rPr>
        <w:t>都不发生的概率为</w:t>
      </w:r>
      <w:r>
        <w:rPr>
          <w:bCs/>
          <w:sz w:val="24"/>
          <w:u w:val="single"/>
        </w:rPr>
        <w:t xml:space="preserve">              </w:t>
      </w:r>
      <w:r>
        <w:rPr>
          <w:bCs/>
          <w:sz w:val="24"/>
        </w:rPr>
        <w:t xml:space="preserve"> </w:t>
      </w:r>
      <w:r>
        <w:rPr>
          <w:rFonts w:hint="eastAsia"/>
          <w:sz w:val="24"/>
        </w:rPr>
        <w:t>。</w:t>
      </w:r>
      <w:r>
        <w:rPr>
          <w:sz w:val="24"/>
        </w:rPr>
        <w:t xml:space="preserve"> </w:t>
      </w:r>
    </w:p>
    <w:p w14:paraId="75E26610">
      <w:pPr>
        <w:widowControl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、设</w:t>
      </w:r>
      <w:r>
        <w:rPr>
          <w:position w:val="-32"/>
        </w:rPr>
        <w:object>
          <v:shape id="_x0000_i1060" o:spt="75" type="#_x0000_t75" style="height:35.7pt;width:110.8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hint="eastAsia"/>
        </w:rPr>
        <w:t>是某随机变量的概率密度函数，则常数</w:t>
      </w:r>
      <w:r>
        <w:rPr>
          <w:position w:val="-6"/>
        </w:rPr>
        <w:object>
          <v:shape id="_x0000_i1061" o:spt="75" type="#_x0000_t75" style="height:10.65pt;width:19.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u w:val="single"/>
        </w:rPr>
        <w:t xml:space="preserve">             </w:t>
      </w:r>
      <w:r>
        <w:rPr>
          <w:rFonts w:hint="eastAsia"/>
        </w:rPr>
        <w:t>。</w:t>
      </w:r>
    </w:p>
    <w:p w14:paraId="447CE019">
      <w:pPr>
        <w:widowControl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、若</w:t>
      </w:r>
      <w:r>
        <w:rPr>
          <w:position w:val="-12"/>
        </w:rPr>
        <w:object>
          <v:shape id="_x0000_i1062" o:spt="75" type="#_x0000_t75" style="height:17.55pt;width:76.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hint="eastAsia"/>
          <w:sz w:val="24"/>
        </w:rPr>
        <w:t>是来自标准正态分布总体的简单随机样本，</w:t>
      </w:r>
      <w:r>
        <w:rPr>
          <w:position w:val="-12"/>
        </w:rPr>
        <w:object>
          <v:shape id="_x0000_i1063" o:spt="75" type="#_x0000_t75" style="height:18.15pt;width:113.3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sz w:val="24"/>
        </w:rPr>
        <w:t>则</w:t>
      </w:r>
      <w:r>
        <w:rPr>
          <w:position w:val="-14"/>
        </w:rPr>
        <w:object>
          <v:shape id="_x0000_i1064" o:spt="75" type="#_x0000_t75" style="height:19.4pt;width:41.3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t xml:space="preserve"> </w:t>
      </w:r>
      <w:r>
        <w:rPr>
          <w:u w:val="single"/>
        </w:rPr>
        <w:t xml:space="preserve">                    </w:t>
      </w:r>
      <w:r>
        <w:rPr>
          <w:rFonts w:hint="eastAsia"/>
        </w:rPr>
        <w:t>。</w:t>
      </w:r>
    </w:p>
    <w:p w14:paraId="609966EE">
      <w:pPr>
        <w:widowControl/>
        <w:rPr>
          <w:bCs/>
          <w:sz w:val="24"/>
          <w:u w:val="single"/>
        </w:rPr>
      </w:pPr>
      <w:r>
        <w:rPr>
          <w:sz w:val="24"/>
        </w:rPr>
        <w:t>4</w:t>
      </w:r>
      <w:r>
        <w:rPr>
          <w:rFonts w:hint="eastAsia"/>
          <w:sz w:val="24"/>
        </w:rPr>
        <w:t>、设</w:t>
      </w:r>
      <w:r>
        <w:rPr>
          <w:position w:val="-10"/>
        </w:rPr>
        <w:object>
          <v:shape id="_x0000_i1065" o:spt="75" type="#_x0000_t75" style="height:15.05pt;width:26.9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hint="eastAsia"/>
          <w:bCs/>
          <w:sz w:val="24"/>
        </w:rPr>
        <w:t>相互独立，都服从</w:t>
      </w:r>
      <w:r>
        <w:rPr>
          <w:position w:val="-14"/>
        </w:rPr>
        <w:object>
          <v:shape id="_x0000_i1066" o:spt="75" type="#_x0000_t75" style="height:19.4pt;width:50.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hint="eastAsia"/>
          <w:bCs/>
          <w:sz w:val="24"/>
        </w:rPr>
        <w:t>，则</w:t>
      </w:r>
      <w:r>
        <w:rPr>
          <w:position w:val="-14"/>
          <w:sz w:val="24"/>
        </w:rPr>
        <w:object>
          <v:shape id="_x0000_i1067" o:spt="75" type="#_x0000_t75" style="height:19.4pt;width:54.4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bCs/>
          <w:sz w:val="24"/>
          <w:u w:val="single"/>
        </w:rPr>
        <w:t xml:space="preserve">                 </w:t>
      </w:r>
      <w:r>
        <w:rPr>
          <w:rFonts w:hint="eastAsia"/>
          <w:bCs/>
          <w:sz w:val="24"/>
        </w:rPr>
        <w:t>。</w:t>
      </w:r>
    </w:p>
    <w:p w14:paraId="2D603D49">
      <w:pPr>
        <w:widowControl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、设随机变量</w:t>
      </w:r>
      <w:r>
        <w:rPr>
          <w:position w:val="-14"/>
        </w:rPr>
        <w:object>
          <v:shape id="_x0000_i1068" o:spt="75" type="#_x0000_t75" style="height:19.4pt;width:102.7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4"/>
        </w:rPr>
        <w:object>
          <v:shape id="_x0000_i1069" o:spt="75" type="#_x0000_t75" style="height:14.4pt;width:18.8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070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hint="eastAsia"/>
        </w:rPr>
        <w:t>的相关系数等于</w:t>
      </w:r>
      <w:r>
        <w:rPr>
          <w:u w:val="single"/>
        </w:rPr>
        <w:t xml:space="preserve">                  </w:t>
      </w:r>
      <w:r>
        <w:rPr>
          <w:rFonts w:hint="eastAsia"/>
        </w:rPr>
        <w:t>。</w:t>
      </w:r>
    </w:p>
    <w:p w14:paraId="2236E553">
      <w:pPr>
        <w:widowControl/>
      </w:pPr>
      <w:r>
        <w:rPr>
          <w:sz w:val="24"/>
        </w:rPr>
        <w:t>6</w:t>
      </w:r>
      <w:r>
        <w:rPr>
          <w:rFonts w:hint="eastAsia"/>
          <w:sz w:val="24"/>
        </w:rPr>
        <w:t>、设随机变量</w:t>
      </w:r>
      <w:r>
        <w:rPr>
          <w:position w:val="-12"/>
        </w:rPr>
        <w:object>
          <v:shape id="_x0000_i1071" o:spt="75" type="#_x0000_t75" style="height:17.55pt;width:76.4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hint="eastAsia"/>
        </w:rPr>
        <w:t>相互独立，都服从参数为</w:t>
      </w:r>
      <w:r>
        <w:t>1</w:t>
      </w:r>
      <w:r>
        <w:rPr>
          <w:rFonts w:hint="eastAsia"/>
        </w:rPr>
        <w:t>的指数分布，</w:t>
      </w:r>
      <w:r>
        <w:rPr>
          <w:position w:val="-12"/>
        </w:rPr>
        <w:object>
          <v:shape id="_x0000_i1072" o:spt="75" type="#_x0000_t75" style="height:17.55pt;width:113.9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hint="eastAsia"/>
        </w:rPr>
        <w:t>，根据中心极限定理，概率</w:t>
      </w:r>
      <w:r>
        <w:rPr>
          <w:position w:val="-14"/>
        </w:rPr>
        <w:object>
          <v:shape id="_x0000_i1073" o:spt="75" type="#_x0000_t75" style="height:19.4pt;width:65.1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u w:val="single"/>
        </w:rPr>
        <w:t xml:space="preserve">           </w:t>
      </w:r>
      <w:r>
        <w:rPr>
          <w:rFonts w:hint="eastAsia"/>
        </w:rPr>
        <w:t>。（计算结果用标准正态分布函数表示）</w:t>
      </w:r>
    </w:p>
    <w:p w14:paraId="5DCDC1FE">
      <w:pPr>
        <w:rPr>
          <w:sz w:val="24"/>
          <w:szCs w:val="38"/>
        </w:rPr>
      </w:pPr>
      <w:r>
        <w:rPr>
          <w:rFonts w:hint="eastAsia"/>
          <w:sz w:val="24"/>
          <w:szCs w:val="38"/>
        </w:rPr>
        <w:t>三、计算题</w:t>
      </w:r>
    </w:p>
    <w:p w14:paraId="4A614674">
      <w:r>
        <w:rPr>
          <w:sz w:val="24"/>
          <w:szCs w:val="38"/>
        </w:rPr>
        <w:t>1</w:t>
      </w:r>
      <w:r>
        <w:rPr>
          <w:rFonts w:hint="eastAsia"/>
          <w:sz w:val="24"/>
          <w:szCs w:val="38"/>
        </w:rPr>
        <w:t>、（</w:t>
      </w:r>
      <w:r>
        <w:rPr>
          <w:sz w:val="24"/>
          <w:szCs w:val="38"/>
        </w:rPr>
        <w:t>10</w:t>
      </w:r>
      <w:r>
        <w:rPr>
          <w:rFonts w:hint="eastAsia"/>
          <w:sz w:val="24"/>
          <w:szCs w:val="38"/>
        </w:rPr>
        <w:t>分）</w:t>
      </w:r>
      <w:r>
        <w:rPr>
          <w:rFonts w:hint="eastAsia"/>
          <w:bCs/>
          <w:sz w:val="24"/>
        </w:rPr>
        <w:t>设随机变量</w:t>
      </w:r>
      <w:r>
        <w:rPr>
          <w:position w:val="-4"/>
        </w:rPr>
        <w:object>
          <v:shape id="_x0000_i1074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hint="eastAsia"/>
          <w:bCs/>
          <w:sz w:val="24"/>
        </w:rPr>
        <w:t>的概率密度为</w:t>
      </w:r>
      <w:r>
        <w:rPr>
          <w:position w:val="-30"/>
        </w:rPr>
        <w:object>
          <v:shape id="_x0000_i1075" o:spt="75" type="#_x0000_t75" style="height:34.45pt;width:128.3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</w:p>
    <w:p w14:paraId="5A41EC24">
      <w:pPr>
        <w:rPr>
          <w:bCs/>
          <w:sz w:val="24"/>
        </w:rPr>
      </w:pPr>
      <w:r>
        <w:rPr>
          <w:rFonts w:hint="eastAsia"/>
        </w:rPr>
        <w:t>试求：（</w:t>
      </w:r>
      <w:r>
        <w:t>1</w:t>
      </w:r>
      <w:r>
        <w:rPr>
          <w:rFonts w:hint="eastAsia"/>
        </w:rPr>
        <w:t>）常数</w:t>
      </w:r>
      <w:r>
        <w:rPr>
          <w:position w:val="-6"/>
        </w:rPr>
        <w:object>
          <v:shape id="_x0000_i1076" o:spt="75" type="#_x0000_t75" style="height:10.65pt;width:8.7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hint="eastAsia"/>
        </w:rPr>
        <w:t>；（</w:t>
      </w:r>
      <w:r>
        <w:t>2</w:t>
      </w:r>
      <w:r>
        <w:rPr>
          <w:rFonts w:hint="eastAsia"/>
        </w:rPr>
        <w:t>）使</w:t>
      </w:r>
      <w:r>
        <w:rPr>
          <w:position w:val="-14"/>
        </w:rPr>
        <w:object>
          <v:shape id="_x0000_i1077" o:spt="75" type="#_x0000_t75" style="height:19.4pt;width:113.3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hint="eastAsia"/>
        </w:rPr>
        <w:t>成立的</w:t>
      </w:r>
      <w:r>
        <w:rPr>
          <w:position w:val="-6"/>
        </w:rPr>
        <w:object>
          <v:shape id="_x0000_i1078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hint="eastAsia"/>
        </w:rPr>
        <w:t>；（</w:t>
      </w:r>
      <w:r>
        <w:t>3</w:t>
      </w:r>
      <w:r>
        <w:rPr>
          <w:rFonts w:hint="eastAsia"/>
        </w:rPr>
        <w:t>）</w:t>
      </w:r>
      <w:r>
        <w:rPr>
          <w:position w:val="-14"/>
        </w:rPr>
        <w:object>
          <v:shape id="_x0000_i1079" o:spt="75" type="#_x0000_t75" style="height:19.4pt;width:50.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hint="eastAsia"/>
        </w:rPr>
        <w:t>。</w:t>
      </w:r>
    </w:p>
    <w:p w14:paraId="6D018163">
      <w:pPr>
        <w:rPr>
          <w:bCs/>
          <w:sz w:val="24"/>
        </w:rPr>
      </w:pPr>
    </w:p>
    <w:p w14:paraId="11FD82F4">
      <w:pPr>
        <w:rPr>
          <w:bCs/>
          <w:sz w:val="24"/>
        </w:rPr>
      </w:pPr>
      <w:r>
        <w:rPr>
          <w:bCs/>
          <w:sz w:val="24"/>
        </w:rPr>
        <w:t>2</w:t>
      </w:r>
      <w:r>
        <w:rPr>
          <w:rFonts w:hint="eastAsia"/>
          <w:bCs/>
          <w:sz w:val="24"/>
        </w:rPr>
        <w:t>、（</w:t>
      </w:r>
      <w:r>
        <w:rPr>
          <w:bCs/>
          <w:sz w:val="24"/>
        </w:rPr>
        <w:t>15</w:t>
      </w:r>
      <w:r>
        <w:rPr>
          <w:rFonts w:hint="eastAsia"/>
          <w:bCs/>
          <w:sz w:val="24"/>
        </w:rPr>
        <w:t>分）设二维随机变量（</w:t>
      </w:r>
      <w:r>
        <w:rPr>
          <w:position w:val="-10"/>
        </w:rPr>
        <w:object>
          <v:shape id="_x0000_i1080" o:spt="75" type="#_x0000_t75" style="height:15.05pt;width:26.3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hint="eastAsia"/>
        </w:rPr>
        <w:t>）</w:t>
      </w:r>
      <w:r>
        <w:rPr>
          <w:rFonts w:hint="eastAsia"/>
          <w:bCs/>
          <w:sz w:val="24"/>
        </w:rPr>
        <w:t>的联合概率密度函数为</w:t>
      </w:r>
      <w:r>
        <w:rPr>
          <w:position w:val="-32"/>
          <w:sz w:val="24"/>
        </w:rPr>
        <w:object>
          <v:shape id="_x0000_i1081" o:spt="75" type="#_x0000_t75" style="height:38.2pt;width:150.9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hint="eastAsia"/>
          <w:sz w:val="24"/>
        </w:rPr>
        <w:t>，其中</w:t>
      </w:r>
      <w:r>
        <w:rPr>
          <w:position w:val="-4"/>
        </w:rPr>
        <w:object>
          <v:shape id="_x0000_i1082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hint="eastAsia"/>
        </w:rPr>
        <w:t>为常数，</w:t>
      </w:r>
      <w:r>
        <w:rPr>
          <w:rFonts w:hint="eastAsia"/>
          <w:bCs/>
          <w:sz w:val="24"/>
        </w:rPr>
        <w:t>求：（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）常数</w:t>
      </w:r>
      <w:r>
        <w:rPr>
          <w:position w:val="-6"/>
        </w:rPr>
        <w:object>
          <v:shape id="_x0000_i1083" o:spt="75" type="#_x0000_t75" style="height:12.5pt;width:10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hint="eastAsia"/>
        </w:rPr>
        <w:t>；（</w:t>
      </w:r>
      <w:r>
        <w:t>2</w:t>
      </w:r>
      <w:r>
        <w:rPr>
          <w:rFonts w:hint="eastAsia"/>
        </w:rPr>
        <w:t>）</w:t>
      </w:r>
      <w:r>
        <w:rPr>
          <w:position w:val="-4"/>
        </w:rPr>
        <w:object>
          <v:shape id="_x0000_i1084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4"/>
        </w:rPr>
        <w:object>
          <v:shape id="_x0000_i1085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hint="eastAsia"/>
        </w:rPr>
        <w:t>的边缘概率密度函数</w:t>
      </w:r>
      <w:r>
        <w:rPr>
          <w:position w:val="-14"/>
        </w:rPr>
        <w:object>
          <v:shape id="_x0000_i1086" o:spt="75" type="#_x0000_t75" style="height:19.4pt;width:34.4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14"/>
        </w:rPr>
        <w:object>
          <v:shape id="_x0000_i1087" o:spt="75" type="#_x0000_t75" style="height:19.4pt;width:33.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hint="eastAsia"/>
        </w:rPr>
        <w:t>；（</w:t>
      </w:r>
      <w:r>
        <w:t>3</w:t>
      </w:r>
      <w:r>
        <w:rPr>
          <w:rFonts w:hint="eastAsia"/>
        </w:rPr>
        <w:t>）</w:t>
      </w:r>
      <w:r>
        <w:rPr>
          <w:position w:val="-14"/>
        </w:rPr>
        <w:object>
          <v:shape id="_x0000_i1088" o:spt="75" type="#_x0000_t75" style="height:18.8pt;width:50.1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bCs/>
          <w:sz w:val="24"/>
        </w:rPr>
        <w:t>.</w:t>
      </w:r>
    </w:p>
    <w:p w14:paraId="52A77157">
      <w:pPr>
        <w:rPr>
          <w:bCs/>
          <w:sz w:val="24"/>
        </w:rPr>
      </w:pPr>
    </w:p>
    <w:p w14:paraId="2E93AB91">
      <w:r>
        <w:rPr>
          <w:bCs/>
          <w:sz w:val="24"/>
        </w:rPr>
        <w:t>3</w:t>
      </w:r>
      <w:r>
        <w:rPr>
          <w:rFonts w:hint="eastAsia"/>
          <w:bCs/>
          <w:sz w:val="24"/>
        </w:rPr>
        <w:t>、（</w:t>
      </w:r>
      <w:r>
        <w:rPr>
          <w:bCs/>
          <w:sz w:val="24"/>
        </w:rPr>
        <w:t>12</w:t>
      </w:r>
      <w:r>
        <w:rPr>
          <w:rFonts w:hint="eastAsia"/>
          <w:bCs/>
          <w:sz w:val="24"/>
        </w:rPr>
        <w:t>分）设随机变量</w:t>
      </w:r>
      <w:r>
        <w:rPr>
          <w:position w:val="-10"/>
        </w:rPr>
        <w:object>
          <v:shape id="_x0000_i1089" o:spt="75" type="#_x0000_t75" style="height:15.05pt;width:26.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hint="eastAsia"/>
        </w:rPr>
        <w:t>的分布律分别为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567"/>
        <w:gridCol w:w="567"/>
        <w:gridCol w:w="567"/>
      </w:tblGrid>
      <w:tr w14:paraId="1D15E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2994FD20">
            <w:r>
              <w:t>X</w:t>
            </w:r>
          </w:p>
        </w:tc>
        <w:tc>
          <w:tcPr>
            <w:tcW w:w="567" w:type="dxa"/>
          </w:tcPr>
          <w:p w14:paraId="7DF6FA39">
            <w:r>
              <w:t>0</w:t>
            </w:r>
          </w:p>
        </w:tc>
        <w:tc>
          <w:tcPr>
            <w:tcW w:w="567" w:type="dxa"/>
          </w:tcPr>
          <w:p w14:paraId="6CD31694">
            <w:r>
              <w:t>1</w:t>
            </w:r>
          </w:p>
        </w:tc>
        <w:tc>
          <w:tcPr>
            <w:tcW w:w="567" w:type="dxa"/>
          </w:tcPr>
          <w:p w14:paraId="2E7908E8">
            <w:r>
              <w:t>2</w:t>
            </w:r>
          </w:p>
        </w:tc>
      </w:tr>
      <w:tr w14:paraId="2B595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6559FB84">
            <w:r>
              <w:t>p</w:t>
            </w:r>
          </w:p>
        </w:tc>
        <w:tc>
          <w:tcPr>
            <w:tcW w:w="567" w:type="dxa"/>
          </w:tcPr>
          <w:p w14:paraId="701AAD5B">
            <w:r>
              <w:t>1/2</w:t>
            </w:r>
          </w:p>
        </w:tc>
        <w:tc>
          <w:tcPr>
            <w:tcW w:w="567" w:type="dxa"/>
          </w:tcPr>
          <w:p w14:paraId="02141F15">
            <w:r>
              <w:t>1/3</w:t>
            </w:r>
          </w:p>
        </w:tc>
        <w:tc>
          <w:tcPr>
            <w:tcW w:w="567" w:type="dxa"/>
          </w:tcPr>
          <w:p w14:paraId="2EA89AE2">
            <w:r>
              <w:t>1/6</w:t>
            </w:r>
          </w:p>
        </w:tc>
      </w:tr>
    </w:tbl>
    <w:p w14:paraId="70EE7D38">
      <w:r>
        <w:t xml:space="preserve">                                         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567"/>
        <w:gridCol w:w="567"/>
        <w:gridCol w:w="567"/>
      </w:tblGrid>
      <w:tr w14:paraId="72C95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08D32585">
            <w:r>
              <w:t>Y</w:t>
            </w:r>
          </w:p>
        </w:tc>
        <w:tc>
          <w:tcPr>
            <w:tcW w:w="567" w:type="dxa"/>
          </w:tcPr>
          <w:p w14:paraId="5F3A0C6F">
            <w:r>
              <w:t>0</w:t>
            </w:r>
          </w:p>
        </w:tc>
        <w:tc>
          <w:tcPr>
            <w:tcW w:w="567" w:type="dxa"/>
          </w:tcPr>
          <w:p w14:paraId="02D12507">
            <w:r>
              <w:t>1</w:t>
            </w:r>
          </w:p>
        </w:tc>
        <w:tc>
          <w:tcPr>
            <w:tcW w:w="567" w:type="dxa"/>
          </w:tcPr>
          <w:p w14:paraId="5925243D">
            <w:r>
              <w:t>2</w:t>
            </w:r>
          </w:p>
        </w:tc>
      </w:tr>
      <w:tr w14:paraId="0CB9C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5BFE5BBE">
            <w:r>
              <w:t>p</w:t>
            </w:r>
          </w:p>
        </w:tc>
        <w:tc>
          <w:tcPr>
            <w:tcW w:w="567" w:type="dxa"/>
          </w:tcPr>
          <w:p w14:paraId="43805A04">
            <w:r>
              <w:t>1/3</w:t>
            </w:r>
          </w:p>
        </w:tc>
        <w:tc>
          <w:tcPr>
            <w:tcW w:w="567" w:type="dxa"/>
          </w:tcPr>
          <w:p w14:paraId="562F59E8">
            <w:r>
              <w:t>1/3</w:t>
            </w:r>
          </w:p>
        </w:tc>
        <w:tc>
          <w:tcPr>
            <w:tcW w:w="567" w:type="dxa"/>
          </w:tcPr>
          <w:p w14:paraId="0002EAB1">
            <w:r>
              <w:t>1/3</w:t>
            </w:r>
          </w:p>
        </w:tc>
      </w:tr>
    </w:tbl>
    <w:p w14:paraId="6477A36E"/>
    <w:p w14:paraId="7BE09AD1">
      <w:r>
        <w:rPr>
          <w:rFonts w:hint="eastAsia"/>
        </w:rPr>
        <w:t>令</w:t>
      </w:r>
      <w:r>
        <w:rPr>
          <w:position w:val="-4"/>
        </w:rPr>
        <w:object>
          <v:shape id="_x0000_i1090" o:spt="75" type="#_x0000_t75" style="height:12.5pt;width:41.3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hint="eastAsia"/>
        </w:rPr>
        <w:t>，已知</w:t>
      </w:r>
      <w:r>
        <w:rPr>
          <w:position w:val="-4"/>
        </w:rPr>
        <w:object>
          <v:shape id="_x0000_i1091" o:spt="75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hint="eastAsia"/>
        </w:rPr>
        <w:t>的分布律为</w:t>
      </w:r>
    </w:p>
    <w:p w14:paraId="1381F831"/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590"/>
        <w:gridCol w:w="567"/>
        <w:gridCol w:w="590"/>
      </w:tblGrid>
      <w:tr w14:paraId="469D2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1A351A39">
            <w:r>
              <w:t>Z</w:t>
            </w:r>
          </w:p>
        </w:tc>
        <w:tc>
          <w:tcPr>
            <w:tcW w:w="567" w:type="dxa"/>
          </w:tcPr>
          <w:p w14:paraId="28877393">
            <w:r>
              <w:t>0</w:t>
            </w:r>
          </w:p>
        </w:tc>
        <w:tc>
          <w:tcPr>
            <w:tcW w:w="567" w:type="dxa"/>
          </w:tcPr>
          <w:p w14:paraId="4726C081">
            <w:r>
              <w:t>1</w:t>
            </w:r>
          </w:p>
        </w:tc>
        <w:tc>
          <w:tcPr>
            <w:tcW w:w="567" w:type="dxa"/>
          </w:tcPr>
          <w:p w14:paraId="22A659C3">
            <w:r>
              <w:t>4</w:t>
            </w:r>
          </w:p>
        </w:tc>
      </w:tr>
      <w:tr w14:paraId="652A3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4" w:type="dxa"/>
          </w:tcPr>
          <w:p w14:paraId="41EC42B1">
            <w:r>
              <w:t>p</w:t>
            </w:r>
          </w:p>
        </w:tc>
        <w:tc>
          <w:tcPr>
            <w:tcW w:w="567" w:type="dxa"/>
          </w:tcPr>
          <w:p w14:paraId="20A822C2">
            <w:r>
              <w:t>7/12</w:t>
            </w:r>
          </w:p>
        </w:tc>
        <w:tc>
          <w:tcPr>
            <w:tcW w:w="567" w:type="dxa"/>
          </w:tcPr>
          <w:p w14:paraId="5134ED69">
            <w:r>
              <w:t>1/3</w:t>
            </w:r>
          </w:p>
        </w:tc>
        <w:tc>
          <w:tcPr>
            <w:tcW w:w="567" w:type="dxa"/>
          </w:tcPr>
          <w:p w14:paraId="4B19E55B">
            <w:r>
              <w:t>1/12</w:t>
            </w:r>
          </w:p>
        </w:tc>
      </w:tr>
    </w:tbl>
    <w:p w14:paraId="62258CCD"/>
    <w:p w14:paraId="592E93E2">
      <w:r>
        <w:rPr>
          <w:rFonts w:hint="eastAsia"/>
        </w:rPr>
        <w:t>试求（</w:t>
      </w:r>
      <w:r>
        <w:t>1</w:t>
      </w:r>
      <w:r>
        <w:rPr>
          <w:rFonts w:hint="eastAsia"/>
        </w:rPr>
        <w:t>）求</w:t>
      </w:r>
      <w:r>
        <w:rPr>
          <w:position w:val="-4"/>
        </w:rPr>
        <w:object>
          <v:shape id="_x0000_i1092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093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hint="eastAsia"/>
        </w:rPr>
        <w:t>的联合分布律；（</w:t>
      </w:r>
      <w:r>
        <w:t>2</w:t>
      </w:r>
      <w:r>
        <w:rPr>
          <w:rFonts w:hint="eastAsia"/>
        </w:rPr>
        <w:t>）</w:t>
      </w:r>
      <w:r>
        <w:rPr>
          <w:position w:val="-4"/>
        </w:rPr>
        <w:object>
          <v:shape id="_x0000_i1094" o:spt="75" type="#_x0000_t75" style="height:14.4pt;width:38.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095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hint="eastAsia"/>
        </w:rPr>
        <w:t>的协方差。</w:t>
      </w:r>
    </w:p>
    <w:p w14:paraId="1EAB23F9"/>
    <w:p w14:paraId="7D40F3B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（</w:t>
      </w:r>
      <w:r>
        <w:t>15</w:t>
      </w:r>
      <w:r>
        <w:rPr>
          <w:rFonts w:hint="eastAsia"/>
        </w:rPr>
        <w:t>分）设总体</w:t>
      </w:r>
      <w:r>
        <w:rPr>
          <w:position w:val="-4"/>
        </w:rPr>
        <w:object>
          <v:shape id="_x0000_i1096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hint="eastAsia"/>
        </w:rPr>
        <w:t>具有概率密度函数</w:t>
      </w:r>
      <w:r>
        <w:rPr>
          <w:position w:val="-24"/>
        </w:rPr>
        <w:object>
          <v:shape id="_x0000_i1097" o:spt="75" type="#_x0000_t75" style="height:32.55pt;width:150.9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6"/>
        </w:rPr>
        <w:object>
          <v:shape id="_x0000_i1098" o:spt="75" type="#_x0000_t75" style="height:12.5pt;width:28.8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hint="eastAsia"/>
        </w:rPr>
        <w:t>是未知参数，</w:t>
      </w:r>
      <w:r>
        <w:rPr>
          <w:position w:val="-12"/>
        </w:rPr>
        <w:object>
          <v:shape id="_x0000_i1099" o:spt="75" type="#_x0000_t75" style="height:17.55pt;width:70.7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hint="eastAsia"/>
        </w:rPr>
        <w:t>是来自此总体的简单样本。试求：（</w:t>
      </w:r>
      <w:r>
        <w:t>1</w:t>
      </w:r>
      <w:r>
        <w:rPr>
          <w:rFonts w:hint="eastAsia"/>
        </w:rPr>
        <w:t>）</w:t>
      </w:r>
      <w:r>
        <w:rPr>
          <w:position w:val="-6"/>
        </w:rPr>
        <w:object>
          <v:shape id="_x0000_i1100" o:spt="75" type="#_x0000_t75" style="height:12.5pt;width:10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hint="eastAsia"/>
        </w:rPr>
        <w:t>的矩估计量；（</w:t>
      </w:r>
      <w:r>
        <w:t>2</w:t>
      </w:r>
      <w:r>
        <w:rPr>
          <w:rFonts w:hint="eastAsia"/>
        </w:rPr>
        <w:t>）</w:t>
      </w:r>
      <w:r>
        <w:rPr>
          <w:position w:val="-6"/>
        </w:rPr>
        <w:object>
          <v:shape id="_x0000_i1101" o:spt="75" type="#_x0000_t75" style="height:12.5pt;width:10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hint="eastAsia"/>
        </w:rPr>
        <w:t>的最大似然估计量；（</w:t>
      </w:r>
      <w:r>
        <w:t>3</w:t>
      </w:r>
      <w:r>
        <w:rPr>
          <w:rFonts w:hint="eastAsia"/>
        </w:rPr>
        <w:t>）判断最大似然估计量是否是无偏估计。</w:t>
      </w:r>
    </w:p>
    <w:p w14:paraId="23F8317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（2025-1,12分）研究表明，某地区高中男生的肺活量服从正态分布。现在测量了该地区6名高中男生的肺活量（单位：毫升）分别为3500, 3400，3800，3600，3400，3600。</w:t>
      </w:r>
    </w:p>
    <w:p w14:paraId="5C6492DC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计算这些数据的样本均值、样本方差；</w:t>
      </w:r>
    </w:p>
    <w:p w14:paraId="6A43BDF3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根据这些数据，求总体均值的置信水平为0.99的双侧置信区间；</w:t>
      </w:r>
    </w:p>
    <w:p w14:paraId="3F98CF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（3）根据这些数据，推断总体标准差是否等于150？（显著性水平取为0.02，要求写出假设检验的过程）。</w:t>
      </w:r>
      <w:bookmarkStart w:id="0" w:name="_GoBack"/>
      <w:bookmarkEnd w:id="0"/>
    </w:p>
    <w:sectPr>
      <w:pgSz w:w="11906" w:h="16838"/>
      <w:pgMar w:top="1077" w:right="1066" w:bottom="907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EE6718"/>
    <w:multiLevelType w:val="singleLevel"/>
    <w:tmpl w:val="58EE6718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7DA8D447"/>
    <w:multiLevelType w:val="singleLevel"/>
    <w:tmpl w:val="7DA8D44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2Q2MjVmYWQ1MzZjZjk3ZGQyZjY5ZjNjYTVjNTM1OTIifQ=="/>
  </w:docVars>
  <w:rsids>
    <w:rsidRoot w:val="001D3080"/>
    <w:rsid w:val="0001147E"/>
    <w:rsid w:val="000C5435"/>
    <w:rsid w:val="00110970"/>
    <w:rsid w:val="001940B4"/>
    <w:rsid w:val="001D3080"/>
    <w:rsid w:val="00222562"/>
    <w:rsid w:val="00247152"/>
    <w:rsid w:val="002541FF"/>
    <w:rsid w:val="002B72E5"/>
    <w:rsid w:val="002C4244"/>
    <w:rsid w:val="003514A3"/>
    <w:rsid w:val="003A5A5E"/>
    <w:rsid w:val="003C25C0"/>
    <w:rsid w:val="00434F0A"/>
    <w:rsid w:val="004651F2"/>
    <w:rsid w:val="00516192"/>
    <w:rsid w:val="005B12F8"/>
    <w:rsid w:val="005B6C2B"/>
    <w:rsid w:val="00744F12"/>
    <w:rsid w:val="007B5F97"/>
    <w:rsid w:val="007D26C9"/>
    <w:rsid w:val="007D4DF7"/>
    <w:rsid w:val="0087272D"/>
    <w:rsid w:val="008E3753"/>
    <w:rsid w:val="008E4941"/>
    <w:rsid w:val="00A32B8A"/>
    <w:rsid w:val="00A4340B"/>
    <w:rsid w:val="00A803B1"/>
    <w:rsid w:val="00B72D8F"/>
    <w:rsid w:val="00BF3F82"/>
    <w:rsid w:val="00D62959"/>
    <w:rsid w:val="00DA1C46"/>
    <w:rsid w:val="00EF2679"/>
    <w:rsid w:val="00EF647A"/>
    <w:rsid w:val="00EF6DF9"/>
    <w:rsid w:val="00F4640E"/>
    <w:rsid w:val="00F7199E"/>
    <w:rsid w:val="00FC4356"/>
    <w:rsid w:val="00FD449F"/>
    <w:rsid w:val="00FD7CD9"/>
    <w:rsid w:val="19183D6F"/>
    <w:rsid w:val="1CB57E66"/>
    <w:rsid w:val="1E170C8E"/>
    <w:rsid w:val="333F17C2"/>
    <w:rsid w:val="3F93711E"/>
    <w:rsid w:val="436E14ED"/>
    <w:rsid w:val="460E39A2"/>
    <w:rsid w:val="563D798B"/>
    <w:rsid w:val="733842AF"/>
    <w:rsid w:val="7383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4">
    <w:name w:val="header"/>
    <w:basedOn w:val="1"/>
    <w:link w:val="8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table" w:styleId="6">
    <w:name w:val="Table Grid"/>
    <w:basedOn w:val="5"/>
    <w:qFormat/>
    <w:uiPriority w:val="9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页脚 Char"/>
    <w:basedOn w:val="7"/>
    <w:link w:val="3"/>
    <w:semiHidden/>
    <w:qFormat/>
    <w:locked/>
    <w:uiPriority w:val="99"/>
    <w:rPr>
      <w:rFonts w:cs="Times New Roman"/>
      <w:sz w:val="18"/>
      <w:szCs w:val="18"/>
    </w:rPr>
  </w:style>
  <w:style w:type="character" w:styleId="10">
    <w:name w:val="Placeholder Text"/>
    <w:basedOn w:val="7"/>
    <w:semiHidden/>
    <w:qFormat/>
    <w:uiPriority w:val="99"/>
    <w:rPr>
      <w:rFonts w:cs="Times New Roman"/>
      <w:color w:val="808080"/>
    </w:rPr>
  </w:style>
  <w:style w:type="character" w:customStyle="1" w:styleId="11">
    <w:name w:val="批注框文本 Char"/>
    <w:basedOn w:val="7"/>
    <w:link w:val="2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image" Target="media/image3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1.bin"/><Relationship Id="rId8" Type="http://schemas.openxmlformats.org/officeDocument/2006/relationships/oleObject" Target="embeddings/oleObject3.bin"/><Relationship Id="rId79" Type="http://schemas.openxmlformats.org/officeDocument/2006/relationships/image" Target="media/image36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7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6.bin"/><Relationship Id="rId7" Type="http://schemas.openxmlformats.org/officeDocument/2006/relationships/image" Target="media/image2.wmf"/><Relationship Id="rId69" Type="http://schemas.openxmlformats.org/officeDocument/2006/relationships/image" Target="media/image31.wmf"/><Relationship Id="rId68" Type="http://schemas.openxmlformats.org/officeDocument/2006/relationships/oleObject" Target="embeddings/oleObject35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2.bin"/><Relationship Id="rId59" Type="http://schemas.openxmlformats.org/officeDocument/2006/relationships/image" Target="media/image26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6.bin"/><Relationship Id="rId5" Type="http://schemas.openxmlformats.org/officeDocument/2006/relationships/image" Target="media/image1.wmf"/><Relationship Id="rId49" Type="http://schemas.openxmlformats.org/officeDocument/2006/relationships/image" Target="media/image21.wmf"/><Relationship Id="rId48" Type="http://schemas.openxmlformats.org/officeDocument/2006/relationships/oleObject" Target="embeddings/oleObject25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3.bin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1" Type="http://schemas.openxmlformats.org/officeDocument/2006/relationships/fontTable" Target="fontTable.xml"/><Relationship Id="rId150" Type="http://schemas.openxmlformats.org/officeDocument/2006/relationships/numbering" Target="numbering.xml"/><Relationship Id="rId15" Type="http://schemas.openxmlformats.org/officeDocument/2006/relationships/image" Target="media/image6.wmf"/><Relationship Id="rId149" Type="http://schemas.openxmlformats.org/officeDocument/2006/relationships/image" Target="media/image69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2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9.bin"/><Relationship Id="rId132" Type="http://schemas.openxmlformats.org/officeDocument/2006/relationships/oleObject" Target="embeddings/oleObject68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7.bin"/><Relationship Id="rId13" Type="http://schemas.openxmlformats.org/officeDocument/2006/relationships/image" Target="media/image5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oleObject" Target="embeddings/oleObject60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4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781</Words>
  <Characters>845</Characters>
  <Lines>20</Lines>
  <Paragraphs>6</Paragraphs>
  <TotalTime>151</TotalTime>
  <ScaleCrop>false</ScaleCrop>
  <LinksUpToDate>false</LinksUpToDate>
  <CharactersWithSpaces>1157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2021-06-03T23:49:00Z</dcterms:created>
  <dc:creator>user</dc:creator>
  <cp:lastModifiedBy>小小书虫</cp:lastModifiedBy>
  <dcterms:modified xsi:type="dcterms:W3CDTF">2025-05-27T03:03:11Z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0D129F889BB14703B56181530CA67229</vt:lpwstr>
  </property>
  <property fmtid="{D5CDD505-2E9C-101B-9397-08002B2CF9AE}" pid="4" name="KSOTemplateDocerSaveRecord">
    <vt:lpwstr>eyJoZGlkIjoiY2Q2MjVmYWQ1MzZjZjk3ZGQyZjY5ZjNjYTVjNTM1OTIiLCJ1c2VySWQiOiIxMTQ1OTAwMTg1In0=</vt:lpwstr>
  </property>
</Properties>
</file>