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Forwarder’s Cargo Receipt</w:t>
      </w:r>
    </w:p>
    <w:p>
      <w:pPr>
        <w:spacing w:after="200" w:line="269" w:lineRule="auto"/>
      </w:pPr>
      <w:r>
        <w:rPr>
          <w:rFonts w:ascii="Arial" w:cs="Arial" w:eastAsia="Arial" w:hAnsi="Arial"/>
          <w:color w:val="5B6560"/>
          <w:sz w:val="20"/>
          <w:szCs w:val="20"/>
        </w:rPr>
        <w:t xml:space="preserve">Acknowledges receipt of cargo into the company’s care before a bill of lading is issued.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Receipt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[FCR-YYYY-NNN]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 and time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 HH:MM]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Shipper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Consignee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Job ref.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Place received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[Warehouse / address]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901"/>
        <w:gridCol w:w="1140"/>
        <w:gridCol w:w="2851"/>
        <w:gridCol w:w="1236"/>
        <w:gridCol w:w="950"/>
        <w:gridCol w:w="1426"/>
      </w:tblGrid>
      <w:tr>
        <w:trPr>
          <w:cantSplit/>
          <w:tblHeader/>
          <w:trHeight w:val="36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Marks and numbers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Packages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Description</w:t>
            </w: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Gross kg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CBM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Condition</w:t>
            </w:r>
          </w:p>
        </w:tc>
      </w:tr>
      <w:tr>
        <w:trPr>
          <w:cantSplit/>
          <w:trHeight w:val="34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Condition on receipt: [apparent good order / exceptions noted above]. This is not a document of title.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Delivered by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ELV-138  ·  Forwarder’s Cargo Receipt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ELV-138 Forwarder’s Cargo Receipt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2026-10-15T05:50:16.672Z</dcterms:created>
  <dcterms:modified xsi:type="dcterms:W3CDTF">2026-10-15T05:50:16.672Z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