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Service Level Agreement (Customer)</w:t>
      </w:r>
    </w:p>
    <w:p>
      <w:pPr>
        <w:pBdr>
          <w:left w:val="single" w:color="2B2F2D" w:sz="12" w:space="6"/>
        </w:pBdr>
        <w:shd w:fill="F1F3F2" w:color="auto" w:val="clear"/>
        <w:spacing w:after="120" w:before="80" w:line="269" w:lineRule="auto"/>
        <w:ind w:left="120"/>
      </w:pPr>
      <w:r>
        <w:rPr>
          <w:rFonts w:ascii="Arial" w:cs="Arial" w:eastAsia="Arial" w:hAnsi="Arial"/>
          <w:color w:val="5B6560"/>
          <w:sz w:val="18"/>
          <w:szCs w:val="18"/>
        </w:rPr>
        <w:t xml:space="preserve">Guidance: this is an editable starting text, not legal advice. Have it reviewed by the company’s legal adviser before use, and keep the signed copy under the reference number.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[Legal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Effective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Term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[12 months]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Account manager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Services covered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[Ocean freight / air freight / road / customs / warehousing – list the lanes and services.]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Service levels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802"/>
        <w:gridCol w:w="2851"/>
        <w:gridCol w:w="2851"/>
      </w:tblGrid>
      <w:tr>
        <w:trPr>
          <w:cantSplit/>
          <w:tblHeader/>
          <w:trHeight w:val="36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Measure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Target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How measured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Quotation reply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[1 working day]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Time from complete enquiry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Booking confirmation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[Same working day]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Carrier confirmation received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Document check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[Within 4 working hours]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Documents received complete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Milestone updates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[At every milestone]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Tracking record</w:t>
            </w:r>
          </w:p>
        </w:tc>
      </w:tr>
      <w:tr>
        <w:trPr>
          <w:cantSplit/>
          <w:trHeight w:val="340" w:hRule="atLeast"/>
        </w:trPr>
        <w:tc>
          <w:tcPr>
            <w:tcW w:type="dxa" w:w="380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Invoice accuracy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[100% match to quotation]</w:t>
            </w:r>
          </w:p>
        </w:tc>
        <w:tc>
          <w:tcPr>
            <w:tcW w:type="dxa" w:w="285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Queries per invoice</w:t>
            </w:r>
          </w:p>
        </w:tc>
      </w:tr>
    </w:tbl>
    <w:p>
      <w:pPr>
        <w:spacing w:after="60"/>
      </w:pP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Customer responsibilities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[Accurate information, documents before cut-off, payment on time.]</w:t>
      </w:r>
    </w:p>
    <w:p>
      <w:pPr>
        <w:keepNext/>
        <w:spacing w:after="90" w:before="260" w:line="269" w:lineRule="auto"/>
      </w:pPr>
      <w:r>
        <w:rPr>
          <w:rFonts w:ascii="Arial" w:cs="Arial" w:eastAsia="Arial" w:hAnsi="Arial"/>
          <w:b/>
          <w:bCs/>
          <w:sz w:val="22"/>
          <w:szCs w:val="22"/>
        </w:rPr>
        <w:t xml:space="preserve">Review</w:t>
      </w:r>
    </w:p>
    <w:p>
      <w:pPr>
        <w:spacing w:after="120" w:line="269" w:lineRule="auto"/>
        <w:jc w:val="left"/>
      </w:pPr>
      <w:r>
        <w:rPr>
          <w:rFonts w:ascii="Arial" w:cs="Arial" w:eastAsia="Arial" w:hAnsi="Arial"/>
          <w:sz w:val="21"/>
          <w:szCs w:val="21"/>
        </w:rPr>
        <w:t xml:space="preserve">Performance is reviewed every [quarter]. Service credits, if any: [state or “none”].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Elvora Shipping LLC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Customer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ELV-087  ·  Service Level Agreement (Customer)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ELV-087 Service Level Agreement (Customer)</dc:title>
  <dc:subject>07 Legal and Contracts</dc:subject>
  <dc:creator>Elvora Shipping LLC</dc:creator>
  <dc:description>Elvora Shipping LLC corporate template</dc:description>
  <cp:lastModifiedBy>Un-named</cp:lastModifiedBy>
  <cp:revision>1</cp:revision>
  <dcterms:created xsi:type="dcterms:W3CDTF">2026-10-15T05:41:50.755Z</dcterms:created>
  <dcterms:modified xsi:type="dcterms:W3CDTF">2026-10-15T05:41:50.755Z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