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0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Sub-contractor / Vendor Agreement</w:t>
      </w:r>
    </w:p>
    <w:p>
      <w:pPr>
        <w:pBdr>
          <w:left w:val="single" w:color="2B2F2D" w:sz="12" w:space="6"/>
        </w:pBdr>
        <w:shd w:fill="F1F3F2" w:color="auto" w:val="clear"/>
        <w:spacing w:after="120" w:before="80" w:line="269" w:lineRule="auto"/>
        <w:ind w:left="120"/>
      </w:pPr>
      <w:r>
        <w:rPr>
          <w:rFonts w:ascii="Arial" w:cs="Arial" w:eastAsia="Arial" w:hAnsi="Arial"/>
          <w:color w:val="5B6560"/>
          <w:sz w:val="18"/>
          <w:szCs w:val="18"/>
        </w:rPr>
        <w:t xml:space="preserve">Guidance: this is an editable starting text, not legal advice. Have it reviewed by the company’s legal adviser before use, and keep the signed copy under the reference number.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Vendor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[Legal name]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Trade licence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[Number]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Services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[Haulage / customs / warehousing / other]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Term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[From – to]</w:t>
            </w:r>
          </w:p>
        </w:tc>
      </w:tr>
    </w:tbl>
    <w:p>
      <w:pPr>
        <w:spacing w:after="60"/>
      </w:pP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Scope and standards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[Describe the services, vehicles/equipment, licences and permits required, and response times.]</w:t>
      </w: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Prices and payment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[Rates, currency, invoicing, payment days.]</w:t>
      </w: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Insurance and liability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[Vehicle, goods-in-transit and public liability insurance required; liability limits.]</w:t>
      </w: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Compliance</w:t>
      </w:r>
    </w:p>
    <w:p>
      <w:pPr>
        <w:pStyle w:val="ListParagraph"/>
        <w:numPr>
          <w:ilvl w:val="0"/>
          <w:numId w:val="2"/>
        </w:numPr>
        <w:spacing w:after="40" w:line="269" w:lineRule="auto"/>
      </w:pPr>
      <w:r>
        <w:rPr>
          <w:rFonts w:ascii="Arial" w:cs="Arial" w:eastAsia="Arial" w:hAnsi="Arial"/>
          <w:sz w:val="21"/>
          <w:szCs w:val="21"/>
        </w:rPr>
        <w:t xml:space="preserve">Valid trade licence and permits at all times</w:t>
      </w:r>
    </w:p>
    <w:p>
      <w:pPr>
        <w:pStyle w:val="ListParagraph"/>
        <w:numPr>
          <w:ilvl w:val="0"/>
          <w:numId w:val="2"/>
        </w:numPr>
        <w:spacing w:after="40" w:line="269" w:lineRule="auto"/>
      </w:pPr>
      <w:r>
        <w:rPr>
          <w:rFonts w:ascii="Arial" w:cs="Arial" w:eastAsia="Arial" w:hAnsi="Arial"/>
          <w:sz w:val="21"/>
          <w:szCs w:val="21"/>
        </w:rPr>
        <w:t xml:space="preserve">Drivers hold valid licences and IDs</w:t>
      </w:r>
    </w:p>
    <w:p>
      <w:pPr>
        <w:pStyle w:val="ListParagraph"/>
        <w:numPr>
          <w:ilvl w:val="0"/>
          <w:numId w:val="2"/>
        </w:numPr>
        <w:spacing w:after="40" w:line="269" w:lineRule="auto"/>
      </w:pPr>
      <w:r>
        <w:rPr>
          <w:rFonts w:ascii="Arial" w:cs="Arial" w:eastAsia="Arial" w:hAnsi="Arial"/>
          <w:sz w:val="21"/>
          <w:szCs w:val="21"/>
        </w:rPr>
        <w:t xml:space="preserve">Anti-bribery, sanctions and confidentiality obligations</w:t>
      </w:r>
    </w:p>
    <w:p>
      <w:pPr>
        <w:pStyle w:val="ListParagraph"/>
        <w:numPr>
          <w:ilvl w:val="0"/>
          <w:numId w:val="2"/>
        </w:numPr>
        <w:spacing w:after="40" w:line="269" w:lineRule="auto"/>
      </w:pPr>
      <w:r>
        <w:rPr>
          <w:rFonts w:ascii="Arial" w:cs="Arial" w:eastAsia="Arial" w:hAnsi="Arial"/>
          <w:sz w:val="21"/>
          <w:szCs w:val="21"/>
        </w:rPr>
        <w:t xml:space="preserve">Right for the Company to audit records and vehicles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4752"/>
        <w:gridCol w:w="4752"/>
      </w:tblGrid>
      <w:tr>
        <w:trPr>
          <w:cantSplit/>
        </w:trPr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Elvora Shipping LLC</w:t>
            </w:r>
          </w:p>
        </w:tc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Vendor</w:t>
            </w:r>
          </w:p>
        </w:tc>
      </w:tr>
      <w:tr>
        <w:trPr>
          <w:cantSplit/>
        </w:trPr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</w:tr>
      <w:tr>
        <w:trPr>
          <w:cantSplit/>
        </w:trPr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</w:tr>
    </w:tbl>
    <w:p>
      <w:pPr>
        <w:spacing w:after="60"/>
      </w:pP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ELV-088  ·  Sub-contractor / Vendor Agreement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6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  <w:num w:numId="2">
    <w:abstractNumId w:val="2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ELV-088 Sub-contractor / Vendor Agreement</dc:title>
  <dc:subject>07 Legal and Contracts</dc:subject>
  <dc:creator>Elvora Shipping LLC</dc:creator>
  <dc:description>Elvora Shipping LLC corporate template</dc:description>
  <cp:lastModifiedBy>Un-named</cp:lastModifiedBy>
  <cp:revision>1</cp:revision>
  <dcterms:created xsi:type="dcterms:W3CDTF">2026-10-15T05:41:50.815Z</dcterms:created>
  <dcterms:modified xsi:type="dcterms:W3CDTF">2026-10-15T05:41:50.815Z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