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15310" w14:textId="77777777" w:rsidR="00DA6EB7" w:rsidRDefault="00F368B5">
      <w:pPr>
        <w:pStyle w:val="Title"/>
        <w:jc w:val="center"/>
      </w:pPr>
      <w:r>
        <w:rPr>
          <w:rFonts w:ascii="Aptos Display" w:hAnsi="Aptos Display"/>
          <w:b/>
        </w:rPr>
        <w:t>Proofreading Notes</w:t>
      </w:r>
    </w:p>
    <w:p w14:paraId="785C5591" w14:textId="77777777" w:rsidR="00DA6EB7" w:rsidRDefault="00F368B5">
      <w:pPr>
        <w:jc w:val="center"/>
        <w:rPr>
          <w:rFonts w:hint="eastAsia"/>
        </w:rPr>
      </w:pPr>
      <w:r>
        <w:rPr>
          <w:b/>
          <w:sz w:val="23"/>
        </w:rPr>
        <w:t>Predicting Acute Food Insecurity with Machine Learning</w:t>
      </w:r>
    </w:p>
    <w:p w14:paraId="094B83D4" w14:textId="77777777" w:rsidR="00DA6EB7" w:rsidRDefault="00F368B5">
      <w:pPr>
        <w:jc w:val="center"/>
        <w:rPr>
          <w:rFonts w:hint="eastAsia"/>
        </w:rPr>
      </w:pPr>
      <w:r>
        <w:rPr>
          <w:i/>
          <w:color w:val="5A5A5A"/>
          <w:sz w:val="19"/>
        </w:rPr>
        <w:t>Review of the 42-page revised manuscript</w:t>
      </w:r>
    </w:p>
    <w:p w14:paraId="310D2213" w14:textId="77777777" w:rsidR="00DA6EB7" w:rsidRDefault="00F368B5">
      <w:pPr>
        <w:rPr>
          <w:rFonts w:hint="eastAsia"/>
        </w:rPr>
      </w:pPr>
      <w:r>
        <w:rPr>
          <w:b/>
        </w:rPr>
        <w:t xml:space="preserve">Summary. </w:t>
      </w:r>
      <w:r>
        <w:t>The manuscript is substantially improved, but several internal-consistency, formatting, and methodological-description issues should be corrected before resubmission. The highest-priority items are listed first, followed by language and presentation edits.</w:t>
      </w:r>
    </w:p>
    <w:p w14:paraId="5FE1065F" w14:textId="77777777" w:rsidR="00DA6EB7" w:rsidRDefault="00F368B5">
      <w:pPr>
        <w:pStyle w:val="Heading1"/>
      </w:pPr>
      <w:r>
        <w:t>1. Highest-priority corrections</w:t>
      </w:r>
    </w:p>
    <w:tbl>
      <w:tblPr>
        <w:tblStyle w:val="TableGrid"/>
        <w:tblW w:w="0" w:type="auto"/>
        <w:jc w:val="center"/>
        <w:tblLook w:val="04A0" w:firstRow="1" w:lastRow="0" w:firstColumn="1" w:lastColumn="0" w:noHBand="0" w:noVBand="1"/>
      </w:tblPr>
      <w:tblGrid>
        <w:gridCol w:w="1080"/>
        <w:gridCol w:w="4320"/>
        <w:gridCol w:w="4536"/>
      </w:tblGrid>
      <w:tr w:rsidR="00DA6EB7" w14:paraId="0688A574" w14:textId="77777777">
        <w:trPr>
          <w:tblHeader/>
          <w:jc w:val="center"/>
        </w:trPr>
        <w:tc>
          <w:tcPr>
            <w:tcW w:w="1080" w:type="dxa"/>
            <w:shd w:val="clear" w:color="auto" w:fill="D9EAF7"/>
            <w:tcMar>
              <w:top w:w="80" w:type="dxa"/>
              <w:left w:w="90" w:type="dxa"/>
              <w:bottom w:w="80" w:type="dxa"/>
              <w:right w:w="90" w:type="dxa"/>
            </w:tcMar>
            <w:vAlign w:val="center"/>
          </w:tcPr>
          <w:p w14:paraId="56BE51B0" w14:textId="77777777" w:rsidR="00DA6EB7" w:rsidRDefault="00F368B5">
            <w:pPr>
              <w:rPr>
                <w:rFonts w:hint="eastAsia"/>
              </w:rPr>
            </w:pPr>
            <w:r>
              <w:rPr>
                <w:b/>
                <w:sz w:val="19"/>
              </w:rPr>
              <w:t>Location</w:t>
            </w:r>
          </w:p>
        </w:tc>
        <w:tc>
          <w:tcPr>
            <w:tcW w:w="4320" w:type="dxa"/>
            <w:shd w:val="clear" w:color="auto" w:fill="D9EAF7"/>
            <w:tcMar>
              <w:top w:w="80" w:type="dxa"/>
              <w:left w:w="90" w:type="dxa"/>
              <w:bottom w:w="80" w:type="dxa"/>
              <w:right w:w="90" w:type="dxa"/>
            </w:tcMar>
            <w:vAlign w:val="center"/>
          </w:tcPr>
          <w:p w14:paraId="5E50AB58" w14:textId="77777777" w:rsidR="00DA6EB7" w:rsidRDefault="00F368B5">
            <w:pPr>
              <w:rPr>
                <w:rFonts w:hint="eastAsia"/>
              </w:rPr>
            </w:pPr>
            <w:r>
              <w:rPr>
                <w:b/>
                <w:sz w:val="19"/>
              </w:rPr>
              <w:t>Issue</w:t>
            </w:r>
          </w:p>
        </w:tc>
        <w:tc>
          <w:tcPr>
            <w:tcW w:w="4536" w:type="dxa"/>
            <w:shd w:val="clear" w:color="auto" w:fill="D9EAF7"/>
            <w:tcMar>
              <w:top w:w="80" w:type="dxa"/>
              <w:left w:w="90" w:type="dxa"/>
              <w:bottom w:w="80" w:type="dxa"/>
              <w:right w:w="90" w:type="dxa"/>
            </w:tcMar>
            <w:vAlign w:val="center"/>
          </w:tcPr>
          <w:p w14:paraId="57CA4A13" w14:textId="77777777" w:rsidR="00DA6EB7" w:rsidRDefault="00F368B5">
            <w:pPr>
              <w:rPr>
                <w:rFonts w:hint="eastAsia"/>
              </w:rPr>
            </w:pPr>
            <w:r>
              <w:rPr>
                <w:b/>
                <w:sz w:val="19"/>
              </w:rPr>
              <w:t>Recommended correction</w:t>
            </w:r>
          </w:p>
        </w:tc>
      </w:tr>
      <w:tr w:rsidR="00DA6EB7" w14:paraId="7689CB19" w14:textId="77777777">
        <w:trPr>
          <w:jc w:val="center"/>
        </w:trPr>
        <w:tc>
          <w:tcPr>
            <w:tcW w:w="1080" w:type="dxa"/>
            <w:tcMar>
              <w:top w:w="80" w:type="dxa"/>
              <w:left w:w="90" w:type="dxa"/>
              <w:bottom w:w="80" w:type="dxa"/>
              <w:right w:w="90" w:type="dxa"/>
            </w:tcMar>
          </w:tcPr>
          <w:p w14:paraId="434011DB" w14:textId="77777777" w:rsidR="00DA6EB7" w:rsidRDefault="00F368B5">
            <w:pPr>
              <w:spacing w:after="0" w:line="240" w:lineRule="auto"/>
              <w:rPr>
                <w:rFonts w:hint="eastAsia"/>
              </w:rPr>
            </w:pPr>
            <w:r>
              <w:rPr>
                <w:sz w:val="18"/>
              </w:rPr>
              <w:t>p. 2</w:t>
            </w:r>
          </w:p>
        </w:tc>
        <w:tc>
          <w:tcPr>
            <w:tcW w:w="4320" w:type="dxa"/>
            <w:tcMar>
              <w:top w:w="80" w:type="dxa"/>
              <w:left w:w="90" w:type="dxa"/>
              <w:bottom w:w="80" w:type="dxa"/>
              <w:right w:w="90" w:type="dxa"/>
            </w:tcMar>
          </w:tcPr>
          <w:p w14:paraId="0BF9D9AD" w14:textId="77777777" w:rsidR="00DA6EB7" w:rsidRDefault="00F368B5">
            <w:pPr>
              <w:spacing w:after="0" w:line="240" w:lineRule="auto"/>
              <w:rPr>
                <w:rFonts w:hint="eastAsia"/>
              </w:rPr>
            </w:pPr>
            <w:r>
              <w:rPr>
                <w:sz w:val="18"/>
              </w:rPr>
              <w:t>“geospatial and socioeconomic and environmental covariates”</w:t>
            </w:r>
          </w:p>
        </w:tc>
        <w:tc>
          <w:tcPr>
            <w:tcW w:w="4536" w:type="dxa"/>
            <w:tcMar>
              <w:top w:w="80" w:type="dxa"/>
              <w:left w:w="90" w:type="dxa"/>
              <w:bottom w:w="80" w:type="dxa"/>
              <w:right w:w="90" w:type="dxa"/>
            </w:tcMar>
          </w:tcPr>
          <w:p w14:paraId="0B207088" w14:textId="1600B7BC" w:rsidR="00DA6EB7" w:rsidRDefault="00F368B5">
            <w:pPr>
              <w:spacing w:after="0" w:line="240" w:lineRule="auto"/>
              <w:rPr>
                <w:rFonts w:hint="eastAsia"/>
              </w:rPr>
            </w:pPr>
            <w:r>
              <w:rPr>
                <w:sz w:val="18"/>
              </w:rPr>
              <w:t xml:space="preserve">Change to “geospatial, socioeconomic, and environmental </w:t>
            </w:r>
            <w:proofErr w:type="spellStart"/>
            <w:r>
              <w:rPr>
                <w:sz w:val="18"/>
              </w:rPr>
              <w:t>covariates.”</w:t>
            </w:r>
            <w:r w:rsidR="00104C3B">
              <w:rPr>
                <w:rFonts w:ascii="宋体" w:eastAsia="宋体" w:hAnsi="宋体" w:hint="eastAsia"/>
                <w:sz w:val="18"/>
                <w:lang w:eastAsia="zh-CN"/>
              </w:rPr>
              <w:t>x</w:t>
            </w:r>
            <w:proofErr w:type="spellEnd"/>
          </w:p>
        </w:tc>
      </w:tr>
      <w:tr w:rsidR="00DA6EB7" w14:paraId="26B136BA" w14:textId="77777777">
        <w:trPr>
          <w:jc w:val="center"/>
        </w:trPr>
        <w:tc>
          <w:tcPr>
            <w:tcW w:w="1080" w:type="dxa"/>
            <w:tcMar>
              <w:top w:w="80" w:type="dxa"/>
              <w:left w:w="90" w:type="dxa"/>
              <w:bottom w:w="80" w:type="dxa"/>
              <w:right w:w="90" w:type="dxa"/>
            </w:tcMar>
          </w:tcPr>
          <w:p w14:paraId="1F41790B" w14:textId="77777777" w:rsidR="00DA6EB7" w:rsidRDefault="00F368B5">
            <w:pPr>
              <w:spacing w:after="0" w:line="240" w:lineRule="auto"/>
              <w:rPr>
                <w:rFonts w:hint="eastAsia"/>
              </w:rPr>
            </w:pPr>
            <w:r>
              <w:rPr>
                <w:sz w:val="18"/>
              </w:rPr>
              <w:t>p. 13</w:t>
            </w:r>
          </w:p>
        </w:tc>
        <w:tc>
          <w:tcPr>
            <w:tcW w:w="4320" w:type="dxa"/>
            <w:tcMar>
              <w:top w:w="80" w:type="dxa"/>
              <w:left w:w="90" w:type="dxa"/>
              <w:bottom w:w="80" w:type="dxa"/>
              <w:right w:w="90" w:type="dxa"/>
            </w:tcMar>
          </w:tcPr>
          <w:p w14:paraId="2DCD5152" w14:textId="77777777" w:rsidR="00DA6EB7" w:rsidRDefault="00F368B5">
            <w:pPr>
              <w:spacing w:after="0" w:line="240" w:lineRule="auto"/>
              <w:rPr>
                <w:rFonts w:hint="eastAsia"/>
              </w:rPr>
            </w:pPr>
            <w:r>
              <w:rPr>
                <w:sz w:val="18"/>
              </w:rPr>
              <w:t>Hyperparameter sentence contains: “all hyperparameter combinations … are evaluated exhaustively. and the tuning …”</w:t>
            </w:r>
          </w:p>
        </w:tc>
        <w:tc>
          <w:tcPr>
            <w:tcW w:w="4536" w:type="dxa"/>
            <w:tcMar>
              <w:top w:w="80" w:type="dxa"/>
              <w:left w:w="90" w:type="dxa"/>
              <w:bottom w:w="80" w:type="dxa"/>
              <w:right w:w="90" w:type="dxa"/>
            </w:tcMar>
          </w:tcPr>
          <w:p w14:paraId="38B584B7" w14:textId="5FBFBB7F" w:rsidR="00DA6EB7" w:rsidRPr="00104C3B" w:rsidRDefault="00F368B5">
            <w:pPr>
              <w:spacing w:after="0" w:line="240" w:lineRule="auto"/>
              <w:rPr>
                <w:rFonts w:eastAsia="宋体" w:hint="eastAsia"/>
                <w:lang w:eastAsia="zh-CN"/>
              </w:rPr>
            </w:pPr>
            <w:r>
              <w:rPr>
                <w:sz w:val="18"/>
              </w:rPr>
              <w:t>Delete the stray period or rewrite as one grammatical sentence.</w:t>
            </w:r>
            <w:r w:rsidR="00104C3B">
              <w:rPr>
                <w:rFonts w:eastAsia="宋体" w:hint="eastAsia"/>
                <w:sz w:val="18"/>
                <w:lang w:eastAsia="zh-CN"/>
              </w:rPr>
              <w:t xml:space="preserve"> x</w:t>
            </w:r>
          </w:p>
        </w:tc>
      </w:tr>
      <w:tr w:rsidR="00DA6EB7" w14:paraId="6A9667E0" w14:textId="77777777">
        <w:trPr>
          <w:jc w:val="center"/>
        </w:trPr>
        <w:tc>
          <w:tcPr>
            <w:tcW w:w="1080" w:type="dxa"/>
            <w:tcMar>
              <w:top w:w="80" w:type="dxa"/>
              <w:left w:w="90" w:type="dxa"/>
              <w:bottom w:w="80" w:type="dxa"/>
              <w:right w:w="90" w:type="dxa"/>
            </w:tcMar>
          </w:tcPr>
          <w:p w14:paraId="778D33AA" w14:textId="77777777" w:rsidR="00DA6EB7" w:rsidRDefault="00F368B5">
            <w:pPr>
              <w:spacing w:after="0" w:line="240" w:lineRule="auto"/>
              <w:rPr>
                <w:rFonts w:hint="eastAsia"/>
              </w:rPr>
            </w:pPr>
            <w:r>
              <w:rPr>
                <w:sz w:val="18"/>
              </w:rPr>
              <w:t>pp. 12–13</w:t>
            </w:r>
          </w:p>
        </w:tc>
        <w:tc>
          <w:tcPr>
            <w:tcW w:w="4320" w:type="dxa"/>
            <w:tcMar>
              <w:top w:w="80" w:type="dxa"/>
              <w:left w:w="90" w:type="dxa"/>
              <w:bottom w:w="80" w:type="dxa"/>
              <w:right w:w="90" w:type="dxa"/>
            </w:tcMar>
          </w:tcPr>
          <w:p w14:paraId="7F040680" w14:textId="77777777" w:rsidR="00DA6EB7" w:rsidRDefault="00F368B5">
            <w:pPr>
              <w:spacing w:after="0" w:line="240" w:lineRule="auto"/>
              <w:rPr>
                <w:rFonts w:hint="eastAsia"/>
              </w:rPr>
            </w:pPr>
            <w:r>
              <w:rPr>
                <w:sz w:val="18"/>
              </w:rPr>
              <w:t>The text correctly calls the folds “validation folds,” but then uses “tests on 2018,” “previous test period,” and “test window.”</w:t>
            </w:r>
          </w:p>
        </w:tc>
        <w:tc>
          <w:tcPr>
            <w:tcW w:w="4536" w:type="dxa"/>
            <w:tcMar>
              <w:top w:w="80" w:type="dxa"/>
              <w:left w:w="90" w:type="dxa"/>
              <w:bottom w:w="80" w:type="dxa"/>
              <w:right w:w="90" w:type="dxa"/>
            </w:tcMar>
          </w:tcPr>
          <w:p w14:paraId="587A658B" w14:textId="75C7DECF" w:rsidR="00DA6EB7" w:rsidRPr="00104C3B" w:rsidRDefault="00F368B5">
            <w:pPr>
              <w:spacing w:after="0" w:line="240" w:lineRule="auto"/>
              <w:rPr>
                <w:rFonts w:eastAsia="宋体" w:hint="eastAsia"/>
                <w:lang w:eastAsia="zh-CN"/>
              </w:rPr>
            </w:pPr>
            <w:r>
              <w:rPr>
                <w:sz w:val="18"/>
              </w:rPr>
              <w:t>Use “validation” consistently for 2018–2021 and reserve “test/holdout” for the 2022 final evaluation.</w:t>
            </w:r>
            <w:r w:rsidR="00104C3B">
              <w:rPr>
                <w:rFonts w:eastAsia="宋体" w:hint="eastAsia"/>
                <w:sz w:val="18"/>
                <w:lang w:eastAsia="zh-CN"/>
              </w:rPr>
              <w:t xml:space="preserve"> x</w:t>
            </w:r>
          </w:p>
        </w:tc>
      </w:tr>
      <w:tr w:rsidR="00DA6EB7" w14:paraId="3ED3A620" w14:textId="77777777">
        <w:trPr>
          <w:jc w:val="center"/>
        </w:trPr>
        <w:tc>
          <w:tcPr>
            <w:tcW w:w="1080" w:type="dxa"/>
            <w:tcMar>
              <w:top w:w="80" w:type="dxa"/>
              <w:left w:w="90" w:type="dxa"/>
              <w:bottom w:w="80" w:type="dxa"/>
              <w:right w:w="90" w:type="dxa"/>
            </w:tcMar>
          </w:tcPr>
          <w:p w14:paraId="271BE92C" w14:textId="77777777" w:rsidR="00DA6EB7" w:rsidRDefault="00F368B5">
            <w:pPr>
              <w:spacing w:after="0" w:line="240" w:lineRule="auto"/>
              <w:rPr>
                <w:rFonts w:hint="eastAsia"/>
              </w:rPr>
            </w:pPr>
            <w:r>
              <w:rPr>
                <w:sz w:val="18"/>
              </w:rPr>
              <w:t>p. 13 / Supp. Notes</w:t>
            </w:r>
          </w:p>
        </w:tc>
        <w:tc>
          <w:tcPr>
            <w:tcW w:w="4320" w:type="dxa"/>
            <w:tcMar>
              <w:top w:w="80" w:type="dxa"/>
              <w:left w:w="90" w:type="dxa"/>
              <w:bottom w:w="80" w:type="dxa"/>
              <w:right w:w="90" w:type="dxa"/>
            </w:tcMar>
          </w:tcPr>
          <w:p w14:paraId="74CD0CEE" w14:textId="77777777" w:rsidR="00DA6EB7" w:rsidRDefault="00F368B5">
            <w:pPr>
              <w:spacing w:after="0" w:line="240" w:lineRule="auto"/>
              <w:rPr>
                <w:rFonts w:hint="eastAsia"/>
              </w:rPr>
            </w:pPr>
            <w:r>
              <w:rPr>
                <w:sz w:val="18"/>
              </w:rPr>
              <w:t>Methods describe a “weighted average” of four metrics, while the Supplementary Notes give the actual score: Accuracy + Precision + 5 × Sensitivity + R²(Phase 3+).</w:t>
            </w:r>
          </w:p>
        </w:tc>
        <w:tc>
          <w:tcPr>
            <w:tcW w:w="4536" w:type="dxa"/>
            <w:tcMar>
              <w:top w:w="80" w:type="dxa"/>
              <w:left w:w="90" w:type="dxa"/>
              <w:bottom w:w="80" w:type="dxa"/>
              <w:right w:w="90" w:type="dxa"/>
            </w:tcMar>
          </w:tcPr>
          <w:p w14:paraId="7975FF64" w14:textId="7286D961" w:rsidR="00DA6EB7" w:rsidRPr="00104C3B" w:rsidRDefault="00F368B5">
            <w:pPr>
              <w:spacing w:after="0" w:line="240" w:lineRule="auto"/>
              <w:rPr>
                <w:rFonts w:eastAsia="宋体" w:hint="eastAsia"/>
                <w:lang w:eastAsia="zh-CN"/>
              </w:rPr>
            </w:pPr>
            <w:r>
              <w:rPr>
                <w:sz w:val="18"/>
              </w:rPr>
              <w:t>Make the Methods match the actual selection rule and state the formula explicitly.</w:t>
            </w:r>
            <w:r w:rsidR="00104C3B">
              <w:rPr>
                <w:rFonts w:eastAsia="宋体" w:hint="eastAsia"/>
                <w:sz w:val="18"/>
                <w:lang w:eastAsia="zh-CN"/>
              </w:rPr>
              <w:t xml:space="preserve"> </w:t>
            </w:r>
            <w:r w:rsidR="00D6553E">
              <w:rPr>
                <w:rFonts w:eastAsia="宋体" w:hint="eastAsia"/>
                <w:sz w:val="18"/>
                <w:lang w:eastAsia="zh-CN"/>
              </w:rPr>
              <w:t>x</w:t>
            </w:r>
          </w:p>
        </w:tc>
      </w:tr>
      <w:tr w:rsidR="00DA6EB7" w14:paraId="4FDF9D7A" w14:textId="77777777">
        <w:trPr>
          <w:jc w:val="center"/>
        </w:trPr>
        <w:tc>
          <w:tcPr>
            <w:tcW w:w="1080" w:type="dxa"/>
            <w:tcMar>
              <w:top w:w="80" w:type="dxa"/>
              <w:left w:w="90" w:type="dxa"/>
              <w:bottom w:w="80" w:type="dxa"/>
              <w:right w:w="90" w:type="dxa"/>
            </w:tcMar>
          </w:tcPr>
          <w:p w14:paraId="5898EAC5" w14:textId="77777777" w:rsidR="00DA6EB7" w:rsidRDefault="00F368B5">
            <w:pPr>
              <w:spacing w:after="0" w:line="240" w:lineRule="auto"/>
              <w:rPr>
                <w:rFonts w:hint="eastAsia"/>
              </w:rPr>
            </w:pPr>
            <w:r>
              <w:rPr>
                <w:sz w:val="18"/>
              </w:rPr>
              <w:t>p. 13</w:t>
            </w:r>
          </w:p>
        </w:tc>
        <w:tc>
          <w:tcPr>
            <w:tcW w:w="4320" w:type="dxa"/>
            <w:tcMar>
              <w:top w:w="80" w:type="dxa"/>
              <w:left w:w="90" w:type="dxa"/>
              <w:bottom w:w="80" w:type="dxa"/>
              <w:right w:w="90" w:type="dxa"/>
            </w:tcMar>
          </w:tcPr>
          <w:p w14:paraId="7D737CE7" w14:textId="77777777" w:rsidR="00DA6EB7" w:rsidRDefault="00F368B5">
            <w:pPr>
              <w:spacing w:after="0" w:line="240" w:lineRule="auto"/>
              <w:rPr>
                <w:rFonts w:hint="eastAsia"/>
              </w:rPr>
            </w:pPr>
            <w:r>
              <w:rPr>
                <w:sz w:val="18"/>
              </w:rPr>
              <w:t>“IPC handbook [2]”</w:t>
            </w:r>
          </w:p>
        </w:tc>
        <w:tc>
          <w:tcPr>
            <w:tcW w:w="4536" w:type="dxa"/>
            <w:tcMar>
              <w:top w:w="80" w:type="dxa"/>
              <w:left w:w="90" w:type="dxa"/>
              <w:bottom w:w="80" w:type="dxa"/>
              <w:right w:w="90" w:type="dxa"/>
            </w:tcMar>
          </w:tcPr>
          <w:p w14:paraId="528B94FD" w14:textId="2187BACE" w:rsidR="00DA6EB7" w:rsidRPr="00D6553E" w:rsidRDefault="00F368B5">
            <w:pPr>
              <w:spacing w:after="0" w:line="240" w:lineRule="auto"/>
              <w:rPr>
                <w:rFonts w:eastAsia="宋体" w:hint="eastAsia"/>
                <w:lang w:eastAsia="zh-CN"/>
              </w:rPr>
            </w:pPr>
            <w:r>
              <w:rPr>
                <w:sz w:val="18"/>
              </w:rPr>
              <w:t>If the technical manual is intended, change to “IPC Technical Manual [3].” Reference [2] is the IPC brochure.</w:t>
            </w:r>
            <w:r w:rsidR="00D6553E">
              <w:rPr>
                <w:rFonts w:eastAsia="宋体" w:hint="eastAsia"/>
                <w:sz w:val="18"/>
                <w:lang w:eastAsia="zh-CN"/>
              </w:rPr>
              <w:t xml:space="preserve"> </w:t>
            </w:r>
            <w:r w:rsidR="00D6553E">
              <w:rPr>
                <w:rFonts w:eastAsia="宋体"/>
                <w:sz w:val="18"/>
                <w:lang w:eastAsia="zh-CN"/>
              </w:rPr>
              <w:t>X</w:t>
            </w:r>
            <w:r w:rsidR="00D6553E">
              <w:rPr>
                <w:rFonts w:eastAsia="宋体" w:hint="eastAsia"/>
                <w:sz w:val="18"/>
                <w:lang w:eastAsia="zh-CN"/>
              </w:rPr>
              <w:t xml:space="preserve"> </w:t>
            </w:r>
          </w:p>
        </w:tc>
      </w:tr>
      <w:tr w:rsidR="00DA6EB7" w14:paraId="1FA45B75" w14:textId="77777777">
        <w:trPr>
          <w:jc w:val="center"/>
        </w:trPr>
        <w:tc>
          <w:tcPr>
            <w:tcW w:w="1080" w:type="dxa"/>
            <w:tcMar>
              <w:top w:w="80" w:type="dxa"/>
              <w:left w:w="90" w:type="dxa"/>
              <w:bottom w:w="80" w:type="dxa"/>
              <w:right w:w="90" w:type="dxa"/>
            </w:tcMar>
          </w:tcPr>
          <w:p w14:paraId="50A93CEB" w14:textId="77777777" w:rsidR="00DA6EB7" w:rsidRDefault="00F368B5">
            <w:pPr>
              <w:spacing w:after="0" w:line="240" w:lineRule="auto"/>
              <w:rPr>
                <w:rFonts w:hint="eastAsia"/>
              </w:rPr>
            </w:pPr>
            <w:r>
              <w:rPr>
                <w:sz w:val="18"/>
              </w:rPr>
              <w:t>p. 15</w:t>
            </w:r>
          </w:p>
        </w:tc>
        <w:tc>
          <w:tcPr>
            <w:tcW w:w="4320" w:type="dxa"/>
            <w:tcMar>
              <w:top w:w="80" w:type="dxa"/>
              <w:left w:w="90" w:type="dxa"/>
              <w:bottom w:w="80" w:type="dxa"/>
              <w:right w:w="90" w:type="dxa"/>
            </w:tcMar>
          </w:tcPr>
          <w:p w14:paraId="0792D6EB" w14:textId="77777777" w:rsidR="00DA6EB7" w:rsidRDefault="00F368B5">
            <w:pPr>
              <w:spacing w:after="0" w:line="240" w:lineRule="auto"/>
              <w:rPr>
                <w:rFonts w:hint="eastAsia"/>
              </w:rPr>
            </w:pPr>
            <w:r>
              <w:rPr>
                <w:sz w:val="18"/>
              </w:rPr>
              <w:t>EPSG:4326 is described as a projected CRS.</w:t>
            </w:r>
          </w:p>
        </w:tc>
        <w:tc>
          <w:tcPr>
            <w:tcW w:w="4536" w:type="dxa"/>
            <w:tcMar>
              <w:top w:w="80" w:type="dxa"/>
              <w:left w:w="90" w:type="dxa"/>
              <w:bottom w:w="80" w:type="dxa"/>
              <w:right w:w="90" w:type="dxa"/>
            </w:tcMar>
          </w:tcPr>
          <w:p w14:paraId="274BBD27" w14:textId="4466EA17" w:rsidR="00DA6EB7" w:rsidRPr="00D6553E" w:rsidRDefault="00F368B5">
            <w:pPr>
              <w:spacing w:after="0" w:line="240" w:lineRule="auto"/>
              <w:rPr>
                <w:rFonts w:eastAsia="宋体" w:hint="eastAsia"/>
                <w:lang w:eastAsia="zh-CN"/>
              </w:rPr>
            </w:pPr>
            <w:r>
              <w:rPr>
                <w:sz w:val="18"/>
              </w:rPr>
              <w:t>Change to “a common geographic coordinate reference system (EPSG:4326).”</w:t>
            </w:r>
            <w:r w:rsidR="00D6553E">
              <w:rPr>
                <w:rFonts w:eastAsia="宋体" w:hint="eastAsia"/>
                <w:sz w:val="18"/>
                <w:lang w:eastAsia="zh-CN"/>
              </w:rPr>
              <w:t xml:space="preserve">x </w:t>
            </w:r>
          </w:p>
        </w:tc>
      </w:tr>
      <w:tr w:rsidR="00DA6EB7" w14:paraId="4F28556A" w14:textId="77777777">
        <w:trPr>
          <w:jc w:val="center"/>
        </w:trPr>
        <w:tc>
          <w:tcPr>
            <w:tcW w:w="1080" w:type="dxa"/>
            <w:tcMar>
              <w:top w:w="80" w:type="dxa"/>
              <w:left w:w="90" w:type="dxa"/>
              <w:bottom w:w="80" w:type="dxa"/>
              <w:right w:w="90" w:type="dxa"/>
            </w:tcMar>
          </w:tcPr>
          <w:p w14:paraId="7F556C9E" w14:textId="77777777" w:rsidR="00DA6EB7" w:rsidRDefault="00F368B5">
            <w:pPr>
              <w:spacing w:after="0" w:line="240" w:lineRule="auto"/>
              <w:rPr>
                <w:rFonts w:hint="eastAsia"/>
              </w:rPr>
            </w:pPr>
            <w:r>
              <w:rPr>
                <w:sz w:val="18"/>
              </w:rPr>
              <w:t>pp. 15 &amp; 40</w:t>
            </w:r>
          </w:p>
        </w:tc>
        <w:tc>
          <w:tcPr>
            <w:tcW w:w="4320" w:type="dxa"/>
            <w:tcMar>
              <w:top w:w="80" w:type="dxa"/>
              <w:left w:w="90" w:type="dxa"/>
              <w:bottom w:w="80" w:type="dxa"/>
              <w:right w:w="90" w:type="dxa"/>
            </w:tcMar>
          </w:tcPr>
          <w:p w14:paraId="0B34F6CB" w14:textId="77777777" w:rsidR="00DA6EB7" w:rsidRDefault="00F368B5">
            <w:pPr>
              <w:spacing w:after="0" w:line="240" w:lineRule="auto"/>
              <w:rPr>
                <w:rFonts w:hint="eastAsia"/>
              </w:rPr>
            </w:pPr>
            <w:r>
              <w:rPr>
                <w:sz w:val="18"/>
              </w:rPr>
              <w:t>Main text says elevation comes from ERA5; Supplementary Table 4 lists ESA.</w:t>
            </w:r>
          </w:p>
        </w:tc>
        <w:tc>
          <w:tcPr>
            <w:tcW w:w="4536" w:type="dxa"/>
            <w:tcMar>
              <w:top w:w="80" w:type="dxa"/>
              <w:left w:w="90" w:type="dxa"/>
              <w:bottom w:w="80" w:type="dxa"/>
              <w:right w:w="90" w:type="dxa"/>
            </w:tcMar>
          </w:tcPr>
          <w:p w14:paraId="09EC73EF" w14:textId="207BA9FA" w:rsidR="00DA6EB7" w:rsidRPr="00D6553E" w:rsidRDefault="00F368B5">
            <w:pPr>
              <w:spacing w:after="0" w:line="240" w:lineRule="auto"/>
              <w:rPr>
                <w:rFonts w:eastAsia="宋体" w:hint="eastAsia"/>
                <w:lang w:eastAsia="zh-CN"/>
              </w:rPr>
            </w:pPr>
            <w:r>
              <w:rPr>
                <w:sz w:val="18"/>
              </w:rPr>
              <w:t>Verify the actual elevation source and make the main text and Supplementary Table 4 consistent.</w:t>
            </w:r>
            <w:r w:rsidR="00D6553E">
              <w:rPr>
                <w:rFonts w:eastAsia="宋体" w:hint="eastAsia"/>
                <w:sz w:val="18"/>
                <w:lang w:eastAsia="zh-CN"/>
              </w:rPr>
              <w:t xml:space="preserve"> x</w:t>
            </w:r>
          </w:p>
        </w:tc>
      </w:tr>
      <w:tr w:rsidR="00DA6EB7" w14:paraId="3D775660" w14:textId="77777777">
        <w:trPr>
          <w:jc w:val="center"/>
        </w:trPr>
        <w:tc>
          <w:tcPr>
            <w:tcW w:w="1080" w:type="dxa"/>
            <w:tcMar>
              <w:top w:w="80" w:type="dxa"/>
              <w:left w:w="90" w:type="dxa"/>
              <w:bottom w:w="80" w:type="dxa"/>
              <w:right w:w="90" w:type="dxa"/>
            </w:tcMar>
          </w:tcPr>
          <w:p w14:paraId="5961A92F" w14:textId="77777777" w:rsidR="00DA6EB7" w:rsidRDefault="00F368B5">
            <w:pPr>
              <w:spacing w:after="0" w:line="240" w:lineRule="auto"/>
              <w:rPr>
                <w:rFonts w:hint="eastAsia"/>
              </w:rPr>
            </w:pPr>
            <w:r>
              <w:rPr>
                <w:sz w:val="18"/>
              </w:rPr>
              <w:t>p. 17</w:t>
            </w:r>
          </w:p>
        </w:tc>
        <w:tc>
          <w:tcPr>
            <w:tcW w:w="4320" w:type="dxa"/>
            <w:tcMar>
              <w:top w:w="80" w:type="dxa"/>
              <w:left w:w="90" w:type="dxa"/>
              <w:bottom w:w="80" w:type="dxa"/>
              <w:right w:w="90" w:type="dxa"/>
            </w:tcMar>
          </w:tcPr>
          <w:p w14:paraId="12A45C93" w14:textId="77777777" w:rsidR="00DA6EB7" w:rsidRDefault="00F368B5">
            <w:pPr>
              <w:spacing w:after="0" w:line="240" w:lineRule="auto"/>
              <w:rPr>
                <w:rFonts w:hint="eastAsia"/>
              </w:rPr>
            </w:pPr>
            <w:r>
              <w:rPr>
                <w:sz w:val="18"/>
              </w:rPr>
              <w:t>Temperature construction is internally inconsistent: the first list defines rolling mean, rolling SD, and z-score; the next sentence calls the “three metrics” the original monthly mean, rolling mean, and z-score.</w:t>
            </w:r>
          </w:p>
        </w:tc>
        <w:tc>
          <w:tcPr>
            <w:tcW w:w="4536" w:type="dxa"/>
            <w:tcMar>
              <w:top w:w="80" w:type="dxa"/>
              <w:left w:w="90" w:type="dxa"/>
              <w:bottom w:w="80" w:type="dxa"/>
              <w:right w:w="90" w:type="dxa"/>
            </w:tcMar>
          </w:tcPr>
          <w:p w14:paraId="4680277A" w14:textId="54DCCC16" w:rsidR="00DA6EB7" w:rsidRPr="00D6553E" w:rsidRDefault="00F368B5">
            <w:pPr>
              <w:spacing w:after="0" w:line="240" w:lineRule="auto"/>
              <w:rPr>
                <w:rFonts w:eastAsia="宋体" w:hint="eastAsia"/>
                <w:lang w:eastAsia="zh-CN"/>
              </w:rPr>
            </w:pPr>
            <w:r>
              <w:rPr>
                <w:sz w:val="18"/>
              </w:rPr>
              <w:t xml:space="preserve">Verify which temperature variables are </w:t>
            </w:r>
            <w:proofErr w:type="gramStart"/>
            <w:r>
              <w:rPr>
                <w:sz w:val="18"/>
              </w:rPr>
              <w:t>actually lagged</w:t>
            </w:r>
            <w:proofErr w:type="gramEnd"/>
            <w:r>
              <w:rPr>
                <w:sz w:val="18"/>
              </w:rPr>
              <w:t xml:space="preserve"> and rewrite the list consistently.</w:t>
            </w:r>
            <w:r w:rsidR="00D6553E">
              <w:rPr>
                <w:rFonts w:eastAsia="宋体" w:hint="eastAsia"/>
                <w:sz w:val="18"/>
                <w:lang w:eastAsia="zh-CN"/>
              </w:rPr>
              <w:t xml:space="preserve"> x</w:t>
            </w:r>
          </w:p>
        </w:tc>
      </w:tr>
      <w:tr w:rsidR="00DA6EB7" w14:paraId="0FAD468F" w14:textId="77777777">
        <w:trPr>
          <w:jc w:val="center"/>
        </w:trPr>
        <w:tc>
          <w:tcPr>
            <w:tcW w:w="1080" w:type="dxa"/>
            <w:tcMar>
              <w:top w:w="80" w:type="dxa"/>
              <w:left w:w="90" w:type="dxa"/>
              <w:bottom w:w="80" w:type="dxa"/>
              <w:right w:w="90" w:type="dxa"/>
            </w:tcMar>
          </w:tcPr>
          <w:p w14:paraId="26397FA9" w14:textId="77777777" w:rsidR="00DA6EB7" w:rsidRDefault="00F368B5">
            <w:pPr>
              <w:spacing w:after="0" w:line="240" w:lineRule="auto"/>
              <w:rPr>
                <w:rFonts w:hint="eastAsia"/>
              </w:rPr>
            </w:pPr>
            <w:r>
              <w:rPr>
                <w:sz w:val="18"/>
              </w:rPr>
              <w:t>p. 17</w:t>
            </w:r>
          </w:p>
        </w:tc>
        <w:tc>
          <w:tcPr>
            <w:tcW w:w="4320" w:type="dxa"/>
            <w:tcMar>
              <w:top w:w="80" w:type="dxa"/>
              <w:left w:w="90" w:type="dxa"/>
              <w:bottom w:w="80" w:type="dxa"/>
              <w:right w:w="90" w:type="dxa"/>
            </w:tcMar>
          </w:tcPr>
          <w:p w14:paraId="06E3479F" w14:textId="77777777" w:rsidR="00DA6EB7" w:rsidRDefault="00F368B5">
            <w:pPr>
              <w:spacing w:after="0" w:line="240" w:lineRule="auto"/>
              <w:rPr>
                <w:rFonts w:hint="eastAsia"/>
              </w:rPr>
            </w:pPr>
            <w:r>
              <w:rPr>
                <w:sz w:val="18"/>
              </w:rPr>
              <w:t>Precipitation wording: “the standard deviation of the 12 monthly” and “add 12 months lag.”</w:t>
            </w:r>
          </w:p>
        </w:tc>
        <w:tc>
          <w:tcPr>
            <w:tcW w:w="4536" w:type="dxa"/>
            <w:tcMar>
              <w:top w:w="80" w:type="dxa"/>
              <w:left w:w="90" w:type="dxa"/>
              <w:bottom w:w="80" w:type="dxa"/>
              <w:right w:w="90" w:type="dxa"/>
            </w:tcMar>
          </w:tcPr>
          <w:p w14:paraId="583F4E57" w14:textId="30C7B44A" w:rsidR="00DA6EB7" w:rsidRPr="00D6553E" w:rsidRDefault="00F368B5">
            <w:pPr>
              <w:spacing w:after="0" w:line="240" w:lineRule="auto"/>
              <w:rPr>
                <w:rFonts w:eastAsia="宋体" w:hint="eastAsia"/>
                <w:lang w:eastAsia="zh-CN"/>
              </w:rPr>
            </w:pPr>
            <w:r>
              <w:rPr>
                <w:sz w:val="18"/>
              </w:rPr>
              <w:t>Use “the 12-month rolling standard deviation” and “construct 12-month-lagged versions.”</w:t>
            </w:r>
            <w:r w:rsidR="00D6553E">
              <w:rPr>
                <w:rFonts w:eastAsia="宋体" w:hint="eastAsia"/>
                <w:sz w:val="18"/>
                <w:lang w:eastAsia="zh-CN"/>
              </w:rPr>
              <w:t xml:space="preserve"> x</w:t>
            </w:r>
          </w:p>
        </w:tc>
      </w:tr>
      <w:tr w:rsidR="00DA6EB7" w14:paraId="3E104C58" w14:textId="77777777">
        <w:trPr>
          <w:jc w:val="center"/>
        </w:trPr>
        <w:tc>
          <w:tcPr>
            <w:tcW w:w="1080" w:type="dxa"/>
            <w:tcMar>
              <w:top w:w="80" w:type="dxa"/>
              <w:left w:w="90" w:type="dxa"/>
              <w:bottom w:w="80" w:type="dxa"/>
              <w:right w:w="90" w:type="dxa"/>
            </w:tcMar>
          </w:tcPr>
          <w:p w14:paraId="0578A575" w14:textId="77777777" w:rsidR="00DA6EB7" w:rsidRDefault="00F368B5">
            <w:pPr>
              <w:spacing w:after="0" w:line="240" w:lineRule="auto"/>
              <w:rPr>
                <w:rFonts w:hint="eastAsia"/>
              </w:rPr>
            </w:pPr>
            <w:r>
              <w:rPr>
                <w:sz w:val="18"/>
              </w:rPr>
              <w:t>pp. 18, 26 &amp; 40</w:t>
            </w:r>
          </w:p>
        </w:tc>
        <w:tc>
          <w:tcPr>
            <w:tcW w:w="4320" w:type="dxa"/>
            <w:tcMar>
              <w:top w:w="80" w:type="dxa"/>
              <w:left w:w="90" w:type="dxa"/>
              <w:bottom w:w="80" w:type="dxa"/>
              <w:right w:w="90" w:type="dxa"/>
            </w:tcMar>
          </w:tcPr>
          <w:p w14:paraId="00703440" w14:textId="77777777" w:rsidR="00DA6EB7" w:rsidRDefault="00F368B5">
            <w:pPr>
              <w:spacing w:after="0" w:line="240" w:lineRule="auto"/>
              <w:rPr>
                <w:rFonts w:hint="eastAsia"/>
              </w:rPr>
            </w:pPr>
            <w:r>
              <w:rPr>
                <w:sz w:val="18"/>
              </w:rPr>
              <w:t>Methods and Supplementary Table 4 identify DMSP-OLS night lights, while Fig. 2 labels predictors as VIIRS Nightlight.</w:t>
            </w:r>
          </w:p>
        </w:tc>
        <w:tc>
          <w:tcPr>
            <w:tcW w:w="4536" w:type="dxa"/>
            <w:tcMar>
              <w:top w:w="80" w:type="dxa"/>
              <w:left w:w="90" w:type="dxa"/>
              <w:bottom w:w="80" w:type="dxa"/>
              <w:right w:w="90" w:type="dxa"/>
            </w:tcMar>
          </w:tcPr>
          <w:p w14:paraId="6B913E4F" w14:textId="06FD67F9" w:rsidR="00DA6EB7" w:rsidRPr="00D6553E" w:rsidRDefault="00F368B5">
            <w:pPr>
              <w:spacing w:after="0" w:line="240" w:lineRule="auto"/>
              <w:rPr>
                <w:rFonts w:eastAsia="宋体" w:hint="eastAsia"/>
                <w:lang w:eastAsia="zh-CN"/>
              </w:rPr>
            </w:pPr>
            <w:r>
              <w:rPr>
                <w:sz w:val="18"/>
              </w:rPr>
              <w:t>Verify the actual night-light dataset and standardize the source and terminology throughout.</w:t>
            </w:r>
            <w:r w:rsidR="00D6553E">
              <w:rPr>
                <w:rFonts w:eastAsia="宋体" w:hint="eastAsia"/>
                <w:sz w:val="18"/>
                <w:lang w:eastAsia="zh-CN"/>
              </w:rPr>
              <w:t xml:space="preserve"> x</w:t>
            </w:r>
          </w:p>
        </w:tc>
      </w:tr>
      <w:tr w:rsidR="00DA6EB7" w14:paraId="5C7F6AF7" w14:textId="77777777">
        <w:trPr>
          <w:jc w:val="center"/>
        </w:trPr>
        <w:tc>
          <w:tcPr>
            <w:tcW w:w="1080" w:type="dxa"/>
            <w:tcMar>
              <w:top w:w="80" w:type="dxa"/>
              <w:left w:w="90" w:type="dxa"/>
              <w:bottom w:w="80" w:type="dxa"/>
              <w:right w:w="90" w:type="dxa"/>
            </w:tcMar>
          </w:tcPr>
          <w:p w14:paraId="124DA3B7" w14:textId="77777777" w:rsidR="00DA6EB7" w:rsidRDefault="00F368B5">
            <w:pPr>
              <w:spacing w:after="0" w:line="240" w:lineRule="auto"/>
              <w:rPr>
                <w:rFonts w:hint="eastAsia"/>
              </w:rPr>
            </w:pPr>
            <w:r>
              <w:rPr>
                <w:sz w:val="18"/>
              </w:rPr>
              <w:t>pp. 19, 24 &amp; 40</w:t>
            </w:r>
          </w:p>
        </w:tc>
        <w:tc>
          <w:tcPr>
            <w:tcW w:w="4320" w:type="dxa"/>
            <w:tcMar>
              <w:top w:w="80" w:type="dxa"/>
              <w:left w:w="90" w:type="dxa"/>
              <w:bottom w:w="80" w:type="dxa"/>
              <w:right w:w="90" w:type="dxa"/>
            </w:tcMar>
          </w:tcPr>
          <w:p w14:paraId="478E4B7E" w14:textId="77777777" w:rsidR="00DA6EB7" w:rsidRDefault="00F368B5">
            <w:pPr>
              <w:spacing w:after="0" w:line="240" w:lineRule="auto"/>
              <w:rPr>
                <w:rFonts w:hint="eastAsia"/>
              </w:rPr>
            </w:pPr>
            <w:r>
              <w:rPr>
                <w:sz w:val="18"/>
              </w:rPr>
              <w:t>Agro-Ecological Zones (AEZ) are attributed to reference [35], but [35] is the WorldCereal paper.</w:t>
            </w:r>
          </w:p>
        </w:tc>
        <w:tc>
          <w:tcPr>
            <w:tcW w:w="4536" w:type="dxa"/>
            <w:tcMar>
              <w:top w:w="80" w:type="dxa"/>
              <w:left w:w="90" w:type="dxa"/>
              <w:bottom w:w="80" w:type="dxa"/>
              <w:right w:w="90" w:type="dxa"/>
            </w:tcMar>
          </w:tcPr>
          <w:p w14:paraId="38F2FA77" w14:textId="52D1A3E0" w:rsidR="00DA6EB7" w:rsidRPr="00D6553E" w:rsidRDefault="00F368B5">
            <w:pPr>
              <w:spacing w:after="0" w:line="240" w:lineRule="auto"/>
              <w:rPr>
                <w:rFonts w:eastAsia="宋体" w:hint="eastAsia"/>
                <w:lang w:eastAsia="zh-CN"/>
              </w:rPr>
            </w:pPr>
            <w:r>
              <w:rPr>
                <w:sz w:val="18"/>
              </w:rPr>
              <w:t>Verify the AEZ source and replace the citation/data-source entry if needed.</w:t>
            </w:r>
            <w:r w:rsidR="00D6553E">
              <w:rPr>
                <w:rFonts w:eastAsia="宋体" w:hint="eastAsia"/>
                <w:sz w:val="18"/>
                <w:lang w:eastAsia="zh-CN"/>
              </w:rPr>
              <w:t xml:space="preserve"> x</w:t>
            </w:r>
          </w:p>
        </w:tc>
      </w:tr>
      <w:tr w:rsidR="00DA6EB7" w14:paraId="2942BE8B" w14:textId="77777777">
        <w:trPr>
          <w:jc w:val="center"/>
        </w:trPr>
        <w:tc>
          <w:tcPr>
            <w:tcW w:w="1080" w:type="dxa"/>
            <w:tcMar>
              <w:top w:w="80" w:type="dxa"/>
              <w:left w:w="90" w:type="dxa"/>
              <w:bottom w:w="80" w:type="dxa"/>
              <w:right w:w="90" w:type="dxa"/>
            </w:tcMar>
          </w:tcPr>
          <w:p w14:paraId="1F37675D" w14:textId="77777777" w:rsidR="00DA6EB7" w:rsidRDefault="00F368B5">
            <w:pPr>
              <w:spacing w:after="0" w:line="240" w:lineRule="auto"/>
              <w:rPr>
                <w:rFonts w:hint="eastAsia"/>
              </w:rPr>
            </w:pPr>
            <w:r>
              <w:rPr>
                <w:sz w:val="18"/>
              </w:rPr>
              <w:t>p. 22</w:t>
            </w:r>
          </w:p>
        </w:tc>
        <w:tc>
          <w:tcPr>
            <w:tcW w:w="4320" w:type="dxa"/>
            <w:tcMar>
              <w:top w:w="80" w:type="dxa"/>
              <w:left w:w="90" w:type="dxa"/>
              <w:bottom w:w="80" w:type="dxa"/>
              <w:right w:w="90" w:type="dxa"/>
            </w:tcMar>
          </w:tcPr>
          <w:p w14:paraId="2B852843" w14:textId="77777777" w:rsidR="00DA6EB7" w:rsidRDefault="00F368B5">
            <w:pPr>
              <w:spacing w:after="0" w:line="240" w:lineRule="auto"/>
              <w:rPr>
                <w:rFonts w:hint="eastAsia"/>
              </w:rPr>
            </w:pPr>
            <w:r>
              <w:rPr>
                <w:sz w:val="18"/>
              </w:rPr>
              <w:t>The Gaza and Sudan sentence cites [5,6], but reference [6] is about African food supply chains rather than Sudan.</w:t>
            </w:r>
          </w:p>
        </w:tc>
        <w:tc>
          <w:tcPr>
            <w:tcW w:w="4536" w:type="dxa"/>
            <w:tcMar>
              <w:top w:w="80" w:type="dxa"/>
              <w:left w:w="90" w:type="dxa"/>
              <w:bottom w:w="80" w:type="dxa"/>
              <w:right w:w="90" w:type="dxa"/>
            </w:tcMar>
          </w:tcPr>
          <w:p w14:paraId="2E666523" w14:textId="34C394D6" w:rsidR="00DA6EB7" w:rsidRPr="00D6553E" w:rsidRDefault="00F368B5">
            <w:pPr>
              <w:spacing w:after="0" w:line="240" w:lineRule="auto"/>
              <w:rPr>
                <w:rFonts w:eastAsia="宋体" w:hint="eastAsia"/>
                <w:lang w:eastAsia="zh-CN"/>
              </w:rPr>
            </w:pPr>
            <w:r>
              <w:rPr>
                <w:sz w:val="18"/>
              </w:rPr>
              <w:t>Replace or correct the Sudan citation.</w:t>
            </w:r>
            <w:r w:rsidR="00D6553E">
              <w:rPr>
                <w:rFonts w:eastAsia="宋体" w:hint="eastAsia"/>
                <w:sz w:val="18"/>
                <w:lang w:eastAsia="zh-CN"/>
              </w:rPr>
              <w:t xml:space="preserve"> </w:t>
            </w:r>
            <w:r w:rsidR="00F324AF">
              <w:rPr>
                <w:rFonts w:eastAsia="宋体" w:hint="eastAsia"/>
                <w:sz w:val="18"/>
                <w:lang w:eastAsia="zh-CN"/>
              </w:rPr>
              <w:t>x</w:t>
            </w:r>
          </w:p>
        </w:tc>
      </w:tr>
      <w:tr w:rsidR="00DA6EB7" w14:paraId="29575DDA" w14:textId="77777777">
        <w:trPr>
          <w:jc w:val="center"/>
        </w:trPr>
        <w:tc>
          <w:tcPr>
            <w:tcW w:w="1080" w:type="dxa"/>
            <w:tcMar>
              <w:top w:w="80" w:type="dxa"/>
              <w:left w:w="90" w:type="dxa"/>
              <w:bottom w:w="80" w:type="dxa"/>
              <w:right w:w="90" w:type="dxa"/>
            </w:tcMar>
          </w:tcPr>
          <w:p w14:paraId="00949146" w14:textId="77777777" w:rsidR="00DA6EB7" w:rsidRDefault="00F368B5">
            <w:pPr>
              <w:spacing w:after="0" w:line="240" w:lineRule="auto"/>
              <w:rPr>
                <w:rFonts w:hint="eastAsia"/>
              </w:rPr>
            </w:pPr>
            <w:r>
              <w:rPr>
                <w:sz w:val="18"/>
              </w:rPr>
              <w:t>p. 30</w:t>
            </w:r>
          </w:p>
        </w:tc>
        <w:tc>
          <w:tcPr>
            <w:tcW w:w="4320" w:type="dxa"/>
            <w:tcMar>
              <w:top w:w="80" w:type="dxa"/>
              <w:left w:w="90" w:type="dxa"/>
              <w:bottom w:w="80" w:type="dxa"/>
              <w:right w:w="90" w:type="dxa"/>
            </w:tcMar>
          </w:tcPr>
          <w:p w14:paraId="5E95D570" w14:textId="77777777" w:rsidR="00DA6EB7" w:rsidRDefault="00F368B5">
            <w:pPr>
              <w:spacing w:after="0" w:line="240" w:lineRule="auto"/>
              <w:rPr>
                <w:rFonts w:hint="eastAsia"/>
              </w:rPr>
            </w:pPr>
            <w:r>
              <w:rPr>
                <w:sz w:val="18"/>
              </w:rPr>
              <w:t>Heading reads “Supplementary Figures)”.</w:t>
            </w:r>
          </w:p>
        </w:tc>
        <w:tc>
          <w:tcPr>
            <w:tcW w:w="4536" w:type="dxa"/>
            <w:tcMar>
              <w:top w:w="80" w:type="dxa"/>
              <w:left w:w="90" w:type="dxa"/>
              <w:bottom w:w="80" w:type="dxa"/>
              <w:right w:w="90" w:type="dxa"/>
            </w:tcMar>
          </w:tcPr>
          <w:p w14:paraId="352A0D92" w14:textId="4E31AF81" w:rsidR="00DA6EB7" w:rsidRPr="00F324AF" w:rsidRDefault="00F368B5">
            <w:pPr>
              <w:spacing w:after="0" w:line="240" w:lineRule="auto"/>
              <w:rPr>
                <w:rFonts w:eastAsia="宋体" w:hint="eastAsia"/>
                <w:lang w:eastAsia="zh-CN"/>
              </w:rPr>
            </w:pPr>
            <w:r>
              <w:rPr>
                <w:sz w:val="18"/>
              </w:rPr>
              <w:t xml:space="preserve">Delete the closing </w:t>
            </w:r>
            <w:proofErr w:type="spellStart"/>
            <w:r>
              <w:rPr>
                <w:sz w:val="18"/>
              </w:rPr>
              <w:t>parenthesis.</w:t>
            </w:r>
            <w:r w:rsidR="00F324AF">
              <w:rPr>
                <w:rFonts w:eastAsia="宋体" w:hint="eastAsia"/>
                <w:sz w:val="18"/>
                <w:lang w:eastAsia="zh-CN"/>
              </w:rPr>
              <w:t>x</w:t>
            </w:r>
            <w:proofErr w:type="spellEnd"/>
          </w:p>
        </w:tc>
      </w:tr>
      <w:tr w:rsidR="00DA6EB7" w14:paraId="784219E7" w14:textId="77777777">
        <w:trPr>
          <w:jc w:val="center"/>
        </w:trPr>
        <w:tc>
          <w:tcPr>
            <w:tcW w:w="1080" w:type="dxa"/>
            <w:tcMar>
              <w:top w:w="80" w:type="dxa"/>
              <w:left w:w="90" w:type="dxa"/>
              <w:bottom w:w="80" w:type="dxa"/>
              <w:right w:w="90" w:type="dxa"/>
            </w:tcMar>
          </w:tcPr>
          <w:p w14:paraId="17B8366F" w14:textId="77777777" w:rsidR="00DA6EB7" w:rsidRDefault="00F368B5">
            <w:pPr>
              <w:spacing w:after="0" w:line="240" w:lineRule="auto"/>
              <w:rPr>
                <w:rFonts w:hint="eastAsia"/>
              </w:rPr>
            </w:pPr>
            <w:r>
              <w:rPr>
                <w:sz w:val="18"/>
              </w:rPr>
              <w:t>p. 31</w:t>
            </w:r>
          </w:p>
        </w:tc>
        <w:tc>
          <w:tcPr>
            <w:tcW w:w="4320" w:type="dxa"/>
            <w:tcMar>
              <w:top w:w="80" w:type="dxa"/>
              <w:left w:w="90" w:type="dxa"/>
              <w:bottom w:w="80" w:type="dxa"/>
              <w:right w:w="90" w:type="dxa"/>
            </w:tcMar>
          </w:tcPr>
          <w:p w14:paraId="110D09AF" w14:textId="77777777" w:rsidR="00DA6EB7" w:rsidRDefault="00F368B5">
            <w:pPr>
              <w:spacing w:after="0" w:line="240" w:lineRule="auto"/>
              <w:rPr>
                <w:rFonts w:hint="eastAsia"/>
              </w:rPr>
            </w:pPr>
            <w:r>
              <w:rPr>
                <w:sz w:val="18"/>
              </w:rPr>
              <w:t>A standalone “Supplementary Tables” heading appears between Supplementary Figs. 1 and 2.</w:t>
            </w:r>
          </w:p>
        </w:tc>
        <w:tc>
          <w:tcPr>
            <w:tcW w:w="4536" w:type="dxa"/>
            <w:tcMar>
              <w:top w:w="80" w:type="dxa"/>
              <w:left w:w="90" w:type="dxa"/>
              <w:bottom w:w="80" w:type="dxa"/>
              <w:right w:w="90" w:type="dxa"/>
            </w:tcMar>
          </w:tcPr>
          <w:p w14:paraId="3C392B62" w14:textId="645CFFF8" w:rsidR="00DA6EB7" w:rsidRPr="00F324AF" w:rsidRDefault="00F368B5">
            <w:pPr>
              <w:spacing w:after="0" w:line="240" w:lineRule="auto"/>
              <w:rPr>
                <w:rFonts w:eastAsia="宋体" w:hint="eastAsia"/>
                <w:lang w:eastAsia="zh-CN"/>
              </w:rPr>
            </w:pPr>
            <w:r>
              <w:rPr>
                <w:sz w:val="18"/>
              </w:rPr>
              <w:t xml:space="preserve">Move the heading to immediately before Supplementary Table </w:t>
            </w:r>
            <w:proofErr w:type="gramStart"/>
            <w:r>
              <w:rPr>
                <w:sz w:val="18"/>
              </w:rPr>
              <w:t>1, or</w:t>
            </w:r>
            <w:proofErr w:type="gramEnd"/>
            <w:r>
              <w:rPr>
                <w:sz w:val="18"/>
              </w:rPr>
              <w:t xml:space="preserve"> remove it here.</w:t>
            </w:r>
            <w:r w:rsidR="00F324AF">
              <w:rPr>
                <w:rFonts w:eastAsia="宋体" w:hint="eastAsia"/>
                <w:sz w:val="18"/>
                <w:lang w:eastAsia="zh-CN"/>
              </w:rPr>
              <w:t xml:space="preserve"> x</w:t>
            </w:r>
          </w:p>
        </w:tc>
      </w:tr>
      <w:tr w:rsidR="00DA6EB7" w14:paraId="4559945E" w14:textId="77777777">
        <w:trPr>
          <w:jc w:val="center"/>
        </w:trPr>
        <w:tc>
          <w:tcPr>
            <w:tcW w:w="1080" w:type="dxa"/>
            <w:tcMar>
              <w:top w:w="80" w:type="dxa"/>
              <w:left w:w="90" w:type="dxa"/>
              <w:bottom w:w="80" w:type="dxa"/>
              <w:right w:w="90" w:type="dxa"/>
            </w:tcMar>
          </w:tcPr>
          <w:p w14:paraId="1AE8A1D0" w14:textId="77777777" w:rsidR="00DA6EB7" w:rsidRDefault="00F368B5">
            <w:pPr>
              <w:spacing w:after="0" w:line="240" w:lineRule="auto"/>
              <w:rPr>
                <w:rFonts w:hint="eastAsia"/>
              </w:rPr>
            </w:pPr>
            <w:r>
              <w:rPr>
                <w:sz w:val="18"/>
              </w:rPr>
              <w:lastRenderedPageBreak/>
              <w:t>p. 33</w:t>
            </w:r>
          </w:p>
        </w:tc>
        <w:tc>
          <w:tcPr>
            <w:tcW w:w="4320" w:type="dxa"/>
            <w:tcMar>
              <w:top w:w="80" w:type="dxa"/>
              <w:left w:w="90" w:type="dxa"/>
              <w:bottom w:w="80" w:type="dxa"/>
              <w:right w:w="90" w:type="dxa"/>
            </w:tcMar>
          </w:tcPr>
          <w:p w14:paraId="69947BCE" w14:textId="77777777" w:rsidR="00DA6EB7" w:rsidRDefault="00F368B5">
            <w:pPr>
              <w:spacing w:after="0" w:line="240" w:lineRule="auto"/>
              <w:rPr>
                <w:rFonts w:hint="eastAsia"/>
              </w:rPr>
            </w:pPr>
            <w:r>
              <w:rPr>
                <w:sz w:val="18"/>
              </w:rPr>
              <w:t>Supplementary Fig. 3 notes say 2017–2022 are split into “training and test sets,” although the figure shows training/validation folds for 2017–2021 and a separate 2022 holdout.</w:t>
            </w:r>
          </w:p>
        </w:tc>
        <w:tc>
          <w:tcPr>
            <w:tcW w:w="4536" w:type="dxa"/>
            <w:tcMar>
              <w:top w:w="80" w:type="dxa"/>
              <w:left w:w="90" w:type="dxa"/>
              <w:bottom w:w="80" w:type="dxa"/>
              <w:right w:w="90" w:type="dxa"/>
            </w:tcMar>
          </w:tcPr>
          <w:p w14:paraId="005E867A" w14:textId="2308C2FA" w:rsidR="00DA6EB7" w:rsidRPr="00F324AF" w:rsidRDefault="00F368B5">
            <w:pPr>
              <w:spacing w:after="0" w:line="240" w:lineRule="auto"/>
              <w:rPr>
                <w:rFonts w:eastAsia="宋体" w:hint="eastAsia"/>
                <w:lang w:eastAsia="zh-CN"/>
              </w:rPr>
            </w:pPr>
            <w:r>
              <w:rPr>
                <w:sz w:val="18"/>
              </w:rPr>
              <w:t>Rewrite the note to distinguish training, validation, and final holdout explicitly.</w:t>
            </w:r>
            <w:r w:rsidR="00F324AF">
              <w:rPr>
                <w:rFonts w:eastAsia="宋体" w:hint="eastAsia"/>
                <w:sz w:val="18"/>
                <w:lang w:eastAsia="zh-CN"/>
              </w:rPr>
              <w:t xml:space="preserve"> x</w:t>
            </w:r>
          </w:p>
        </w:tc>
      </w:tr>
      <w:tr w:rsidR="00DA6EB7" w14:paraId="5E77D1DE" w14:textId="77777777">
        <w:trPr>
          <w:jc w:val="center"/>
        </w:trPr>
        <w:tc>
          <w:tcPr>
            <w:tcW w:w="1080" w:type="dxa"/>
            <w:tcMar>
              <w:top w:w="80" w:type="dxa"/>
              <w:left w:w="90" w:type="dxa"/>
              <w:bottom w:w="80" w:type="dxa"/>
              <w:right w:w="90" w:type="dxa"/>
            </w:tcMar>
          </w:tcPr>
          <w:p w14:paraId="189DADC6" w14:textId="77777777" w:rsidR="00DA6EB7" w:rsidRDefault="00F368B5">
            <w:pPr>
              <w:spacing w:after="0" w:line="240" w:lineRule="auto"/>
              <w:rPr>
                <w:rFonts w:hint="eastAsia"/>
              </w:rPr>
            </w:pPr>
            <w:r>
              <w:rPr>
                <w:sz w:val="18"/>
              </w:rPr>
              <w:t>p. 41</w:t>
            </w:r>
          </w:p>
        </w:tc>
        <w:tc>
          <w:tcPr>
            <w:tcW w:w="4320" w:type="dxa"/>
            <w:tcMar>
              <w:top w:w="80" w:type="dxa"/>
              <w:left w:w="90" w:type="dxa"/>
              <w:bottom w:w="80" w:type="dxa"/>
              <w:right w:w="90" w:type="dxa"/>
            </w:tcMar>
          </w:tcPr>
          <w:p w14:paraId="74203BB3" w14:textId="77777777" w:rsidR="00DA6EB7" w:rsidRDefault="00F368B5">
            <w:pPr>
              <w:spacing w:after="0" w:line="240" w:lineRule="auto"/>
              <w:rPr>
                <w:rFonts w:hint="eastAsia"/>
              </w:rPr>
            </w:pPr>
            <w:r>
              <w:rPr>
                <w:sz w:val="18"/>
              </w:rPr>
              <w:t>Unresolved editing marker: “evaluation[YL2.1]”.</w:t>
            </w:r>
          </w:p>
        </w:tc>
        <w:tc>
          <w:tcPr>
            <w:tcW w:w="4536" w:type="dxa"/>
            <w:tcMar>
              <w:top w:w="80" w:type="dxa"/>
              <w:left w:w="90" w:type="dxa"/>
              <w:bottom w:w="80" w:type="dxa"/>
              <w:right w:w="90" w:type="dxa"/>
            </w:tcMar>
          </w:tcPr>
          <w:p w14:paraId="139F39C4" w14:textId="26AA7DA5" w:rsidR="00DA6EB7" w:rsidRPr="00F324AF" w:rsidRDefault="00F368B5">
            <w:pPr>
              <w:spacing w:after="0" w:line="240" w:lineRule="auto"/>
              <w:rPr>
                <w:rFonts w:eastAsia="宋体" w:hint="eastAsia"/>
                <w:lang w:eastAsia="zh-CN"/>
              </w:rPr>
            </w:pPr>
            <w:r>
              <w:rPr>
                <w:sz w:val="18"/>
              </w:rPr>
              <w:t>Delete the comment/editing marker.</w:t>
            </w:r>
            <w:r w:rsidR="00F324AF">
              <w:rPr>
                <w:rFonts w:eastAsia="宋体" w:hint="eastAsia"/>
                <w:sz w:val="18"/>
                <w:lang w:eastAsia="zh-CN"/>
              </w:rPr>
              <w:t xml:space="preserve"> x</w:t>
            </w:r>
          </w:p>
        </w:tc>
      </w:tr>
      <w:tr w:rsidR="00DA6EB7" w14:paraId="13A7BFF0" w14:textId="77777777">
        <w:trPr>
          <w:jc w:val="center"/>
        </w:trPr>
        <w:tc>
          <w:tcPr>
            <w:tcW w:w="1080" w:type="dxa"/>
            <w:tcMar>
              <w:top w:w="80" w:type="dxa"/>
              <w:left w:w="90" w:type="dxa"/>
              <w:bottom w:w="80" w:type="dxa"/>
              <w:right w:w="90" w:type="dxa"/>
            </w:tcMar>
          </w:tcPr>
          <w:p w14:paraId="35BB1E4C" w14:textId="77777777" w:rsidR="00DA6EB7" w:rsidRDefault="00F368B5">
            <w:pPr>
              <w:spacing w:after="0" w:line="240" w:lineRule="auto"/>
              <w:rPr>
                <w:rFonts w:hint="eastAsia"/>
              </w:rPr>
            </w:pPr>
            <w:r>
              <w:rPr>
                <w:sz w:val="18"/>
              </w:rPr>
              <w:t>p. 41</w:t>
            </w:r>
          </w:p>
        </w:tc>
        <w:tc>
          <w:tcPr>
            <w:tcW w:w="4320" w:type="dxa"/>
            <w:tcMar>
              <w:top w:w="80" w:type="dxa"/>
              <w:left w:w="90" w:type="dxa"/>
              <w:bottom w:w="80" w:type="dxa"/>
              <w:right w:w="90" w:type="dxa"/>
            </w:tcMar>
          </w:tcPr>
          <w:p w14:paraId="66860B9F" w14:textId="77777777" w:rsidR="00DA6EB7" w:rsidRDefault="00F368B5">
            <w:pPr>
              <w:spacing w:after="0" w:line="240" w:lineRule="auto"/>
              <w:rPr>
                <w:rFonts w:hint="eastAsia"/>
              </w:rPr>
            </w:pPr>
            <w:r>
              <w:rPr>
                <w:sz w:val="18"/>
              </w:rPr>
              <w:t>The selection-score equation renders as “5 × textSensitivity”.</w:t>
            </w:r>
          </w:p>
        </w:tc>
        <w:tc>
          <w:tcPr>
            <w:tcW w:w="4536" w:type="dxa"/>
            <w:tcMar>
              <w:top w:w="80" w:type="dxa"/>
              <w:left w:w="90" w:type="dxa"/>
              <w:bottom w:w="80" w:type="dxa"/>
              <w:right w:w="90" w:type="dxa"/>
            </w:tcMar>
          </w:tcPr>
          <w:p w14:paraId="3F78AD93" w14:textId="04E00356" w:rsidR="00DA6EB7" w:rsidRPr="00F324AF" w:rsidRDefault="00F368B5">
            <w:pPr>
              <w:spacing w:after="0" w:line="240" w:lineRule="auto"/>
              <w:rPr>
                <w:rFonts w:eastAsia="宋体" w:hint="eastAsia"/>
                <w:lang w:eastAsia="zh-CN"/>
              </w:rPr>
            </w:pPr>
            <w:r>
              <w:rPr>
                <w:sz w:val="18"/>
              </w:rPr>
              <w:t>Fix the LaTeX so it renders as 5 × Sensitivity.</w:t>
            </w:r>
            <w:r w:rsidR="00F324AF">
              <w:rPr>
                <w:rFonts w:eastAsia="宋体" w:hint="eastAsia"/>
                <w:sz w:val="18"/>
                <w:lang w:eastAsia="zh-CN"/>
              </w:rPr>
              <w:t xml:space="preserve"> x</w:t>
            </w:r>
          </w:p>
        </w:tc>
      </w:tr>
      <w:tr w:rsidR="00DA6EB7" w14:paraId="56B23D5C" w14:textId="77777777">
        <w:trPr>
          <w:jc w:val="center"/>
        </w:trPr>
        <w:tc>
          <w:tcPr>
            <w:tcW w:w="1080" w:type="dxa"/>
            <w:tcMar>
              <w:top w:w="80" w:type="dxa"/>
              <w:left w:w="90" w:type="dxa"/>
              <w:bottom w:w="80" w:type="dxa"/>
              <w:right w:w="90" w:type="dxa"/>
            </w:tcMar>
          </w:tcPr>
          <w:p w14:paraId="257B245E" w14:textId="77777777" w:rsidR="00DA6EB7" w:rsidRDefault="00F368B5">
            <w:pPr>
              <w:spacing w:after="0" w:line="240" w:lineRule="auto"/>
              <w:rPr>
                <w:rFonts w:hint="eastAsia"/>
              </w:rPr>
            </w:pPr>
            <w:r>
              <w:rPr>
                <w:sz w:val="18"/>
              </w:rPr>
              <w:t>pp. 41–42</w:t>
            </w:r>
          </w:p>
        </w:tc>
        <w:tc>
          <w:tcPr>
            <w:tcW w:w="4320" w:type="dxa"/>
            <w:tcMar>
              <w:top w:w="80" w:type="dxa"/>
              <w:left w:w="90" w:type="dxa"/>
              <w:bottom w:w="80" w:type="dxa"/>
              <w:right w:w="90" w:type="dxa"/>
            </w:tcMar>
          </w:tcPr>
          <w:p w14:paraId="002EFD40" w14:textId="77777777" w:rsidR="00DA6EB7" w:rsidRDefault="00F368B5">
            <w:pPr>
              <w:spacing w:after="0" w:line="240" w:lineRule="auto"/>
              <w:rPr>
                <w:rFonts w:hint="eastAsia"/>
              </w:rPr>
            </w:pPr>
            <w:r>
              <w:rPr>
                <w:sz w:val="18"/>
              </w:rPr>
              <w:t>Text says Supplementary Table 5 reports final effective parameter values, but Table 5 currently reports only the hyperparameter search space.</w:t>
            </w:r>
          </w:p>
        </w:tc>
        <w:tc>
          <w:tcPr>
            <w:tcW w:w="4536" w:type="dxa"/>
            <w:tcMar>
              <w:top w:w="80" w:type="dxa"/>
              <w:left w:w="90" w:type="dxa"/>
              <w:bottom w:w="80" w:type="dxa"/>
              <w:right w:w="90" w:type="dxa"/>
            </w:tcMar>
          </w:tcPr>
          <w:p w14:paraId="25B61E39" w14:textId="5652EB62" w:rsidR="00DA6EB7" w:rsidRPr="00F324AF" w:rsidRDefault="00F368B5">
            <w:pPr>
              <w:spacing w:after="0" w:line="240" w:lineRule="auto"/>
              <w:rPr>
                <w:rFonts w:eastAsia="宋体" w:hint="eastAsia"/>
                <w:lang w:eastAsia="zh-CN"/>
              </w:rPr>
            </w:pPr>
            <w:r>
              <w:rPr>
                <w:sz w:val="18"/>
              </w:rPr>
              <w:t>Either add the final effective values to Supplementary Table 5 or change the text to accurately describe the table.</w:t>
            </w:r>
            <w:r w:rsidR="00F324AF">
              <w:rPr>
                <w:rFonts w:eastAsia="宋体" w:hint="eastAsia"/>
                <w:sz w:val="18"/>
                <w:lang w:eastAsia="zh-CN"/>
              </w:rPr>
              <w:t xml:space="preserve"> </w:t>
            </w:r>
            <w:r w:rsidR="00D461A6">
              <w:rPr>
                <w:rFonts w:eastAsia="宋体" w:hint="eastAsia"/>
                <w:sz w:val="18"/>
                <w:lang w:eastAsia="zh-CN"/>
              </w:rPr>
              <w:t>x</w:t>
            </w:r>
          </w:p>
        </w:tc>
      </w:tr>
    </w:tbl>
    <w:p w14:paraId="0EE8D3AF" w14:textId="77777777" w:rsidR="00DA6EB7" w:rsidRDefault="00F368B5">
      <w:pPr>
        <w:pStyle w:val="Heading1"/>
      </w:pPr>
      <w:r>
        <w:t>2. Language and style edits</w:t>
      </w:r>
    </w:p>
    <w:p w14:paraId="150D8B36" w14:textId="461CEA77" w:rsidR="00DA6EB7" w:rsidRDefault="00F368B5">
      <w:pPr>
        <w:pStyle w:val="ListBullet"/>
        <w:rPr>
          <w:rFonts w:hint="eastAsia"/>
        </w:rPr>
      </w:pPr>
      <w:r>
        <w:rPr>
          <w:b/>
        </w:rPr>
        <w:t xml:space="preserve">p. 5: </w:t>
      </w:r>
      <w:r>
        <w:t>Change “the geographic information represented by the coordinate” to “the geographic information represented by the coordinates.”</w:t>
      </w:r>
      <w:r w:rsidR="00D461A6">
        <w:rPr>
          <w:rFonts w:eastAsia="宋体" w:hint="eastAsia"/>
          <w:lang w:eastAsia="zh-CN"/>
        </w:rPr>
        <w:t xml:space="preserve"> </w:t>
      </w:r>
    </w:p>
    <w:p w14:paraId="43A257A8" w14:textId="77777777" w:rsidR="00DA6EB7" w:rsidRDefault="00F368B5">
      <w:pPr>
        <w:pStyle w:val="ListBullet"/>
        <w:rPr>
          <w:rFonts w:hint="eastAsia"/>
        </w:rPr>
      </w:pPr>
      <w:r>
        <w:rPr>
          <w:b/>
        </w:rPr>
        <w:t xml:space="preserve">p. 5: </w:t>
      </w:r>
      <w:r>
        <w:t>Change “variables such as temperature, shortwave radiation, and soil pH gain influence” to “variables such as temperature, shortwave radiation, and soil pH become more influential.”</w:t>
      </w:r>
    </w:p>
    <w:p w14:paraId="460994FC" w14:textId="77777777" w:rsidR="00DA6EB7" w:rsidRDefault="00F368B5">
      <w:pPr>
        <w:pStyle w:val="ListBullet"/>
        <w:rPr>
          <w:rFonts w:hint="eastAsia"/>
        </w:rPr>
      </w:pPr>
      <w:r>
        <w:rPr>
          <w:b/>
        </w:rPr>
        <w:t xml:space="preserve">p. 5: </w:t>
      </w:r>
      <w:r>
        <w:t>Replace “although given the deployed methodology we cannot affirm causality” with “although our analysis does not establish causal relationships.”</w:t>
      </w:r>
    </w:p>
    <w:p w14:paraId="78A54FED" w14:textId="77777777" w:rsidR="00DA6EB7" w:rsidRDefault="00F368B5">
      <w:pPr>
        <w:pStyle w:val="ListBullet"/>
        <w:rPr>
          <w:rFonts w:hint="eastAsia"/>
        </w:rPr>
      </w:pPr>
      <w:r>
        <w:rPr>
          <w:b/>
        </w:rPr>
        <w:t xml:space="preserve">p. 6: </w:t>
      </w:r>
      <w:r>
        <w:t>Consider softening “underscore the critical need for real-time monitoring …” to “underscore the potential value of timely monitoring of local food prices and nightlight intensity …”</w:t>
      </w:r>
    </w:p>
    <w:p w14:paraId="78F822C4" w14:textId="77777777" w:rsidR="00DA6EB7" w:rsidRDefault="00F368B5">
      <w:pPr>
        <w:pStyle w:val="ListBullet"/>
        <w:rPr>
          <w:rFonts w:hint="eastAsia"/>
        </w:rPr>
      </w:pPr>
      <w:r>
        <w:rPr>
          <w:b/>
        </w:rPr>
        <w:t xml:space="preserve">p. 10: </w:t>
      </w:r>
      <w:r>
        <w:t>Given the editor’s request to temper conclusions, consider changing “These results demonstrate the feasibility …” to “These results illustrate the potential of using timely monitoring of risk factors to forecast food crises …”</w:t>
      </w:r>
    </w:p>
    <w:p w14:paraId="625ABA27" w14:textId="77777777" w:rsidR="00DA6EB7" w:rsidRDefault="00F368B5">
      <w:pPr>
        <w:pStyle w:val="Heading1"/>
      </w:pPr>
      <w:r>
        <w:t>3. Methods wording</w:t>
      </w:r>
    </w:p>
    <w:p w14:paraId="4DA45B3C" w14:textId="77777777" w:rsidR="00DA6EB7" w:rsidRDefault="00F368B5">
      <w:pPr>
        <w:rPr>
          <w:rFonts w:hint="eastAsia"/>
        </w:rPr>
      </w:pPr>
      <w:r>
        <w:rPr>
          <w:b/>
        </w:rPr>
        <w:t>Suggested replacement for the hyperparameter-selection paragraph:</w:t>
      </w:r>
    </w:p>
    <w:p w14:paraId="354CEA4F" w14:textId="77777777" w:rsidR="00DA6EB7" w:rsidRDefault="00F368B5">
      <w:pPr>
        <w:spacing w:before="40" w:after="120"/>
        <w:ind w:left="360" w:right="288"/>
        <w:rPr>
          <w:rFonts w:hint="eastAsia"/>
        </w:rPr>
      </w:pPr>
      <w:r>
        <w:rPr>
          <w:i/>
        </w:rPr>
        <w:t>Each candidate configuration is evaluated across the four expanding-window validation folds. Candidate configurations are ranked according to the mean validation score across the four folds, where the selection score is defined as accuracy + precision + 5 × sensitivity + R² for the Phase 3+ population share. All combinations in the prespecified hyperparameter grid are evaluated exhaustively.</w:t>
      </w:r>
    </w:p>
    <w:p w14:paraId="62C5A68C" w14:textId="77777777" w:rsidR="00DA6EB7" w:rsidRDefault="00F368B5">
      <w:pPr>
        <w:pStyle w:val="Heading1"/>
      </w:pPr>
      <w:r>
        <w:t>4. Weather-variable construction</w:t>
      </w:r>
    </w:p>
    <w:p w14:paraId="53933E7F" w14:textId="77777777" w:rsidR="00DA6EB7" w:rsidRDefault="00F368B5">
      <w:pPr>
        <w:rPr>
          <w:rFonts w:hint="eastAsia"/>
        </w:rPr>
      </w:pPr>
      <w:r>
        <w:rPr>
          <w:b/>
        </w:rPr>
        <w:t xml:space="preserve">Temperature: </w:t>
      </w:r>
      <w:r>
        <w:t>Clarify whether the rolling standard deviation is lagged. The current paragraph defines one set of three metrics but then names a different set when describing the lagged variables.</w:t>
      </w:r>
    </w:p>
    <w:p w14:paraId="52D16EB8" w14:textId="77777777" w:rsidR="00DA6EB7" w:rsidRDefault="00F368B5">
      <w:pPr>
        <w:rPr>
          <w:rFonts w:hint="eastAsia"/>
        </w:rPr>
      </w:pPr>
      <w:r>
        <w:rPr>
          <w:b/>
        </w:rPr>
        <w:t xml:space="preserve">Precipitation: </w:t>
      </w:r>
      <w:r>
        <w:t>If these are the variables actually used, a concise ending would be: “For monthly precipitation, the 12-month rolling average, and the 12-month rolling standard deviation, we also construct 12-month-lagged versions to capture delayed effects.”</w:t>
      </w:r>
    </w:p>
    <w:p w14:paraId="479167DA" w14:textId="77777777" w:rsidR="00DA6EB7" w:rsidRDefault="00F368B5">
      <w:pPr>
        <w:pStyle w:val="Heading1"/>
      </w:pPr>
      <w:r>
        <w:t>5. Economic and night-light section</w:t>
      </w:r>
    </w:p>
    <w:p w14:paraId="3049FC53" w14:textId="77777777" w:rsidR="00DA6EB7" w:rsidRDefault="00F368B5">
      <w:pPr>
        <w:pStyle w:val="ListBullet"/>
        <w:rPr>
          <w:rFonts w:hint="eastAsia"/>
        </w:rPr>
      </w:pPr>
      <w:r>
        <w:t>Change “We add their corresponding lag-12-month version” to “We also include 12-month-lagged versions of these indicators.”</w:t>
      </w:r>
    </w:p>
    <w:p w14:paraId="2161C5BC" w14:textId="77777777" w:rsidR="00DA6EB7" w:rsidRDefault="00F368B5">
      <w:pPr>
        <w:pStyle w:val="ListBullet"/>
        <w:rPr>
          <w:rFonts w:hint="eastAsia"/>
        </w:rPr>
      </w:pPr>
      <w:r>
        <w:t>Change “Night-time light data serves” to “Night-time light data serve.”</w:t>
      </w:r>
    </w:p>
    <w:p w14:paraId="3EEB7F02" w14:textId="77777777" w:rsidR="00DA6EB7" w:rsidRDefault="00F368B5">
      <w:pPr>
        <w:pStyle w:val="ListBullet"/>
        <w:rPr>
          <w:rFonts w:hint="eastAsia"/>
        </w:rPr>
      </w:pPr>
      <w:r>
        <w:t>Change “This data is particularly valuable” to “These data are particularly valuable.”</w:t>
      </w:r>
    </w:p>
    <w:p w14:paraId="6B745507" w14:textId="77777777" w:rsidR="00DA6EB7" w:rsidRDefault="00F368B5">
      <w:pPr>
        <w:pStyle w:val="ListBullet"/>
        <w:rPr>
          <w:rFonts w:hint="eastAsia"/>
        </w:rPr>
      </w:pPr>
      <w:r>
        <w:t>Change “for analysis.Finally, we also add 12-month lag of 12 month rolling average …” to “for analysis. Finally, we also include a 12-month lag of the 12-month rolling average.”</w:t>
      </w:r>
    </w:p>
    <w:p w14:paraId="68EEDD8F" w14:textId="77777777" w:rsidR="00DA6EB7" w:rsidRDefault="00F368B5">
      <w:pPr>
        <w:pStyle w:val="Heading1"/>
      </w:pPr>
      <w:r>
        <w:lastRenderedPageBreak/>
        <w:t>6. Conflict section</w:t>
      </w:r>
    </w:p>
    <w:p w14:paraId="2EB6A612" w14:textId="77777777" w:rsidR="00DA6EB7" w:rsidRDefault="00F368B5">
      <w:pPr>
        <w:rPr>
          <w:rFonts w:hint="eastAsia"/>
        </w:rPr>
      </w:pPr>
      <w:r>
        <w:rPr>
          <w:b/>
        </w:rPr>
        <w:t xml:space="preserve">Current sentence: </w:t>
      </w:r>
      <w:r>
        <w:rPr>
          <w:i/>
        </w:rPr>
        <w:t>“Likewise, we add 12-month rolling average, 12 months lagged value and 12 months lagged rolling average to better capture the distribution effect of these variable.”</w:t>
      </w:r>
    </w:p>
    <w:p w14:paraId="300DC254" w14:textId="77777777" w:rsidR="00DA6EB7" w:rsidRDefault="00F368B5">
      <w:pPr>
        <w:rPr>
          <w:rFonts w:hint="eastAsia"/>
        </w:rPr>
      </w:pPr>
      <w:r>
        <w:rPr>
          <w:b/>
        </w:rPr>
        <w:t xml:space="preserve">Suggested revision: </w:t>
      </w:r>
      <w:r>
        <w:t>“We additionally construct a 12-month rolling average, a 12-month-lagged value, and a 12-month-lagged rolling average to capture the temporal dynamics of these variables.”</w:t>
      </w:r>
    </w:p>
    <w:p w14:paraId="1AE4D66D" w14:textId="77777777" w:rsidR="00DA6EB7" w:rsidRDefault="00F368B5">
      <w:pPr>
        <w:pStyle w:val="Heading1"/>
      </w:pPr>
      <w:r>
        <w:t>7. Figures and tables</w:t>
      </w:r>
    </w:p>
    <w:p w14:paraId="5802D921" w14:textId="77777777" w:rsidR="00DA6EB7" w:rsidRDefault="00F368B5">
      <w:pPr>
        <w:pStyle w:val="ListBullet"/>
        <w:rPr>
          <w:rFonts w:hint="eastAsia"/>
        </w:rPr>
      </w:pPr>
      <w:r>
        <w:rPr>
          <w:b/>
        </w:rPr>
        <w:t xml:space="preserve">Fig. 1 and Table 1 notes: </w:t>
      </w:r>
      <w:r>
        <w:t>Change “Phase 3 or worse” to the manuscript’s standard terminology, “Phase 3 or above.”</w:t>
      </w:r>
    </w:p>
    <w:p w14:paraId="0050B669" w14:textId="77777777" w:rsidR="00DA6EB7" w:rsidRDefault="00F368B5">
      <w:pPr>
        <w:pStyle w:val="ListBullet"/>
        <w:rPr>
          <w:rFonts w:hint="eastAsia"/>
        </w:rPr>
      </w:pPr>
      <w:r>
        <w:rPr>
          <w:b/>
        </w:rPr>
        <w:t xml:space="preserve">Fig. 2 notes: </w:t>
      </w:r>
      <w:r>
        <w:t>The symbol for the 12-month moving average is missing in the sentence “a name ending with ‘’ denotes …”. Insert the actual symbol used in the figure.</w:t>
      </w:r>
    </w:p>
    <w:p w14:paraId="33729171" w14:textId="77777777" w:rsidR="00DA6EB7" w:rsidRDefault="00F368B5">
      <w:pPr>
        <w:pStyle w:val="ListBullet"/>
        <w:rPr>
          <w:rFonts w:hint="eastAsia"/>
        </w:rPr>
      </w:pPr>
      <w:r>
        <w:rPr>
          <w:b/>
        </w:rPr>
        <w:t xml:space="preserve">Fig. 4 notes: </w:t>
      </w:r>
      <w:r>
        <w:t>Standardize Phase 5 terminology with the Methods; consider “Catastrophe/Famine” rather than simply “Famine.”</w:t>
      </w:r>
    </w:p>
    <w:p w14:paraId="4D4277D7" w14:textId="77777777" w:rsidR="00DA6EB7" w:rsidRDefault="00F368B5">
      <w:pPr>
        <w:pStyle w:val="ListBullet"/>
        <w:rPr>
          <w:rFonts w:hint="eastAsia"/>
        </w:rPr>
      </w:pPr>
      <w:r>
        <w:rPr>
          <w:b/>
        </w:rPr>
        <w:t xml:space="preserve">Supplementary Table 1: </w:t>
      </w:r>
      <w:r>
        <w:t>For Panels F and H, consider placing an en dash in the R² column rather than leaving the cells blank, consistent with other classification-only panels.</w:t>
      </w:r>
    </w:p>
    <w:p w14:paraId="09FC4887" w14:textId="77777777" w:rsidR="00DA6EB7" w:rsidRDefault="00F368B5">
      <w:pPr>
        <w:pStyle w:val="ListBullet"/>
        <w:rPr>
          <w:rFonts w:hint="eastAsia"/>
        </w:rPr>
      </w:pPr>
      <w:r>
        <w:rPr>
          <w:b/>
        </w:rPr>
        <w:t xml:space="preserve">Supplementary Table 4: </w:t>
      </w:r>
      <w:r>
        <w:t>If citing the publication, change “Market Access (Weiss, 2015)” to “Weiss et al. (2018)”; 2015 is the reference year of the travel-time surface.</w:t>
      </w:r>
    </w:p>
    <w:p w14:paraId="2E771938" w14:textId="77777777" w:rsidR="00DA6EB7" w:rsidRDefault="00F368B5">
      <w:pPr>
        <w:pStyle w:val="Heading1"/>
      </w:pPr>
      <w:r>
        <w:t>8. References</w:t>
      </w:r>
    </w:p>
    <w:p w14:paraId="2A0F3956" w14:textId="77777777" w:rsidR="00DA6EB7" w:rsidRDefault="00F368B5">
      <w:pPr>
        <w:pStyle w:val="ListBullet"/>
        <w:rPr>
          <w:rFonts w:hint="eastAsia"/>
        </w:rPr>
      </w:pPr>
      <w:r>
        <w:rPr>
          <w:b/>
        </w:rPr>
        <w:t xml:space="preserve">PNAS article number: </w:t>
      </w:r>
      <w:r>
        <w:t>Change “2416161122” to “e2416161122.”</w:t>
      </w:r>
    </w:p>
    <w:p w14:paraId="2517505E" w14:textId="77777777" w:rsidR="00DA6EB7" w:rsidRDefault="00F368B5">
      <w:pPr>
        <w:pStyle w:val="ListBullet"/>
        <w:rPr>
          <w:rFonts w:hint="eastAsia"/>
        </w:rPr>
      </w:pPr>
      <w:r>
        <w:rPr>
          <w:b/>
        </w:rPr>
        <w:t xml:space="preserve">Reference formatting: </w:t>
      </w:r>
      <w:r>
        <w:t>If permitted by the bibliography style, change “Ieee” to “IEEE” and “Acm Sigkdd” to “ACM SIGKDD.”</w:t>
      </w:r>
    </w:p>
    <w:p w14:paraId="0A72DB80" w14:textId="77777777" w:rsidR="00DA6EB7" w:rsidRDefault="00F368B5">
      <w:pPr>
        <w:pStyle w:val="Heading1"/>
      </w:pPr>
      <w:r>
        <w:t>9. Methodological description to verify</w:t>
      </w:r>
    </w:p>
    <w:p w14:paraId="735B7D90" w14:textId="77777777" w:rsidR="00DA6EB7" w:rsidRDefault="00F368B5">
      <w:pPr>
        <w:rPr>
          <w:rFonts w:hint="eastAsia"/>
        </w:rPr>
      </w:pPr>
      <w:r>
        <w:rPr>
          <w:b/>
        </w:rPr>
        <w:t xml:space="preserve">Contemporaneous-model validation (p. 14). </w:t>
      </w:r>
      <w:r>
        <w:t>The two paragraphs describing the contemporaneous procedure are difficult to reconcile. The first describes five folds with one test fold, three training folds, and one validation fold. The next says 20% is randomly selected as validation and the remaining 80% is training, repeated several times, with a random 20% left unused. Confirm the exact implemented procedure with the code and rewrite the Methods so that training, validation, and test sets match the implementation exactly. This is especially importan</w:t>
      </w:r>
      <w:r>
        <w:t>t because Reviewer 2 explicitly raised reproducibility concerns.</w:t>
      </w:r>
    </w:p>
    <w:p w14:paraId="17ECE2C5" w14:textId="77777777" w:rsidR="00DA6EB7" w:rsidRDefault="00F368B5">
      <w:pPr>
        <w:pStyle w:val="Heading1"/>
      </w:pPr>
      <w:r>
        <w:t>10. Short pre-submission checklist</w:t>
      </w:r>
    </w:p>
    <w:p w14:paraId="75C450F1" w14:textId="77777777" w:rsidR="00DA6EB7" w:rsidRDefault="00F368B5">
      <w:pPr>
        <w:pStyle w:val="ListBullet"/>
        <w:rPr>
          <w:rFonts w:hint="eastAsia"/>
        </w:rPr>
      </w:pPr>
      <w:r>
        <w:t>Correct all cross-source inconsistencies (elevation, night lights, AEZ, Sudan citation).</w:t>
      </w:r>
    </w:p>
    <w:p w14:paraId="0762224B" w14:textId="77777777" w:rsidR="00DA6EB7" w:rsidRDefault="00F368B5">
      <w:pPr>
        <w:pStyle w:val="ListBullet"/>
        <w:rPr>
          <w:rFonts w:hint="eastAsia"/>
        </w:rPr>
      </w:pPr>
      <w:r>
        <w:t>Fix the CRS description for EPSG:4326.</w:t>
      </w:r>
    </w:p>
    <w:p w14:paraId="5ACA4AB8" w14:textId="77777777" w:rsidR="00DA6EB7" w:rsidRDefault="00F368B5">
      <w:pPr>
        <w:pStyle w:val="ListBullet"/>
        <w:rPr>
          <w:rFonts w:hint="eastAsia"/>
        </w:rPr>
      </w:pPr>
      <w:r>
        <w:t>Resolve the temperature and precipitation feature-construction wording.</w:t>
      </w:r>
    </w:p>
    <w:p w14:paraId="1DA16CE2" w14:textId="77777777" w:rsidR="00DA6EB7" w:rsidRDefault="00F368B5">
      <w:pPr>
        <w:pStyle w:val="ListBullet"/>
        <w:rPr>
          <w:rFonts w:hint="eastAsia"/>
        </w:rPr>
      </w:pPr>
      <w:r>
        <w:t>Align the hyperparameter description with the actual selection formula and final table contents.</w:t>
      </w:r>
    </w:p>
    <w:p w14:paraId="54DACD20" w14:textId="77777777" w:rsidR="00DA6EB7" w:rsidRDefault="00F368B5">
      <w:pPr>
        <w:pStyle w:val="ListBullet"/>
        <w:rPr>
          <w:rFonts w:hint="eastAsia"/>
        </w:rPr>
      </w:pPr>
      <w:r>
        <w:t>Remove the [YL2.1] marker and fix the malformed selection-score equation.</w:t>
      </w:r>
    </w:p>
    <w:p w14:paraId="68FC3936" w14:textId="77777777" w:rsidR="00DA6EB7" w:rsidRDefault="00F368B5">
      <w:pPr>
        <w:pStyle w:val="ListBullet"/>
        <w:rPr>
          <w:rFonts w:hint="eastAsia"/>
        </w:rPr>
      </w:pPr>
      <w:r>
        <w:t>Correct Supplementary Figures/Tables headings and Supplementary Fig. 3 notes.</w:t>
      </w:r>
    </w:p>
    <w:p w14:paraId="2F2BBEBC" w14:textId="77777777" w:rsidR="00DA6EB7" w:rsidRDefault="00F368B5">
      <w:pPr>
        <w:pStyle w:val="ListBullet"/>
        <w:rPr>
          <w:rFonts w:hint="eastAsia"/>
        </w:rPr>
      </w:pPr>
      <w:r>
        <w:t>Confirm and clearly document the contemporaneous validation procedure.</w:t>
      </w:r>
    </w:p>
    <w:sectPr w:rsidR="00DA6EB7"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2BB93" w14:textId="77777777" w:rsidR="00F368B5" w:rsidRDefault="00F368B5">
      <w:pPr>
        <w:spacing w:after="0" w:line="240" w:lineRule="auto"/>
        <w:rPr>
          <w:rFonts w:hint="eastAsia"/>
        </w:rPr>
      </w:pPr>
      <w:r>
        <w:separator/>
      </w:r>
    </w:p>
  </w:endnote>
  <w:endnote w:type="continuationSeparator" w:id="0">
    <w:p w14:paraId="4A0584F4" w14:textId="77777777" w:rsidR="00F368B5" w:rsidRDefault="00F368B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D03A2" w14:textId="77777777" w:rsidR="00DA6EB7" w:rsidRDefault="00F368B5">
    <w:pPr>
      <w:pStyle w:val="Footer"/>
      <w:jc w:val="center"/>
      <w:rPr>
        <w:rFonts w:hint="eastAsia"/>
      </w:rPr>
    </w:pPr>
    <w:r>
      <w:rPr>
        <w:color w:val="787878"/>
        <w:sz w:val="16"/>
      </w:rPr>
      <w:t>Proofreading notes – revised manuscript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CE043" w14:textId="77777777" w:rsidR="00F368B5" w:rsidRDefault="00F368B5">
      <w:pPr>
        <w:spacing w:after="0" w:line="240" w:lineRule="auto"/>
        <w:rPr>
          <w:rFonts w:hint="eastAsia"/>
        </w:rPr>
      </w:pPr>
      <w:r>
        <w:separator/>
      </w:r>
    </w:p>
  </w:footnote>
  <w:footnote w:type="continuationSeparator" w:id="0">
    <w:p w14:paraId="3B6A2C23" w14:textId="77777777" w:rsidR="00F368B5" w:rsidRDefault="00F368B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9484721">
    <w:abstractNumId w:val="8"/>
  </w:num>
  <w:num w:numId="2" w16cid:durableId="977496695">
    <w:abstractNumId w:val="6"/>
  </w:num>
  <w:num w:numId="3" w16cid:durableId="251361512">
    <w:abstractNumId w:val="5"/>
  </w:num>
  <w:num w:numId="4" w16cid:durableId="1633487162">
    <w:abstractNumId w:val="4"/>
  </w:num>
  <w:num w:numId="5" w16cid:durableId="2037194536">
    <w:abstractNumId w:val="7"/>
  </w:num>
  <w:num w:numId="6" w16cid:durableId="1141461336">
    <w:abstractNumId w:val="3"/>
  </w:num>
  <w:num w:numId="7" w16cid:durableId="117602597">
    <w:abstractNumId w:val="2"/>
  </w:num>
  <w:num w:numId="8" w16cid:durableId="874461030">
    <w:abstractNumId w:val="1"/>
  </w:num>
  <w:num w:numId="9" w16cid:durableId="1077435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C3B"/>
    <w:rsid w:val="0015074B"/>
    <w:rsid w:val="0029639D"/>
    <w:rsid w:val="00326F90"/>
    <w:rsid w:val="008E0726"/>
    <w:rsid w:val="00AA1D8D"/>
    <w:rsid w:val="00B47730"/>
    <w:rsid w:val="00CB0664"/>
    <w:rsid w:val="00D461A6"/>
    <w:rsid w:val="00D6553E"/>
    <w:rsid w:val="00DA6EB7"/>
    <w:rsid w:val="00F324AF"/>
    <w:rsid w:val="00F368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03E8DA5-5DC6-4EA6-A5A4-25D387B23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44444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1312</Words>
  <Characters>7484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Weilun Shi</cp:lastModifiedBy>
  <cp:revision>5</cp:revision>
  <dcterms:created xsi:type="dcterms:W3CDTF">2013-12-23T23:15:00Z</dcterms:created>
  <dcterms:modified xsi:type="dcterms:W3CDTF">2026-09-09T00:44:00Z</dcterms:modified>
  <cp:category/>
</cp:coreProperties>
</file>