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3.png" ContentType="image/png"/>
  <Override PartName="/word/media/rId45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SET</w:t>
      </w:r>
      <w:r>
        <w:t xml:space="preserve"> </w:t>
      </w:r>
      <w:r>
        <w:t xml:space="preserve">Rate</w:t>
      </w:r>
      <w:r>
        <w:t xml:space="preserve"> </w:t>
      </w:r>
      <w:r>
        <w:t xml:space="preserve">Calculations</w:t>
      </w:r>
    </w:p>
    <w:p>
      <w:pPr>
        <w:pStyle w:val="Date"/>
      </w:pPr>
      <w:r>
        <w:t xml:space="preserve">2019-06-18</w:t>
      </w:r>
    </w:p>
    <w:p>
      <w:pPr>
        <w:pStyle w:val="FirstParagraph"/>
      </w:pPr>
      <w:r>
        <w:t xml:space="preserve">Everything in this report currently uses ALL reported data values. Quality flags were ignored, which may lead to differences in final numbers once we deal with QA/QC issues.</w:t>
      </w:r>
    </w:p>
    <w:p>
      <w:pPr>
        <w:pStyle w:val="BodyText"/>
      </w:pPr>
      <w:r>
        <w:t xml:space="preserve">Also, be aware that linear models are not appropriate for calculating rates of change at all sites. Use discretion when interpreting these results.</w:t>
      </w:r>
    </w:p>
    <w:p>
      <w:pPr>
        <w:pStyle w:val="Heading1"/>
      </w:pPr>
      <w:bookmarkStart w:id="20" w:name="setup"/>
      <w:r>
        <w:t xml:space="preserve">Setup</w:t>
      </w:r>
      <w:bookmarkEnd w:id="20"/>
    </w:p>
    <w:p>
      <w:pPr>
        <w:pStyle w:val="Heading2"/>
      </w:pPr>
      <w:bookmarkStart w:id="21" w:name="read-in-data-and-metadata"/>
      <w:r>
        <w:t xml:space="preserve">Read in data and metadata</w:t>
      </w:r>
      <w:bookmarkEnd w:id="21"/>
    </w:p>
    <w:p>
      <w:pPr>
        <w:pStyle w:val="FirstParagraph"/>
      </w:pPr>
      <w:r>
        <w:t xml:space="preserve">This reads in the long dataset, converted from other formats by earlier scripts. It also converts pin heights to mm if they weren’t already in those units.</w:t>
      </w:r>
    </w:p>
    <w:p>
      <w:pPr>
        <w:pStyle w:val="Heading3"/>
      </w:pPr>
      <w:bookmarkStart w:id="22" w:name="sanity-checks"/>
      <w:r>
        <w:t xml:space="preserve">Sanity checks</w:t>
      </w:r>
      <w:bookmarkEnd w:id="22"/>
    </w:p>
    <w:p>
      <w:pPr>
        <w:pStyle w:val="FirstParagraph"/>
      </w:pPr>
      <w:r>
        <w:t xml:space="preserve">This analysis was run on set_processed.csv on 2019-06-18.</w:t>
      </w:r>
    </w:p>
    <w:p>
      <w:pPr>
        <w:pStyle w:val="BodyText"/>
      </w:pPr>
      <w:r>
        <w:t xml:space="preserve">Make sure a metadata file exists:</w:t>
      </w:r>
    </w:p>
    <w:p>
      <w:pPr>
        <w:pStyle w:val="BodyText"/>
      </w:pPr>
      <w:r>
        <w:t xml:space="preserve">Make sure the same SET IDs exist in both the data and metadata file:</w:t>
      </w:r>
    </w:p>
    <w:p>
      <w:pPr>
        <w:pStyle w:val="SourceCode"/>
      </w:pPr>
      <w:r>
        <w:rPr>
          <w:rStyle w:val="VerbatimChar"/>
        </w:rPr>
        <w:t xml:space="preserve">## [1] "SET IDs match in your data and metadata files."</w:t>
      </w:r>
    </w:p>
    <w:p>
      <w:pPr>
        <w:pStyle w:val="FirstParagraph"/>
      </w:pPr>
      <w:r>
        <w:t xml:space="preserve">Read in general sea-level rates sheet and pull out the rate that matches the reserve.</w:t>
      </w:r>
    </w:p>
    <w:p>
      <w:pPr>
        <w:pStyle w:val="BodyText"/>
      </w:pPr>
      <w:r>
        <w:t xml:space="preserve">Pull out the information relevant to the current reserve. Assign relevant values to objects and print out the table with information about the site.</w:t>
      </w:r>
    </w:p>
    <w:p>
      <w:pPr>
        <w:pStyle w:val="Heading1"/>
      </w:pPr>
      <w:bookmarkStart w:id="23" w:name="background-information"/>
      <w:r>
        <w:t xml:space="preserve">Background information</w:t>
      </w:r>
      <w:bookmarkEnd w:id="23"/>
    </w:p>
    <w:p>
      <w:pPr>
        <w:pStyle w:val="Heading2"/>
      </w:pPr>
      <w:bookmarkStart w:id="24" w:name="reserve-level"/>
      <w:r>
        <w:t xml:space="preserve">Reserve-level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Local rate of sea level change is</w:t>
      </w:r>
      <w:r>
        <w:t xml:space="preserve"> </w:t>
      </w:r>
      <w:r>
        <w:rPr>
          <w:b/>
        </w:rPr>
        <w:t xml:space="preserve">3.61</w:t>
      </w:r>
      <w:r>
        <w:t xml:space="preserve"> </w:t>
      </w:r>
      <w:r>
        <w:t xml:space="preserve">+/-</w:t>
      </w:r>
      <w:r>
        <w:t xml:space="preserve"> </w:t>
      </w:r>
      <w:r>
        <w:rPr>
          <w:b/>
        </w:rPr>
        <w:t xml:space="preserve">0.59</w:t>
      </w:r>
      <w:r>
        <w:t xml:space="preserve"> </w:t>
      </w:r>
      <w:r>
        <w:t xml:space="preserve">mm/yr.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This rate is reported by Dauphin Island, Alabama, NWLON station number 8735180 based on data from</w:t>
      </w:r>
      <w:r>
        <w:t xml:space="preserve"> </w:t>
      </w:r>
      <w:r>
        <w:rPr>
          <w:i/>
        </w:rPr>
        <w:t xml:space="preserve">1966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2017</w:t>
      </w:r>
      <w:r>
        <w:t xml:space="preserve">.</w:t>
      </w:r>
    </w:p>
    <w:p>
      <w:pPr>
        <w:pStyle w:val="Heading2"/>
      </w:pPr>
      <w:bookmarkStart w:id="25" w:name="set-level-characteristics"/>
      <w:r>
        <w:t xml:space="preserve">SET-level characteristics</w:t>
      </w:r>
      <w:bookmarkEnd w:id="25"/>
    </w:p>
    <w:p>
      <w:pPr>
        <w:pStyle w:val="Heading3"/>
      </w:pPr>
      <w:bookmarkStart w:id="26" w:name="setting"/>
      <w:r>
        <w:t xml:space="preserve">setting</w:t>
      </w:r>
      <w:bookmarkEnd w:id="26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41"/>
        <w:gridCol w:w="3003"/>
        <w:gridCol w:w="1084"/>
        <w:gridCol w:w="1157"/>
        <w:gridCol w:w="3455"/>
      </w:tblGrid>
      <w:tr>
        <w:trPr>
          <w:cantSplit/>
          <w:trHeight w:val="4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Type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Main_Veg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Spartina alterniflora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Juncus roemerianus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Cladium jamaicense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w/ Shallow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Spartina alterniflora (shortform)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w/ Shallow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Scirpus americanus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SET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Zostera japonica</w:t>
            </w:r>
          </w:p>
        </w:tc>
      </w:tr>
      <w:tr>
        <w:trPr>
          <w:cantSplit/>
          <w:trHeight w:val="455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ROD SET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30.398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-88.414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Zostera japonica</w:t>
            </w:r>
          </w:p>
        </w:tc>
      </w:tr>
    </w:tbl>
    <w:p>
      <w:pPr>
        <w:pStyle w:val="Heading3"/>
      </w:pPr>
      <w:bookmarkStart w:id="27" w:name="sampling-information"/>
      <w:r>
        <w:t xml:space="preserve">sampling information</w:t>
      </w:r>
      <w:bookmarkEnd w:id="2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41"/>
        <w:gridCol w:w="1719"/>
        <w:gridCol w:w="1707"/>
        <w:gridCol w:w="1903"/>
        <w:gridCol w:w="1890"/>
      </w:tblGrid>
      <w:tr>
        <w:trPr>
          <w:cantSplit/>
          <w:trHeight w:val="455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first_sampled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last_sampled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years_sampled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sample_events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2005-10-21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2015-08-14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2012-02-29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2016-11-21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2016-11-22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2002-08-18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2007-06-18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2012-03-02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2016-11-23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</w:tbl>
    <w:p>
      <w:pPr>
        <w:pStyle w:val="FirstParagraph"/>
      </w:pPr>
      <w:r>
        <w:t xml:space="preserve">Still on wish list to include:</w:t>
      </w:r>
    </w:p>
    <w:p>
      <w:pPr>
        <w:pStyle w:val="Compact"/>
        <w:numPr>
          <w:numId w:val="1002"/>
          <w:ilvl w:val="0"/>
        </w:numPr>
      </w:pPr>
      <w:r>
        <w:t xml:space="preserve">NAVD88 elevation (and year determined)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Distance from closest water body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rate-calculations"/>
      <w:r>
        <w:t xml:space="preserve">Rate Calculations</w:t>
      </w:r>
      <w:bookmarkEnd w:id="28"/>
    </w:p>
    <w:p>
      <w:pPr>
        <w:pStyle w:val="FirstParagraph"/>
      </w:pPr>
      <w:r>
        <w:t xml:space="preserve">These rates were generated using linear mixed models. See Zuur et al. 2009 and Cahoon et al. 2019 for details.</w:t>
      </w:r>
    </w:p>
    <w:p>
      <w:pPr>
        <w:pStyle w:val="BodyText"/>
      </w:pPr>
      <w:r>
        <w:t xml:space="preserve">Cahoon, D.R., Lynch, J.C., Roman, C.T. et al. Estuaries and Coasts (2019) 42: 1.</w:t>
      </w:r>
      <w:r>
        <w:t xml:space="preserve"> </w:t>
      </w:r>
      <w:hyperlink r:id="rId29">
        <w:r>
          <w:rPr>
            <w:rStyle w:val="Hyperlink"/>
          </w:rPr>
          <w:t xml:space="preserve">https://doi.org/10.1007/s12237-018-0448-x</w:t>
        </w:r>
      </w:hyperlink>
    </w:p>
    <w:p>
      <w:pPr>
        <w:pStyle w:val="BodyText"/>
      </w:pPr>
      <w:r>
        <w:t xml:space="preserve">Zuur, A.F., E.N. Ieno, N.J. Walker, A.A. Saveliev, and G.M. Smith. 2009. Mixed effects models and extensions in ecology with R. New York: Springer.</w:t>
      </w:r>
    </w:p>
    <w:p>
      <w:pPr>
        <w:pStyle w:val="BodyText"/>
      </w:pPr>
      <w:r>
        <w:t xml:space="preserve">The following is directly excerpted from Cahoon et al. 2019:</w:t>
      </w:r>
    </w:p>
    <w:p>
      <w:pPr>
        <w:pStyle w:val="BlockText"/>
      </w:pPr>
      <w:r>
        <w:t xml:space="preserve">Linear mixed models (LMMs, Zuur et al. 2009) were chosen</w:t>
      </w:r>
      <w:r>
        <w:t xml:space="preserve"> </w:t>
      </w:r>
      <w:r>
        <w:t xml:space="preserve">to analyze the surface elevation data. LMMs are ideal for</w:t>
      </w:r>
      <w:r>
        <w:t xml:space="preserve"> </w:t>
      </w:r>
      <w:r>
        <w:t xml:space="preserve">analyzing the nested longitudinal data that is produced by</w:t>
      </w:r>
      <w:r>
        <w:t xml:space="preserve"> </w:t>
      </w:r>
      <w:r>
        <w:t xml:space="preserve">the SET device. Rather than averaging the pin heights from</w:t>
      </w:r>
      <w:r>
        <w:t xml:space="preserve"> </w:t>
      </w:r>
      <w:r>
        <w:t xml:space="preserve">each SET prior to analysis, the measurements from each pin</w:t>
      </w:r>
      <w:r>
        <w:t xml:space="preserve"> </w:t>
      </w:r>
      <w:r>
        <w:t xml:space="preserve">are used as separate replicates. This preserves the variation</w:t>
      </w:r>
      <w:r>
        <w:t xml:space="preserve"> </w:t>
      </w:r>
      <w:r>
        <w:t xml:space="preserve">found within each SET and also maximizes statistical power.</w:t>
      </w:r>
      <w:r>
        <w:t xml:space="preserve"> </w:t>
      </w:r>
      <w:r>
        <w:t xml:space="preserve">Effects which are specific to each SET, direction within each</w:t>
      </w:r>
      <w:r>
        <w:t xml:space="preserve"> </w:t>
      </w:r>
      <w:r>
        <w:t xml:space="preserve">SET, and pin within each direction are treated as random</w:t>
      </w:r>
      <w:r>
        <w:t xml:space="preserve"> </w:t>
      </w:r>
      <w:r>
        <w:t xml:space="preserve">effects, which account for the lack of independence among</w:t>
      </w:r>
      <w:r>
        <w:t xml:space="preserve"> </w:t>
      </w:r>
      <w:r>
        <w:t xml:space="preserve">pins on the same SET. Analysis was performed using</w:t>
      </w:r>
      <w:r>
        <w:t xml:space="preserve"> </w:t>
      </w:r>
      <w:r>
        <w:t xml:space="preserve">mixed-effect models in the nlme package (Pinheiro et al.</w:t>
      </w:r>
      <w:r>
        <w:t xml:space="preserve"> </w:t>
      </w:r>
      <w:r>
        <w:t xml:space="preserve">2016) in R version 3.3.2 (R Core Team 2016).</w:t>
      </w:r>
      <w:r>
        <w:t xml:space="preserve"> </w:t>
      </w:r>
      <w:r>
        <w:t xml:space="preserve">Data from each of the five sites were analyzed separately.</w:t>
      </w:r>
      <w:r>
        <w:t xml:space="preserve"> </w:t>
      </w:r>
      <w:r>
        <w:t xml:space="preserve">Pin height (m, NAVD88) served as the response variable, and</w:t>
      </w:r>
      <w:r>
        <w:t xml:space="preserve"> </w:t>
      </w:r>
      <w:r>
        <w:t xml:space="preserve">the fixed effects were the number of days since the initial</w:t>
      </w:r>
      <w:r>
        <w:t xml:space="preserve"> </w:t>
      </w:r>
      <w:r>
        <w:t xml:space="preserve">reading was taken. To account for a potential reduction of</w:t>
      </w:r>
      <w:r>
        <w:t xml:space="preserve"> </w:t>
      </w:r>
      <w:r>
        <w:t xml:space="preserve">independence among pins on the same SET, the model included</w:t>
      </w:r>
      <w:r>
        <w:t xml:space="preserve"> </w:t>
      </w:r>
      <w:r>
        <w:t xml:space="preserve">a random slope and intercept for each pin, nested in the SET</w:t>
      </w:r>
      <w:r>
        <w:t xml:space="preserve"> </w:t>
      </w:r>
      <w:r>
        <w:t xml:space="preserve">position on the benchmark (typically, four positions were read</w:t>
      </w:r>
      <w:r>
        <w:t xml:space="preserve"> </w:t>
      </w:r>
      <w:r>
        <w:t xml:space="preserve">during each sampling event), nested in the SET. This model</w:t>
      </w:r>
      <w:r>
        <w:t xml:space="preserve"> </w:t>
      </w:r>
      <w:r>
        <w:t xml:space="preserve">was first fit using maximum likelihood. It was then compared</w:t>
      </w:r>
      <w:r>
        <w:t xml:space="preserve"> </w:t>
      </w:r>
      <w:r>
        <w:t xml:space="preserve">to a model with identical random effects but an intercept-only</w:t>
      </w:r>
      <w:r>
        <w:t xml:space="preserve"> </w:t>
      </w:r>
      <w:r>
        <w:t xml:space="preserve">fixed effect using the corrected form of Akaike’s information</w:t>
      </w:r>
      <w:r>
        <w:t xml:space="preserve"> </w:t>
      </w:r>
      <w:r>
        <w:t xml:space="preserve">criterion (AICc, Akaike 1974, Burnham and Anderson 2004).</w:t>
      </w:r>
      <w:r>
        <w:t xml:space="preserve"> </w:t>
      </w:r>
      <w:r>
        <w:t xml:space="preserve">If the intercept-only model was superior, this indicated that</w:t>
      </w:r>
      <w:r>
        <w:t xml:space="preserve"> </w:t>
      </w:r>
      <w:r>
        <w:t xml:space="preserve">there is no trend in elevation over time. The model including</w:t>
      </w:r>
      <w:r>
        <w:t xml:space="preserve"> </w:t>
      </w:r>
      <w:r>
        <w:t xml:space="preserve">a trend through time was then refit using restricted maximum</w:t>
      </w:r>
      <w:r>
        <w:t xml:space="preserve"> </w:t>
      </w:r>
      <w:r>
        <w:t xml:space="preserve">likelihood to estimate the coefficients of the regression. For</w:t>
      </w:r>
      <w:r>
        <w:t xml:space="preserve"> </w:t>
      </w:r>
      <w:r>
        <w:t xml:space="preserve">comparative purposes, this was done even in cases where the</w:t>
      </w:r>
      <w:r>
        <w:t xml:space="preserve"> </w:t>
      </w:r>
      <w:r>
        <w:t xml:space="preserve">intercept-only model was superior.</w:t>
      </w:r>
    </w:p>
    <w:p>
      <w:pPr>
        <w:pStyle w:val="FirstParagraph"/>
      </w:pPr>
      <w:r>
        <w:t xml:space="preserve">In our case, we have, for each SET: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response variable:</w:t>
      </w:r>
      <w:r>
        <w:t xml:space="preserve"> </w:t>
      </w:r>
      <w:r>
        <w:t xml:space="preserve">pin_height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fixed effect:</w:t>
      </w:r>
      <w:r>
        <w:t xml:space="preserve"> </w:t>
      </w:r>
      <w:r>
        <w:t xml:space="preserve">date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random effects:</w:t>
      </w:r>
      <w:r>
        <w:t xml:space="preserve"> </w:t>
      </w:r>
      <w:r>
        <w:t xml:space="preserve">arm_position, pin_number (note, these are nested)</w:t>
      </w:r>
    </w:p>
    <w:p>
      <w:pPr>
        <w:pStyle w:val="Heading2"/>
      </w:pPr>
      <w:bookmarkStart w:id="30" w:name="rates-of-change"/>
      <w:r>
        <w:t xml:space="preserve">Rates of change</w:t>
      </w:r>
      <w:bookmarkEnd w:id="30"/>
    </w:p>
    <w:p>
      <w:pPr>
        <w:pStyle w:val="FirstParagraph"/>
      </w:pPr>
      <w:r>
        <w:t xml:space="preserve">These rates were generated using the</w:t>
      </w:r>
      <w:r>
        <w:t xml:space="preserve"> </w:t>
      </w:r>
      <w:r>
        <w:rPr>
          <w:rStyle w:val="VerbatimChar"/>
        </w:rPr>
        <w:t xml:space="preserve">lme()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nlme</w:t>
      </w:r>
      <w:r>
        <w:t xml:space="preserve"> </w:t>
      </w:r>
      <w:r>
        <w:t xml:space="preserve">package. Confidence intervals were generated using the</w:t>
      </w:r>
      <w:r>
        <w:t xml:space="preserve"> </w:t>
      </w:r>
      <w:r>
        <w:rPr>
          <w:rStyle w:val="VerbatimChar"/>
        </w:rPr>
        <w:t xml:space="preserve">intervals()</w:t>
      </w:r>
      <w:r>
        <w:t xml:space="preserve"> </w:t>
      </w:r>
      <w:r>
        <w:t xml:space="preserve">function, also in the</w:t>
      </w:r>
      <w:r>
        <w:t xml:space="preserve"> </w:t>
      </w:r>
      <w:r>
        <w:rPr>
          <w:rStyle w:val="VerbatimChar"/>
        </w:rPr>
        <w:t xml:space="preserve">nlme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All calculations generated output in</w:t>
      </w:r>
      <w:r>
        <w:t xml:space="preserve"> </w:t>
      </w:r>
      <w:r>
        <w:rPr>
          <w:i/>
        </w:rPr>
        <w:t xml:space="preserve">mm/day</w:t>
      </w:r>
      <w:r>
        <w:t xml:space="preserve"> </w:t>
      </w:r>
      <w:r>
        <w:t xml:space="preserve">and were converted to</w:t>
      </w:r>
      <w:r>
        <w:t xml:space="preserve"> </w:t>
      </w:r>
      <w:r>
        <w:rPr>
          <w:i/>
        </w:rPr>
        <w:t xml:space="preserve">mm/yr</w:t>
      </w:r>
      <w:r>
        <w:t xml:space="preserve"> </w:t>
      </w:r>
      <w:r>
        <w:t xml:space="preserve">by multiplying by 365.25 (this accounts for leap years).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841"/>
        <w:gridCol w:w="1084"/>
        <w:gridCol w:w="1084"/>
        <w:gridCol w:w="116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-3.521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11.886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5.085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0.659</w:t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-3.842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22.790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7.513</w:t>
            </w:r>
          </w:p>
        </w:tc>
      </w:tr>
    </w:tbl>
    <w:p>
      <w:pPr>
        <w:pStyle w:val="Heading3"/>
      </w:pPr>
      <w:bookmarkStart w:id="31" w:name="additional-model-diagnostics"/>
      <w:r>
        <w:t xml:space="preserve">Additional model diagnostics</w:t>
      </w:r>
      <w:bookmarkEnd w:id="31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841"/>
        <w:gridCol w:w="1084"/>
        <w:gridCol w:w="1402"/>
        <w:gridCol w:w="1328"/>
        <w:gridCol w:w="1328"/>
        <w:gridCol w:w="1291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deviance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-1752.269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3535.632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-3102.447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6214.894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6236.961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-2873.738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5757.476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-2384.152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4778.305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4800.930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3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-1751.103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3512.207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3533.290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-2391.373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4792.746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4814.185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-2791.472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5592.943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5615.546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Heading3"/>
      </w:pPr>
      <w:bookmarkStart w:id="32" w:name="Xb8dd7a0e6440a3f61738021574078ba3d08cae6"/>
      <w:r>
        <w:t xml:space="preserve">Combine information from rate calculations, metadata, and SLR into one file</w:t>
      </w:r>
      <w:bookmarkEnd w:id="32"/>
    </w:p>
    <w:p>
      <w:pPr>
        <w:pStyle w:val="Heading1"/>
      </w:pPr>
      <w:bookmarkStart w:id="33" w:name="increasingdecreasing-comparison-to-0"/>
      <w:r>
        <w:t xml:space="preserve">Increasing/Decreasing (Comparison to 0)</w:t>
      </w:r>
      <w:bookmarkEnd w:id="33"/>
    </w:p>
    <w:p>
      <w:pPr>
        <w:pStyle w:val="FirstParagraph"/>
      </w:pPr>
      <w:r>
        <w:t xml:space="preserve">The following tables break the SETs into groups where the rate of SET elevation change is</w:t>
      </w:r>
      <w:r>
        <w:t xml:space="preserve"> </w:t>
      </w:r>
      <w:r>
        <w:rPr>
          <w:i/>
        </w:rPr>
        <w:t xml:space="preserve">lower than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higher than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not different from</w:t>
      </w:r>
      <w:r>
        <w:t xml:space="preserve"> </w:t>
      </w:r>
      <w:r>
        <w:t xml:space="preserve">0.</w:t>
      </w:r>
      <w:r>
        <w:t xml:space="preserve"> </w:t>
      </w:r>
      <w:r>
        <w:rPr>
          <w:i/>
        </w:rPr>
        <w:t xml:space="preserve">Lower than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higher than</w:t>
      </w:r>
      <w:r>
        <w:t xml:space="preserve"> </w:t>
      </w:r>
      <w:r>
        <w:t xml:space="preserve">tables imply that the 95% confidence intervals for the SET’s rate of change do not include 0.</w:t>
      </w:r>
      <w:r>
        <w:t xml:space="preserve"> </w:t>
      </w:r>
      <w:r>
        <w:rPr>
          <w:i/>
        </w:rPr>
        <w:t xml:space="preserve">Not different from</w:t>
      </w:r>
      <w:r>
        <w:t xml:space="preserve"> </w:t>
      </w:r>
      <w:r>
        <w:t xml:space="preserve">means that 0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included.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set-elevation-change-0-mmyr"/>
      <w:r>
        <w:t xml:space="preserve">SET Elevation Change &lt; 0 mm/yr</w:t>
      </w:r>
      <w:bookmarkEnd w:id="34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022"/>
        <w:gridCol w:w="1034"/>
        <w:gridCol w:w="1083"/>
        <w:gridCol w:w="116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-3.521</w:t>
            </w:r>
          </w:p>
        </w:tc>
      </w:tr>
      <w:tr>
        <w:trPr>
          <w:cantSplit/>
          <w:trHeight w:val="45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-3.996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-4.151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-3.842</w:t>
            </w:r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set-elevation-change-0-mmyr-1"/>
      <w:r>
        <w:t xml:space="preserve">SET Elevation Change &gt; 0 mm/yr</w:t>
      </w:r>
      <w:bookmarkEnd w:id="35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841"/>
        <w:gridCol w:w="1084"/>
        <w:gridCol w:w="1084"/>
        <w:gridCol w:w="116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11.886</w:t>
            </w:r>
          </w:p>
        </w:tc>
      </w:tr>
      <w:tr>
        <w:trPr>
          <w:cantSplit/>
          <w:trHeight w:val="41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5.085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22.790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7.513</w:t>
            </w:r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X65d893c287f6ccbf266cdfca7119c0ea6edabc2"/>
      <w:r>
        <w:t xml:space="preserve">SET Elevation Change 95% CI Includes 0 mm/yr</w:t>
      </w:r>
      <w:bookmarkEnd w:id="36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780"/>
        <w:gridCol w:w="961"/>
        <w:gridCol w:w="1083"/>
        <w:gridCol w:w="116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</w:tr>
      <w:tr>
        <w:trPr>
          <w:cantSplit/>
          <w:trHeight w:val="457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0.659</w:t>
            </w:r>
          </w:p>
        </w:tc>
      </w:tr>
    </w:tbl>
    <w:p>
      <w:pPr>
        <w:pStyle w:val="Heading1"/>
      </w:pPr>
      <w:bookmarkStart w:id="37" w:name="sea-level-rise-comparisons"/>
      <w:r>
        <w:t xml:space="preserve">Sea Level Rise Comparisons</w:t>
      </w:r>
      <w:bookmarkEnd w:id="37"/>
    </w:p>
    <w:p>
      <w:pPr>
        <w:pStyle w:val="FirstParagraph"/>
      </w:pPr>
      <w:r>
        <w:t xml:space="preserve">The long-term local rate of sea level rise is</w:t>
      </w:r>
      <w:r>
        <w:t xml:space="preserve"> </w:t>
      </w:r>
      <w:r>
        <w:rPr>
          <w:b/>
        </w:rPr>
        <w:t xml:space="preserve">3.61 +/- 0.59 mm/yr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This rate is reported by Dauphin Island, Alabama, NWLON station number 8735180 based on data from</w:t>
      </w:r>
      <w:r>
        <w:t xml:space="preserve"> </w:t>
      </w:r>
      <w:r>
        <w:rPr>
          <w:i/>
        </w:rPr>
        <w:t xml:space="preserve">1966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2017</w:t>
      </w:r>
      <w:r>
        <w:t xml:space="preserve">.</w:t>
      </w:r>
    </w:p>
    <w:p>
      <w:pPr>
        <w:pStyle w:val="BodyText"/>
      </w:pPr>
      <w:r>
        <w:t xml:space="preserve">The following tables break the SETs into groups where the rate of SET elevation change is</w:t>
      </w:r>
      <w:r>
        <w:t xml:space="preserve"> </w:t>
      </w:r>
      <w:r>
        <w:rPr>
          <w:i/>
        </w:rPr>
        <w:t xml:space="preserve">lower than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higher than</w:t>
      </w:r>
      <w:r>
        <w:t xml:space="preserve"> </w:t>
      </w:r>
      <w:r>
        <w:t xml:space="preserve">/</w:t>
      </w:r>
      <w:r>
        <w:t xml:space="preserve"> </w:t>
      </w:r>
      <w:r>
        <w:rPr>
          <w:i/>
        </w:rPr>
        <w:t xml:space="preserve">not different from</w:t>
      </w:r>
      <w:r>
        <w:t xml:space="preserve"> </w:t>
      </w:r>
      <w:r>
        <w:t xml:space="preserve">this SLR rate.</w:t>
      </w:r>
      <w:r>
        <w:t xml:space="preserve"> </w:t>
      </w:r>
      <w:r>
        <w:rPr>
          <w:i/>
        </w:rPr>
        <w:t xml:space="preserve">Lower than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higher than</w:t>
      </w:r>
      <w:r>
        <w:t xml:space="preserve"> </w:t>
      </w:r>
      <w:r>
        <w:t xml:space="preserve">tables imply that 95% confidence intervals do not overlap between the SET and SLR.</w:t>
      </w:r>
      <w:r>
        <w:t xml:space="preserve"> </w:t>
      </w:r>
      <w:r>
        <w:rPr>
          <w:i/>
        </w:rPr>
        <w:t xml:space="preserve">Not different from</w:t>
      </w:r>
      <w:r>
        <w:t xml:space="preserve"> </w:t>
      </w:r>
      <w:r>
        <w:t xml:space="preserve">means that confidence intervals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overlap.</w:t>
      </w:r>
    </w:p>
    <w:p>
      <w:pPr>
        <w:pStyle w:val="BodyText"/>
      </w:pP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X6e9165416eaae57fe5bb4c9a89de7d81860083e"/>
      <w:r>
        <w:t xml:space="preserve">SET Elevation Change &lt; SLR; CIs don’t overlap</w:t>
      </w:r>
      <w:bookmarkEnd w:id="38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780"/>
        <w:gridCol w:w="1034"/>
        <w:gridCol w:w="1083"/>
        <w:gridCol w:w="1169"/>
        <w:gridCol w:w="160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set_slr_ratio</w:t>
            </w:r>
          </w:p>
        </w:tc>
      </w:tr>
      <w:tr>
        <w:trPr>
          <w:cantSplit/>
          <w:trHeight w:val="45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an_7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-1.018</w:t>
            </w:r>
          </w:p>
        </w:tc>
      </w:tr>
      <w:tr>
        <w:trPr>
          <w:cantSplit/>
          <w:trHeight w:val="457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JURO_High-1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pn_13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-3.996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-4.151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-1.107</w:t>
            </w:r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Xeaae3aade0de4419d170600a3b907228fcf8d62"/>
      <w:r>
        <w:t xml:space="preserve">SET Elevation Change &gt; SLR; CIs don’t overlap</w:t>
      </w:r>
      <w:bookmarkEnd w:id="39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841"/>
        <w:gridCol w:w="1084"/>
        <w:gridCol w:w="1084"/>
        <w:gridCol w:w="1169"/>
        <w:gridCol w:w="160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set_slr_ratio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BBLR_shallow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3.043</w:t>
            </w:r>
          </w:p>
        </w:tc>
      </w:tr>
      <w:tr>
        <w:trPr>
          <w:cantSplit/>
          <w:trHeight w:val="455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SJIP_shallow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6.145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SPALT-1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1.880</w:t>
            </w:r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set-elevation-change-and-slr-cis-overlap"/>
      <w:r>
        <w:t xml:space="preserve">SET Elevation Change and SLR CIs overlap</w:t>
      </w:r>
      <w:bookmarkEnd w:id="40"/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144"/>
        <w:gridCol w:w="1328"/>
        <w:gridCol w:w="961"/>
        <w:gridCol w:w="1083"/>
        <w:gridCol w:w="1169"/>
        <w:gridCol w:w="1609"/>
      </w:tblGrid>
      <w:tr>
        <w:trPr>
          <w:cantSplit/>
          <w:trHeight w:val="457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reserve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CI_high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set_slr_ratio</w:t>
            </w:r>
          </w:p>
        </w:tc>
      </w:tr>
      <w:tr>
        <w:trPr>
          <w:cantSplit/>
          <w:trHeight w:val="414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AAA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CLMAJ-3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1.192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X0bf63b6b07a5de48e62498c6ef989fee6f1249d"/>
      <w:r>
        <w:t xml:space="preserve">Graphical Comparison to Sea Level Rise and 0</w:t>
      </w:r>
      <w:bookmarkEnd w:id="41"/>
    </w:p>
    <w:p>
      <w:pPr>
        <w:pStyle w:val="FirstParagraph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rate_calculations_files/figure-docx/plot_slr_ci_lm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order, according to specifications in the metadata; and labeled with user-friendly names. Note that no plot will be produced if there are any NAs in the metadata fields</w:t>
      </w:r>
      <w:r>
        <w:t xml:space="preserve"> </w:t>
      </w:r>
      <w:r>
        <w:rPr>
          <w:rStyle w:val="VerbatimChar"/>
        </w:rPr>
        <w:t xml:space="preserve">numerical_order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user_friendly_set_name</w:t>
      </w:r>
      <w:r>
        <w:t xml:space="preserve">.</w:t>
      </w:r>
    </w:p>
    <w:p>
      <w:pPr>
        <w:pStyle w:val="BodyText"/>
      </w:pPr>
      <w:r>
        <w:drawing>
          <wp:inline>
            <wp:extent cx="53340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rate_calculations_files/figure-docx/plot_slr_ci_lmm_orde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cumulative-change-snapshot"/>
      <w:r>
        <w:t xml:space="preserve">Cumulative change snapshot</w:t>
      </w:r>
      <w:bookmarkEnd w:id="44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rate_calcula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maps"/>
      <w:r>
        <w:t xml:space="preserve">MAPS</w:t>
      </w:r>
      <w:bookmarkEnd w:id="46"/>
    </w:p>
    <w:p>
      <w:pPr>
        <w:pStyle w:val="Heading3"/>
      </w:pPr>
      <w:bookmarkStart w:id="47" w:name="comparisons-to-0"/>
      <w:r>
        <w:t xml:space="preserve">Comparisons to 0</w:t>
      </w:r>
      <w:bookmarkEnd w:id="47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rate_calcula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9" w:name="comparisons-to-slr"/>
      <w:r>
        <w:t xml:space="preserve">Comparisons to SLR</w:t>
      </w:r>
      <w:bookmarkEnd w:id="49"/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5_rate_calculation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hyperlink" Id="rId29" Target="https://doi.org/10.1007/s12237-018-0448-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2237-018-0448-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Rate Calculations</dc:title>
  <dc:creator/>
  <cp:keywords/>
  <dcterms:created xsi:type="dcterms:W3CDTF">2019-06-18T18:50:14Z</dcterms:created>
  <dcterms:modified xsi:type="dcterms:W3CDTF">2019-06-18T18:50:14Z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2019-06-18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