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09E13" w14:textId="437F5507" w:rsidR="000F265E" w:rsidRDefault="000F265E" w:rsidP="000F265E">
      <w:pPr>
        <w:pBdr>
          <w:bottom w:val="single" w:sz="12" w:space="1" w:color="auto"/>
        </w:pBdr>
        <w:spacing w:after="0"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1. </w:t>
      </w:r>
      <w:r w:rsidRPr="000F265E">
        <w:rPr>
          <w:rFonts w:ascii="Times New Roman" w:eastAsia="Times New Roman" w:hAnsi="Times New Roman" w:cs="Times New Roman"/>
          <w:b/>
          <w:bCs/>
          <w:sz w:val="20"/>
          <w:szCs w:val="20"/>
        </w:rPr>
        <w:t>Abstract</w:t>
      </w:r>
    </w:p>
    <w:p w14:paraId="1E5FAE4C" w14:textId="11724683" w:rsidR="000F265E" w:rsidRDefault="000F265E" w:rsidP="000F265E">
      <w:pPr>
        <w:spacing w:after="0" w:line="240" w:lineRule="auto"/>
        <w:rPr>
          <w:rFonts w:ascii="Times New Roman" w:eastAsia="Times New Roman" w:hAnsi="Times New Roman" w:cs="Times New Roman"/>
          <w:sz w:val="20"/>
          <w:szCs w:val="20"/>
        </w:rPr>
      </w:pPr>
      <w:r w:rsidRPr="000F265E">
        <w:rPr>
          <w:rFonts w:ascii="Times New Roman" w:eastAsia="Times New Roman" w:hAnsi="Times New Roman" w:cs="Times New Roman"/>
          <w:sz w:val="20"/>
          <w:szCs w:val="20"/>
        </w:rPr>
        <w:t>Amazon's rapid expansion and operational efficiency depend on a well-structured facility development lifecycle. This paper explores Amazon's approach to building design, construction, Material Handling Equipment (MHE) installation, testing (HV 1.5 &amp; HV 2.0), and facility launch strategies. Additionally, it examines Amazon's facility portfolio, detailing how different facility types are incorporated into its annual expansion strategy. A risk analysis identifies key challenges and mitigation strategies in scaling Amazon’s infrastructure.</w:t>
      </w:r>
    </w:p>
    <w:p w14:paraId="28889921" w14:textId="758AB4BC" w:rsidR="000F265E" w:rsidRDefault="000F265E" w:rsidP="000F265E">
      <w:pPr>
        <w:pBdr>
          <w:bottom w:val="single" w:sz="12" w:space="1" w:color="auto"/>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r w:rsidRPr="000F265E">
        <w:rPr>
          <w:rFonts w:ascii="Times New Roman" w:eastAsia="Times New Roman" w:hAnsi="Times New Roman" w:cs="Times New Roman"/>
          <w:b/>
          <w:bCs/>
          <w:sz w:val="20"/>
          <w:szCs w:val="20"/>
        </w:rPr>
        <w:t>. Introduction</w:t>
      </w:r>
    </w:p>
    <w:p w14:paraId="1B6750B8" w14:textId="77777777" w:rsidR="000F265E" w:rsidRPr="000F265E" w:rsidRDefault="000F265E" w:rsidP="000F265E">
      <w:pPr>
        <w:spacing w:after="0" w:line="240" w:lineRule="auto"/>
        <w:rPr>
          <w:rFonts w:ascii="Times New Roman" w:eastAsia="Times New Roman" w:hAnsi="Times New Roman" w:cs="Times New Roman"/>
          <w:sz w:val="20"/>
          <w:szCs w:val="20"/>
        </w:rPr>
      </w:pPr>
      <w:r w:rsidRPr="000F265E">
        <w:rPr>
          <w:rFonts w:ascii="Times New Roman" w:eastAsia="Times New Roman" w:hAnsi="Times New Roman" w:cs="Times New Roman"/>
          <w:sz w:val="20"/>
          <w:szCs w:val="20"/>
        </w:rPr>
        <w:t>As one of the world’s largest logistics networks, Amazon continuously optimizes its infrastructure to meet rising demand. The company relies on fulfillment centers (FCs), sort centers (SCs), same-day delivery hubs (SDFs), advanced robotics sortable (ARS) facilities, Amazon Fresh, and Amazon Pharmacy locations to enhance last-mile delivery efficiency. This paper provides a structured analysis of Amazon’s facility lifecycle, from planning to operational launch, highlighting the risks associated with each stage and how Amazon mitigates them. Furthermore, it discusses how Amazon’s real estate and logistics portfolio strategy integrates these facilities into annual expansion efforts.</w:t>
      </w:r>
    </w:p>
    <w:p w14:paraId="601E508B" w14:textId="02F543FB" w:rsidR="00CF6A53" w:rsidRDefault="000F265E" w:rsidP="000F265E">
      <w:pPr>
        <w:pBdr>
          <w:bottom w:val="single" w:sz="12" w:space="1" w:color="auto"/>
        </w:pBdr>
        <w:spacing w:after="0" w:line="240" w:lineRule="auto"/>
        <w:outlineLvl w:val="1"/>
        <w:rPr>
          <w:rFonts w:ascii="Times New Roman" w:eastAsia="Times New Roman" w:hAnsi="Times New Roman" w:cs="Times New Roman"/>
          <w:b/>
          <w:bCs/>
          <w:sz w:val="20"/>
          <w:szCs w:val="20"/>
        </w:rPr>
      </w:pPr>
      <w:r w:rsidRPr="000F265E">
        <w:rPr>
          <w:rFonts w:ascii="Times New Roman" w:eastAsia="Times New Roman" w:hAnsi="Times New Roman" w:cs="Times New Roman"/>
          <w:b/>
          <w:bCs/>
          <w:sz w:val="20"/>
          <w:szCs w:val="20"/>
        </w:rPr>
        <w:t>2. Amazon’s Facility Development Lifecycle</w:t>
      </w:r>
    </w:p>
    <w:p w14:paraId="1066D584" w14:textId="3B9B5768" w:rsidR="00831A40" w:rsidRDefault="00831A40" w:rsidP="00831A40">
      <w:pPr>
        <w:spacing w:after="0" w:line="240" w:lineRule="auto"/>
        <w:rPr>
          <w:rFonts w:ascii="Times New Roman" w:eastAsia="Times New Roman" w:hAnsi="Times New Roman" w:cs="Times New Roman"/>
          <w:sz w:val="20"/>
          <w:szCs w:val="20"/>
        </w:rPr>
      </w:pPr>
      <w:r w:rsidRPr="00831A40">
        <w:rPr>
          <w:rFonts w:ascii="Times New Roman" w:eastAsia="Times New Roman" w:hAnsi="Times New Roman" w:cs="Times New Roman"/>
          <w:sz w:val="20"/>
          <w:szCs w:val="20"/>
        </w:rPr>
        <w:t>Amazon's facility development follows a structured and methodical lifecycle to ensure operational efficiency, scalability, and compliance with regulations. The process begins with the Planning &amp; Design Phase, where site selection is driven by proximity to labor markets, transportation hubs, and regulatory constraints. This phase also involves architectural planning, optimizing layouts for robotics, automation, and material handling efficiency, while securing necessary zoning, environmental, and safety approvals.</w:t>
      </w:r>
    </w:p>
    <w:p w14:paraId="5419E8B7" w14:textId="1841D96A" w:rsidR="00831A40" w:rsidRDefault="00831A40" w:rsidP="00831A40">
      <w:pPr>
        <w:spacing w:after="0" w:line="240" w:lineRule="auto"/>
        <w:rPr>
          <w:rFonts w:ascii="Times New Roman" w:eastAsia="Times New Roman" w:hAnsi="Times New Roman" w:cs="Times New Roman"/>
          <w:sz w:val="20"/>
          <w:szCs w:val="20"/>
        </w:rPr>
      </w:pPr>
      <w:r w:rsidRPr="00831A40">
        <w:rPr>
          <w:rFonts w:ascii="Times New Roman" w:eastAsia="Times New Roman" w:hAnsi="Times New Roman" w:cs="Times New Roman"/>
          <w:sz w:val="20"/>
          <w:szCs w:val="20"/>
        </w:rPr>
        <w:t>Once the design is finalized, the Contracting &amp; Procurement phase involves selecting general contractors (GCs), engineering firms, and Material Handling Equipment (MHE) vendors. Long-lead items like conveyors, robotics, and automation systems are procured early to mitigate potential supply chain delays. The Construction &amp; Facility Build-Out phase follows, starting with site preparation (foundation, steel framing, and utility installations), followed by HVAC, fire suppression, and IT infrastructure deployment.</w:t>
      </w:r>
    </w:p>
    <w:p w14:paraId="0101A46D" w14:textId="419599FE" w:rsidR="00831A40" w:rsidRDefault="00831A40" w:rsidP="00831A40">
      <w:pPr>
        <w:spacing w:after="0" w:line="240" w:lineRule="auto"/>
        <w:rPr>
          <w:rFonts w:ascii="Times New Roman" w:eastAsia="Times New Roman" w:hAnsi="Times New Roman" w:cs="Times New Roman"/>
          <w:sz w:val="20"/>
          <w:szCs w:val="20"/>
        </w:rPr>
      </w:pPr>
      <w:r w:rsidRPr="00831A40">
        <w:rPr>
          <w:rFonts w:ascii="Times New Roman" w:eastAsia="Times New Roman" w:hAnsi="Times New Roman" w:cs="Times New Roman"/>
          <w:sz w:val="20"/>
          <w:szCs w:val="20"/>
        </w:rPr>
        <w:t>After construction, MHE Installation &amp; System Integration takes place, where conveyors, Automated Storage &amp; Retrieval Systems (ASRS), and warehouse management systems (WMS) are installed and configured for seamless warehouse operations. HV Testing (HV 1.5 &amp; HV 2.0) ensures that all MHE and automation components undergo rigorous vendor validation, stress testing, and system-wide integration before operational launch.</w:t>
      </w:r>
    </w:p>
    <w:p w14:paraId="370DAB50" w14:textId="23805A91" w:rsidR="00831A40" w:rsidRDefault="00831A40" w:rsidP="00831A40">
      <w:pPr>
        <w:spacing w:after="0" w:line="240" w:lineRule="auto"/>
        <w:rPr>
          <w:rFonts w:ascii="Times New Roman" w:eastAsia="Times New Roman" w:hAnsi="Times New Roman" w:cs="Times New Roman"/>
          <w:sz w:val="20"/>
          <w:szCs w:val="20"/>
        </w:rPr>
      </w:pPr>
      <w:r w:rsidRPr="00831A40">
        <w:rPr>
          <w:rFonts w:ascii="Times New Roman" w:eastAsia="Times New Roman" w:hAnsi="Times New Roman" w:cs="Times New Roman"/>
          <w:sz w:val="20"/>
          <w:szCs w:val="20"/>
        </w:rPr>
        <w:t>The final phase, Site Launch &amp; Operational Readiness, includes compliance inspections (OSHA, fire safety, FDA for Amazon Fresh &amp; Pharmacy) and staff onboarding, IT system validation, and operational ramp-up. This structured lifecycle ensures that each facility is optimized for performance before full-scale operations commence, supporting Amazon’s rapid expansion and ability to meet growing customer demands.</w:t>
      </w:r>
    </w:p>
    <w:tbl>
      <w:tblPr>
        <w:tblW w:w="8455" w:type="dxa"/>
        <w:tblLook w:val="04A0" w:firstRow="1" w:lastRow="0" w:firstColumn="1" w:lastColumn="0" w:noHBand="0" w:noVBand="1"/>
      </w:tblPr>
      <w:tblGrid>
        <w:gridCol w:w="2605"/>
        <w:gridCol w:w="2790"/>
        <w:gridCol w:w="3060"/>
      </w:tblGrid>
      <w:tr w:rsidR="00CF6A53" w:rsidRPr="00CF6A53" w14:paraId="705DF4FF" w14:textId="77777777" w:rsidTr="00CF6A53">
        <w:trPr>
          <w:trHeight w:val="288"/>
        </w:trPr>
        <w:tc>
          <w:tcPr>
            <w:tcW w:w="260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166AF2A" w14:textId="77777777" w:rsidR="00CF6A53" w:rsidRPr="00CF6A53" w:rsidRDefault="00CF6A53" w:rsidP="00CF6A53">
            <w:pPr>
              <w:spacing w:after="0" w:line="240" w:lineRule="auto"/>
              <w:jc w:val="center"/>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Phase</w:t>
            </w:r>
          </w:p>
        </w:tc>
        <w:tc>
          <w:tcPr>
            <w:tcW w:w="2790" w:type="dxa"/>
            <w:tcBorders>
              <w:top w:val="single" w:sz="4" w:space="0" w:color="auto"/>
              <w:left w:val="nil"/>
              <w:bottom w:val="single" w:sz="4" w:space="0" w:color="auto"/>
              <w:right w:val="single" w:sz="4" w:space="0" w:color="auto"/>
            </w:tcBorders>
            <w:shd w:val="clear" w:color="000000" w:fill="E7E6E6"/>
            <w:vAlign w:val="center"/>
            <w:hideMark/>
          </w:tcPr>
          <w:p w14:paraId="3B5ACD01" w14:textId="77777777" w:rsidR="00CF6A53" w:rsidRPr="00CF6A53" w:rsidRDefault="00CF6A53" w:rsidP="00CF6A53">
            <w:pPr>
              <w:spacing w:after="0" w:line="240" w:lineRule="auto"/>
              <w:jc w:val="center"/>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Key Activities</w:t>
            </w:r>
          </w:p>
        </w:tc>
        <w:tc>
          <w:tcPr>
            <w:tcW w:w="3060" w:type="dxa"/>
            <w:tcBorders>
              <w:top w:val="single" w:sz="4" w:space="0" w:color="auto"/>
              <w:left w:val="nil"/>
              <w:bottom w:val="single" w:sz="4" w:space="0" w:color="auto"/>
              <w:right w:val="single" w:sz="4" w:space="0" w:color="auto"/>
            </w:tcBorders>
            <w:shd w:val="clear" w:color="000000" w:fill="E7E6E6"/>
            <w:vAlign w:val="center"/>
            <w:hideMark/>
          </w:tcPr>
          <w:p w14:paraId="257764AD" w14:textId="77777777" w:rsidR="00CF6A53" w:rsidRPr="00CF6A53" w:rsidRDefault="00CF6A53" w:rsidP="00CF6A53">
            <w:pPr>
              <w:spacing w:after="0" w:line="240" w:lineRule="auto"/>
              <w:jc w:val="center"/>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Primary Focus Areas</w:t>
            </w:r>
          </w:p>
        </w:tc>
      </w:tr>
      <w:tr w:rsidR="00CF6A53" w:rsidRPr="00CF6A53" w14:paraId="502427AC" w14:textId="77777777" w:rsidTr="00CF6A53">
        <w:trPr>
          <w:trHeight w:val="618"/>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5F8CC4A9"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Planning &amp; Design</w:t>
            </w:r>
          </w:p>
        </w:tc>
        <w:tc>
          <w:tcPr>
            <w:tcW w:w="2790" w:type="dxa"/>
            <w:tcBorders>
              <w:top w:val="nil"/>
              <w:left w:val="nil"/>
              <w:bottom w:val="single" w:sz="4" w:space="0" w:color="auto"/>
              <w:right w:val="single" w:sz="4" w:space="0" w:color="auto"/>
            </w:tcBorders>
            <w:shd w:val="clear" w:color="auto" w:fill="auto"/>
            <w:vAlign w:val="center"/>
            <w:hideMark/>
          </w:tcPr>
          <w:p w14:paraId="36616222"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Site selection, architectural layout, zoning &amp; safety approvals</w:t>
            </w:r>
          </w:p>
        </w:tc>
        <w:tc>
          <w:tcPr>
            <w:tcW w:w="3060" w:type="dxa"/>
            <w:tcBorders>
              <w:top w:val="nil"/>
              <w:left w:val="nil"/>
              <w:bottom w:val="single" w:sz="4" w:space="0" w:color="auto"/>
              <w:right w:val="single" w:sz="4" w:space="0" w:color="auto"/>
            </w:tcBorders>
            <w:shd w:val="clear" w:color="auto" w:fill="auto"/>
            <w:vAlign w:val="center"/>
            <w:hideMark/>
          </w:tcPr>
          <w:p w14:paraId="50FE8AEB"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Proximity to labor, transport hubs, compliance</w:t>
            </w:r>
          </w:p>
        </w:tc>
      </w:tr>
      <w:tr w:rsidR="00CF6A53" w:rsidRPr="00CF6A53" w14:paraId="337B48F6" w14:textId="77777777" w:rsidTr="00CF6A53">
        <w:trPr>
          <w:trHeight w:val="630"/>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1612C435"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Contracting &amp; Procurement</w:t>
            </w:r>
          </w:p>
        </w:tc>
        <w:tc>
          <w:tcPr>
            <w:tcW w:w="2790" w:type="dxa"/>
            <w:tcBorders>
              <w:top w:val="nil"/>
              <w:left w:val="nil"/>
              <w:bottom w:val="single" w:sz="4" w:space="0" w:color="auto"/>
              <w:right w:val="single" w:sz="4" w:space="0" w:color="auto"/>
            </w:tcBorders>
            <w:shd w:val="clear" w:color="auto" w:fill="auto"/>
            <w:vAlign w:val="center"/>
            <w:hideMark/>
          </w:tcPr>
          <w:p w14:paraId="68FDED1C"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Vendor selection, material &amp; MHE procurement</w:t>
            </w:r>
          </w:p>
        </w:tc>
        <w:tc>
          <w:tcPr>
            <w:tcW w:w="3060" w:type="dxa"/>
            <w:tcBorders>
              <w:top w:val="nil"/>
              <w:left w:val="nil"/>
              <w:bottom w:val="single" w:sz="4" w:space="0" w:color="auto"/>
              <w:right w:val="single" w:sz="4" w:space="0" w:color="auto"/>
            </w:tcBorders>
            <w:shd w:val="clear" w:color="auto" w:fill="auto"/>
            <w:vAlign w:val="center"/>
            <w:hideMark/>
          </w:tcPr>
          <w:p w14:paraId="707E2C6D"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Securing contractors, ordering long-lead equipment</w:t>
            </w:r>
          </w:p>
        </w:tc>
      </w:tr>
      <w:tr w:rsidR="00CF6A53" w:rsidRPr="00CF6A53" w14:paraId="13349CBA" w14:textId="77777777" w:rsidTr="00CF6A53">
        <w:trPr>
          <w:trHeight w:val="774"/>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1BAAC67B"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Construction &amp; Facility Build-Out</w:t>
            </w:r>
          </w:p>
        </w:tc>
        <w:tc>
          <w:tcPr>
            <w:tcW w:w="2790" w:type="dxa"/>
            <w:tcBorders>
              <w:top w:val="nil"/>
              <w:left w:val="nil"/>
              <w:bottom w:val="single" w:sz="4" w:space="0" w:color="auto"/>
              <w:right w:val="single" w:sz="4" w:space="0" w:color="auto"/>
            </w:tcBorders>
            <w:shd w:val="clear" w:color="auto" w:fill="auto"/>
            <w:vAlign w:val="center"/>
            <w:hideMark/>
          </w:tcPr>
          <w:p w14:paraId="018D309B"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Site preparation, steel framing, infrastructure installation</w:t>
            </w:r>
          </w:p>
        </w:tc>
        <w:tc>
          <w:tcPr>
            <w:tcW w:w="3060" w:type="dxa"/>
            <w:tcBorders>
              <w:top w:val="nil"/>
              <w:left w:val="nil"/>
              <w:bottom w:val="single" w:sz="4" w:space="0" w:color="auto"/>
              <w:right w:val="single" w:sz="4" w:space="0" w:color="auto"/>
            </w:tcBorders>
            <w:shd w:val="clear" w:color="auto" w:fill="auto"/>
            <w:vAlign w:val="center"/>
            <w:hideMark/>
          </w:tcPr>
          <w:p w14:paraId="208E6E92"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Structural integrity, electrical &amp; mechanical setup</w:t>
            </w:r>
          </w:p>
        </w:tc>
      </w:tr>
      <w:tr w:rsidR="00CF6A53" w:rsidRPr="00CF6A53" w14:paraId="69619651" w14:textId="77777777" w:rsidTr="00CF6A53">
        <w:trPr>
          <w:trHeight w:val="540"/>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646D47B3"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MHE Installation &amp; System Integration</w:t>
            </w:r>
          </w:p>
        </w:tc>
        <w:tc>
          <w:tcPr>
            <w:tcW w:w="2790" w:type="dxa"/>
            <w:tcBorders>
              <w:top w:val="nil"/>
              <w:left w:val="nil"/>
              <w:bottom w:val="single" w:sz="4" w:space="0" w:color="auto"/>
              <w:right w:val="single" w:sz="4" w:space="0" w:color="auto"/>
            </w:tcBorders>
            <w:shd w:val="clear" w:color="auto" w:fill="auto"/>
            <w:vAlign w:val="center"/>
            <w:hideMark/>
          </w:tcPr>
          <w:p w14:paraId="4F648218"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Conveyor &amp; ASRS setup, WMS integration</w:t>
            </w:r>
          </w:p>
        </w:tc>
        <w:tc>
          <w:tcPr>
            <w:tcW w:w="3060" w:type="dxa"/>
            <w:tcBorders>
              <w:top w:val="nil"/>
              <w:left w:val="nil"/>
              <w:bottom w:val="single" w:sz="4" w:space="0" w:color="auto"/>
              <w:right w:val="single" w:sz="4" w:space="0" w:color="auto"/>
            </w:tcBorders>
            <w:shd w:val="clear" w:color="auto" w:fill="auto"/>
            <w:vAlign w:val="center"/>
            <w:hideMark/>
          </w:tcPr>
          <w:p w14:paraId="5DDFAFA1"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Automation &amp; warehouse management efficiency</w:t>
            </w:r>
          </w:p>
        </w:tc>
      </w:tr>
      <w:tr w:rsidR="00CF6A53" w:rsidRPr="00CF6A53" w14:paraId="38BA708E" w14:textId="77777777" w:rsidTr="00CF6A53">
        <w:trPr>
          <w:trHeight w:val="618"/>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5FD091AB"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HV 1.5 &amp; HV 2.0 Testing</w:t>
            </w:r>
          </w:p>
        </w:tc>
        <w:tc>
          <w:tcPr>
            <w:tcW w:w="2790" w:type="dxa"/>
            <w:tcBorders>
              <w:top w:val="nil"/>
              <w:left w:val="nil"/>
              <w:bottom w:val="single" w:sz="4" w:space="0" w:color="auto"/>
              <w:right w:val="single" w:sz="4" w:space="0" w:color="auto"/>
            </w:tcBorders>
            <w:shd w:val="clear" w:color="auto" w:fill="auto"/>
            <w:vAlign w:val="center"/>
            <w:hideMark/>
          </w:tcPr>
          <w:p w14:paraId="5F712AB4"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MHE vendor validation, peak throughput stress testing</w:t>
            </w:r>
          </w:p>
        </w:tc>
        <w:tc>
          <w:tcPr>
            <w:tcW w:w="3060" w:type="dxa"/>
            <w:tcBorders>
              <w:top w:val="nil"/>
              <w:left w:val="nil"/>
              <w:bottom w:val="single" w:sz="4" w:space="0" w:color="auto"/>
              <w:right w:val="single" w:sz="4" w:space="0" w:color="auto"/>
            </w:tcBorders>
            <w:shd w:val="clear" w:color="auto" w:fill="auto"/>
            <w:vAlign w:val="center"/>
            <w:hideMark/>
          </w:tcPr>
          <w:p w14:paraId="13803693"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Ensuring operational readiness, performance optimization</w:t>
            </w:r>
          </w:p>
        </w:tc>
      </w:tr>
      <w:tr w:rsidR="00CF6A53" w:rsidRPr="00CF6A53" w14:paraId="3D633DFE" w14:textId="77777777" w:rsidTr="00CF6A53">
        <w:trPr>
          <w:trHeight w:val="636"/>
        </w:trPr>
        <w:tc>
          <w:tcPr>
            <w:tcW w:w="2605" w:type="dxa"/>
            <w:tcBorders>
              <w:top w:val="nil"/>
              <w:left w:val="single" w:sz="4" w:space="0" w:color="auto"/>
              <w:bottom w:val="single" w:sz="4" w:space="0" w:color="auto"/>
              <w:right w:val="single" w:sz="4" w:space="0" w:color="auto"/>
            </w:tcBorders>
            <w:shd w:val="clear" w:color="auto" w:fill="auto"/>
            <w:vAlign w:val="center"/>
            <w:hideMark/>
          </w:tcPr>
          <w:p w14:paraId="637CD88B" w14:textId="77777777" w:rsidR="00CF6A53" w:rsidRPr="00CF6A53" w:rsidRDefault="00CF6A53" w:rsidP="00CF6A53">
            <w:pPr>
              <w:spacing w:after="0" w:line="240" w:lineRule="auto"/>
              <w:rPr>
                <w:rFonts w:ascii="Times New Roman" w:eastAsia="Times New Roman" w:hAnsi="Times New Roman" w:cs="Times New Roman"/>
                <w:b/>
                <w:bCs/>
                <w:color w:val="000000"/>
                <w:sz w:val="16"/>
                <w:szCs w:val="16"/>
              </w:rPr>
            </w:pPr>
            <w:r w:rsidRPr="00CF6A53">
              <w:rPr>
                <w:rFonts w:ascii="Times New Roman" w:eastAsia="Times New Roman" w:hAnsi="Times New Roman" w:cs="Times New Roman"/>
                <w:b/>
                <w:bCs/>
                <w:color w:val="000000"/>
                <w:sz w:val="16"/>
                <w:szCs w:val="16"/>
              </w:rPr>
              <w:t>Site Launch &amp; Operational Readiness</w:t>
            </w:r>
          </w:p>
        </w:tc>
        <w:tc>
          <w:tcPr>
            <w:tcW w:w="2790" w:type="dxa"/>
            <w:tcBorders>
              <w:top w:val="nil"/>
              <w:left w:val="nil"/>
              <w:bottom w:val="single" w:sz="4" w:space="0" w:color="auto"/>
              <w:right w:val="single" w:sz="4" w:space="0" w:color="auto"/>
            </w:tcBorders>
            <w:shd w:val="clear" w:color="auto" w:fill="auto"/>
            <w:vAlign w:val="center"/>
            <w:hideMark/>
          </w:tcPr>
          <w:p w14:paraId="478C27FC"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Regulatory inspections, employee training, IT validation</w:t>
            </w:r>
          </w:p>
        </w:tc>
        <w:tc>
          <w:tcPr>
            <w:tcW w:w="3060" w:type="dxa"/>
            <w:tcBorders>
              <w:top w:val="nil"/>
              <w:left w:val="nil"/>
              <w:bottom w:val="single" w:sz="4" w:space="0" w:color="auto"/>
              <w:right w:val="single" w:sz="4" w:space="0" w:color="auto"/>
            </w:tcBorders>
            <w:shd w:val="clear" w:color="auto" w:fill="auto"/>
            <w:vAlign w:val="center"/>
            <w:hideMark/>
          </w:tcPr>
          <w:p w14:paraId="66E6C011" w14:textId="77777777" w:rsidR="00CF6A53" w:rsidRPr="00CF6A53" w:rsidRDefault="00CF6A53" w:rsidP="00CF6A53">
            <w:pPr>
              <w:spacing w:after="0" w:line="240" w:lineRule="auto"/>
              <w:rPr>
                <w:rFonts w:ascii="Times New Roman" w:eastAsia="Times New Roman" w:hAnsi="Times New Roman" w:cs="Times New Roman"/>
                <w:color w:val="000000"/>
                <w:sz w:val="16"/>
                <w:szCs w:val="16"/>
              </w:rPr>
            </w:pPr>
            <w:r w:rsidRPr="00CF6A53">
              <w:rPr>
                <w:rFonts w:ascii="Times New Roman" w:eastAsia="Times New Roman" w:hAnsi="Times New Roman" w:cs="Times New Roman"/>
                <w:color w:val="000000"/>
                <w:sz w:val="16"/>
                <w:szCs w:val="16"/>
              </w:rPr>
              <w:t>Compliance, workforce readiness, final system integration</w:t>
            </w:r>
          </w:p>
        </w:tc>
      </w:tr>
    </w:tbl>
    <w:p w14:paraId="78E18F34" w14:textId="3597DC86" w:rsidR="00762ACF" w:rsidRDefault="000F265E" w:rsidP="00762ACF">
      <w:pPr>
        <w:pBdr>
          <w:bottom w:val="single" w:sz="12" w:space="1" w:color="auto"/>
        </w:pBdr>
        <w:spacing w:after="0" w:line="240" w:lineRule="auto"/>
        <w:outlineLvl w:val="1"/>
        <w:rPr>
          <w:rFonts w:ascii="Times New Roman" w:eastAsia="Times New Roman" w:hAnsi="Times New Roman" w:cs="Times New Roman"/>
          <w:b/>
          <w:bCs/>
          <w:sz w:val="20"/>
          <w:szCs w:val="20"/>
        </w:rPr>
      </w:pPr>
      <w:r w:rsidRPr="000F265E">
        <w:rPr>
          <w:rFonts w:ascii="Times New Roman" w:eastAsia="Times New Roman" w:hAnsi="Times New Roman" w:cs="Times New Roman"/>
          <w:b/>
          <w:bCs/>
          <w:sz w:val="20"/>
          <w:szCs w:val="20"/>
        </w:rPr>
        <w:t>3. Comparative Analysis of Amazon Facility Type</w:t>
      </w:r>
      <w:r w:rsidR="00B908C9" w:rsidRPr="00CF6A53">
        <w:rPr>
          <w:rFonts w:ascii="Times New Roman" w:eastAsia="Times New Roman" w:hAnsi="Times New Roman" w:cs="Times New Roman"/>
          <w:b/>
          <w:bCs/>
          <w:sz w:val="20"/>
          <w:szCs w:val="20"/>
        </w:rPr>
        <w:t>s</w:t>
      </w:r>
    </w:p>
    <w:p w14:paraId="137A2067" w14:textId="3D5FDE0C" w:rsidR="00762ACF" w:rsidRPr="00CF6A53" w:rsidRDefault="00762ACF" w:rsidP="00762ACF">
      <w:pPr>
        <w:spacing w:after="0" w:line="240" w:lineRule="auto"/>
        <w:outlineLvl w:val="1"/>
        <w:rPr>
          <w:rFonts w:ascii="Times New Roman" w:eastAsia="Times New Roman" w:hAnsi="Times New Roman" w:cs="Times New Roman"/>
          <w:b/>
          <w:bCs/>
          <w:sz w:val="20"/>
          <w:szCs w:val="20"/>
        </w:rPr>
      </w:pPr>
      <w:r w:rsidRPr="00CF6A53">
        <w:rPr>
          <w:rFonts w:ascii="Times New Roman" w:hAnsi="Times New Roman" w:cs="Times New Roman"/>
          <w:sz w:val="20"/>
          <w:szCs w:val="20"/>
        </w:rPr>
        <w:t xml:space="preserve">Amazon's facility development strategy presents unique risks and challenges based on the </w:t>
      </w:r>
      <w:r w:rsidRPr="00CF6A53">
        <w:rPr>
          <w:rStyle w:val="Strong"/>
          <w:rFonts w:ascii="Times New Roman" w:hAnsi="Times New Roman" w:cs="Times New Roman"/>
          <w:b w:val="0"/>
          <w:bCs w:val="0"/>
          <w:sz w:val="20"/>
          <w:szCs w:val="20"/>
        </w:rPr>
        <w:t>type, function, and scale</w:t>
      </w:r>
      <w:r w:rsidRPr="00CF6A53">
        <w:rPr>
          <w:rFonts w:ascii="Times New Roman" w:hAnsi="Times New Roman" w:cs="Times New Roman"/>
          <w:sz w:val="20"/>
          <w:szCs w:val="20"/>
        </w:rPr>
        <w:t xml:space="preserve"> of each site. </w:t>
      </w:r>
      <w:r w:rsidRPr="00CF6A53">
        <w:rPr>
          <w:rStyle w:val="Strong"/>
          <w:rFonts w:ascii="Times New Roman" w:hAnsi="Times New Roman" w:cs="Times New Roman"/>
          <w:b w:val="0"/>
          <w:bCs w:val="0"/>
          <w:sz w:val="20"/>
          <w:szCs w:val="20"/>
        </w:rPr>
        <w:t>Fulfillment Centers (FCs) and Advanced Robotics Sortable (ARS) facilities</w:t>
      </w:r>
      <w:r w:rsidRPr="00CF6A53">
        <w:rPr>
          <w:rFonts w:ascii="Times New Roman" w:hAnsi="Times New Roman" w:cs="Times New Roman"/>
          <w:sz w:val="20"/>
          <w:szCs w:val="20"/>
        </w:rPr>
        <w:t xml:space="preserve"> face the </w:t>
      </w:r>
      <w:r w:rsidRPr="00CF6A53">
        <w:rPr>
          <w:rStyle w:val="Strong"/>
          <w:rFonts w:ascii="Times New Roman" w:hAnsi="Times New Roman" w:cs="Times New Roman"/>
          <w:b w:val="0"/>
          <w:bCs w:val="0"/>
          <w:sz w:val="20"/>
          <w:szCs w:val="20"/>
        </w:rPr>
        <w:t>highest risks</w:t>
      </w:r>
      <w:r w:rsidRPr="00CF6A53">
        <w:rPr>
          <w:rFonts w:ascii="Times New Roman" w:hAnsi="Times New Roman" w:cs="Times New Roman"/>
          <w:sz w:val="20"/>
          <w:szCs w:val="20"/>
        </w:rPr>
        <w:t xml:space="preserve"> due to the </w:t>
      </w:r>
      <w:r w:rsidRPr="00CF6A53">
        <w:rPr>
          <w:rStyle w:val="Strong"/>
          <w:rFonts w:ascii="Times New Roman" w:hAnsi="Times New Roman" w:cs="Times New Roman"/>
          <w:b w:val="0"/>
          <w:bCs w:val="0"/>
          <w:sz w:val="20"/>
          <w:szCs w:val="20"/>
        </w:rPr>
        <w:t>complexity of automation, MHE integration, and AI-driven robotics</w:t>
      </w:r>
      <w:r w:rsidRPr="00CF6A53">
        <w:rPr>
          <w:rFonts w:ascii="Times New Roman" w:hAnsi="Times New Roman" w:cs="Times New Roman"/>
          <w:sz w:val="20"/>
          <w:szCs w:val="20"/>
        </w:rPr>
        <w:t xml:space="preserve">, which can lead to delays or system failures. </w:t>
      </w:r>
      <w:r w:rsidRPr="00CF6A53">
        <w:rPr>
          <w:rFonts w:ascii="Times New Roman" w:hAnsi="Times New Roman" w:cs="Times New Roman"/>
          <w:sz w:val="20"/>
          <w:szCs w:val="20"/>
        </w:rPr>
        <w:lastRenderedPageBreak/>
        <w:t xml:space="preserve">To mitigate these risks, Amazon </w:t>
      </w:r>
      <w:r w:rsidRPr="00CF6A53">
        <w:rPr>
          <w:rStyle w:val="Strong"/>
          <w:rFonts w:ascii="Times New Roman" w:hAnsi="Times New Roman" w:cs="Times New Roman"/>
          <w:b w:val="0"/>
          <w:bCs w:val="0"/>
          <w:sz w:val="20"/>
          <w:szCs w:val="20"/>
        </w:rPr>
        <w:t>implements parallel testing, vendor redundancy, and predictive maintenance</w:t>
      </w:r>
      <w:r w:rsidRPr="00CF6A53">
        <w:rPr>
          <w:rFonts w:ascii="Times New Roman" w:hAnsi="Times New Roman" w:cs="Times New Roman"/>
          <w:sz w:val="20"/>
          <w:szCs w:val="20"/>
        </w:rPr>
        <w:t xml:space="preserve"> to ensure smooth operations. </w:t>
      </w:r>
      <w:r w:rsidRPr="00CF6A53">
        <w:rPr>
          <w:rStyle w:val="Strong"/>
          <w:rFonts w:ascii="Times New Roman" w:hAnsi="Times New Roman" w:cs="Times New Roman"/>
          <w:b w:val="0"/>
          <w:bCs w:val="0"/>
          <w:sz w:val="20"/>
          <w:szCs w:val="20"/>
        </w:rPr>
        <w:t>Sort Centers (SCs) and Same-Day Delivery Hubs (SDFs)</w:t>
      </w:r>
      <w:r w:rsidRPr="00CF6A53">
        <w:rPr>
          <w:rFonts w:ascii="Times New Roman" w:hAnsi="Times New Roman" w:cs="Times New Roman"/>
          <w:sz w:val="20"/>
          <w:szCs w:val="20"/>
        </w:rPr>
        <w:t xml:space="preserve"> encounter </w:t>
      </w:r>
      <w:r w:rsidRPr="00CF6A53">
        <w:rPr>
          <w:rStyle w:val="Strong"/>
          <w:rFonts w:ascii="Times New Roman" w:hAnsi="Times New Roman" w:cs="Times New Roman"/>
          <w:b w:val="0"/>
          <w:bCs w:val="0"/>
          <w:sz w:val="20"/>
          <w:szCs w:val="20"/>
        </w:rPr>
        <w:t>logistics and scalability issues</w:t>
      </w:r>
      <w:r w:rsidRPr="00CF6A53">
        <w:rPr>
          <w:rFonts w:ascii="Times New Roman" w:hAnsi="Times New Roman" w:cs="Times New Roman"/>
          <w:b/>
          <w:bCs/>
          <w:sz w:val="20"/>
          <w:szCs w:val="20"/>
        </w:rPr>
        <w:t xml:space="preserve">, </w:t>
      </w:r>
      <w:r w:rsidRPr="00CF6A53">
        <w:rPr>
          <w:rFonts w:ascii="Times New Roman" w:hAnsi="Times New Roman" w:cs="Times New Roman"/>
          <w:sz w:val="20"/>
          <w:szCs w:val="20"/>
        </w:rPr>
        <w:t>such as</w:t>
      </w:r>
      <w:r w:rsidRPr="00CF6A53">
        <w:rPr>
          <w:rFonts w:ascii="Times New Roman" w:hAnsi="Times New Roman" w:cs="Times New Roman"/>
          <w:b/>
          <w:bCs/>
          <w:sz w:val="20"/>
          <w:szCs w:val="20"/>
        </w:rPr>
        <w:t xml:space="preserve"> </w:t>
      </w:r>
      <w:r w:rsidRPr="00CF6A53">
        <w:rPr>
          <w:rStyle w:val="Strong"/>
          <w:rFonts w:ascii="Times New Roman" w:hAnsi="Times New Roman" w:cs="Times New Roman"/>
          <w:b w:val="0"/>
          <w:bCs w:val="0"/>
          <w:sz w:val="20"/>
          <w:szCs w:val="20"/>
        </w:rPr>
        <w:t>misrouted packages, real estate constraints, and traffic congestion</w:t>
      </w:r>
      <w:r w:rsidRPr="00CF6A53">
        <w:rPr>
          <w:rFonts w:ascii="Times New Roman" w:hAnsi="Times New Roman" w:cs="Times New Roman"/>
          <w:sz w:val="20"/>
          <w:szCs w:val="20"/>
        </w:rPr>
        <w:t xml:space="preserve"> in urban areas. Amazon </w:t>
      </w:r>
      <w:r w:rsidRPr="00CF6A53">
        <w:rPr>
          <w:rStyle w:val="Strong"/>
          <w:rFonts w:ascii="Times New Roman" w:hAnsi="Times New Roman" w:cs="Times New Roman"/>
          <w:b w:val="0"/>
          <w:bCs w:val="0"/>
          <w:sz w:val="20"/>
          <w:szCs w:val="20"/>
        </w:rPr>
        <w:t>leverages AI-driven route optimization, phased infrastructure deployment, and automated error correction</w:t>
      </w:r>
      <w:r w:rsidRPr="00CF6A53">
        <w:rPr>
          <w:rFonts w:ascii="Times New Roman" w:hAnsi="Times New Roman" w:cs="Times New Roman"/>
          <w:sz w:val="20"/>
          <w:szCs w:val="20"/>
        </w:rPr>
        <w:t xml:space="preserve"> to minimize inefficiencies. Meanwhile, </w:t>
      </w:r>
      <w:r w:rsidRPr="00CF6A53">
        <w:rPr>
          <w:rStyle w:val="Strong"/>
          <w:rFonts w:ascii="Times New Roman" w:hAnsi="Times New Roman" w:cs="Times New Roman"/>
          <w:b w:val="0"/>
          <w:bCs w:val="0"/>
          <w:sz w:val="20"/>
          <w:szCs w:val="20"/>
        </w:rPr>
        <w:t>Amazon Fresh and Pharmacy facilities</w:t>
      </w:r>
      <w:r w:rsidRPr="00CF6A53">
        <w:rPr>
          <w:rFonts w:ascii="Times New Roman" w:hAnsi="Times New Roman" w:cs="Times New Roman"/>
          <w:sz w:val="20"/>
          <w:szCs w:val="20"/>
        </w:rPr>
        <w:t xml:space="preserve"> pose distinct </w:t>
      </w:r>
      <w:r w:rsidRPr="00CF6A53">
        <w:rPr>
          <w:rStyle w:val="Strong"/>
          <w:rFonts w:ascii="Times New Roman" w:hAnsi="Times New Roman" w:cs="Times New Roman"/>
          <w:b w:val="0"/>
          <w:bCs w:val="0"/>
          <w:sz w:val="20"/>
          <w:szCs w:val="20"/>
        </w:rPr>
        <w:t>compliance risks</w:t>
      </w:r>
      <w:r w:rsidRPr="00CF6A53">
        <w:rPr>
          <w:rFonts w:ascii="Times New Roman" w:hAnsi="Times New Roman" w:cs="Times New Roman"/>
          <w:sz w:val="20"/>
          <w:szCs w:val="20"/>
        </w:rPr>
        <w:t xml:space="preserve"> due to </w:t>
      </w:r>
      <w:r w:rsidRPr="00CF6A53">
        <w:rPr>
          <w:rStyle w:val="Strong"/>
          <w:rFonts w:ascii="Times New Roman" w:hAnsi="Times New Roman" w:cs="Times New Roman"/>
          <w:b w:val="0"/>
          <w:bCs w:val="0"/>
          <w:sz w:val="20"/>
          <w:szCs w:val="20"/>
        </w:rPr>
        <w:t>FDA regulations, refrigeration failures, and spoilage concerns</w:t>
      </w:r>
      <w:r w:rsidRPr="00CF6A53">
        <w:rPr>
          <w:rFonts w:ascii="Times New Roman" w:hAnsi="Times New Roman" w:cs="Times New Roman"/>
          <w:sz w:val="20"/>
          <w:szCs w:val="20"/>
        </w:rPr>
        <w:t xml:space="preserve">. To mitigate these challenges, Amazon </w:t>
      </w:r>
      <w:r w:rsidRPr="00CF6A53">
        <w:rPr>
          <w:rStyle w:val="Strong"/>
          <w:rFonts w:ascii="Times New Roman" w:hAnsi="Times New Roman" w:cs="Times New Roman"/>
          <w:b w:val="0"/>
          <w:bCs w:val="0"/>
          <w:sz w:val="20"/>
          <w:szCs w:val="20"/>
        </w:rPr>
        <w:t>employs redundant cold storage systems, real-time monitoring, and frequent compliance audits</w:t>
      </w:r>
      <w:r w:rsidRPr="00CF6A53">
        <w:rPr>
          <w:rFonts w:ascii="Times New Roman" w:hAnsi="Times New Roman" w:cs="Times New Roman"/>
          <w:sz w:val="20"/>
          <w:szCs w:val="20"/>
        </w:rPr>
        <w:t xml:space="preserve">. Across all facility types, Amazon’s risk management strategy is built on </w:t>
      </w:r>
      <w:r w:rsidRPr="00CF6A53">
        <w:rPr>
          <w:rStyle w:val="Strong"/>
          <w:rFonts w:ascii="Times New Roman" w:hAnsi="Times New Roman" w:cs="Times New Roman"/>
          <w:b w:val="0"/>
          <w:bCs w:val="0"/>
          <w:sz w:val="20"/>
          <w:szCs w:val="20"/>
        </w:rPr>
        <w:t>automation resilience, flexible logistics planning, and proactive maintenance</w:t>
      </w:r>
      <w:r w:rsidRPr="00CF6A53">
        <w:rPr>
          <w:rFonts w:ascii="Times New Roman" w:hAnsi="Times New Roman" w:cs="Times New Roman"/>
          <w:sz w:val="20"/>
          <w:szCs w:val="20"/>
        </w:rPr>
        <w:t>, ensuring continued scalability and efficiency in its global supply chain.</w:t>
      </w:r>
    </w:p>
    <w:tbl>
      <w:tblPr>
        <w:tblW w:w="11283" w:type="dxa"/>
        <w:tblInd w:w="-967" w:type="dxa"/>
        <w:tblLook w:val="04A0" w:firstRow="1" w:lastRow="0" w:firstColumn="1" w:lastColumn="0" w:noHBand="0" w:noVBand="1"/>
      </w:tblPr>
      <w:tblGrid>
        <w:gridCol w:w="1142"/>
        <w:gridCol w:w="990"/>
        <w:gridCol w:w="1392"/>
        <w:gridCol w:w="1536"/>
        <w:gridCol w:w="1454"/>
        <w:gridCol w:w="910"/>
        <w:gridCol w:w="848"/>
        <w:gridCol w:w="1434"/>
        <w:gridCol w:w="1577"/>
      </w:tblGrid>
      <w:tr w:rsidR="005A6BBB" w:rsidRPr="005A6BBB" w14:paraId="487B989D" w14:textId="77777777" w:rsidTr="009240F6">
        <w:trPr>
          <w:trHeight w:val="408"/>
        </w:trPr>
        <w:tc>
          <w:tcPr>
            <w:tcW w:w="114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F14F234"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Facility Type</w:t>
            </w:r>
          </w:p>
        </w:tc>
        <w:tc>
          <w:tcPr>
            <w:tcW w:w="990" w:type="dxa"/>
            <w:tcBorders>
              <w:top w:val="single" w:sz="4" w:space="0" w:color="auto"/>
              <w:left w:val="nil"/>
              <w:bottom w:val="single" w:sz="4" w:space="0" w:color="auto"/>
              <w:right w:val="single" w:sz="4" w:space="0" w:color="auto"/>
            </w:tcBorders>
            <w:shd w:val="clear" w:color="000000" w:fill="E7E6E6"/>
            <w:vAlign w:val="center"/>
            <w:hideMark/>
          </w:tcPr>
          <w:p w14:paraId="519C8F41"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Size (sq. ft.)</w:t>
            </w:r>
          </w:p>
        </w:tc>
        <w:tc>
          <w:tcPr>
            <w:tcW w:w="1392" w:type="dxa"/>
            <w:tcBorders>
              <w:top w:val="single" w:sz="4" w:space="0" w:color="auto"/>
              <w:left w:val="nil"/>
              <w:bottom w:val="single" w:sz="4" w:space="0" w:color="auto"/>
              <w:right w:val="single" w:sz="4" w:space="0" w:color="auto"/>
            </w:tcBorders>
            <w:shd w:val="clear" w:color="000000" w:fill="E7E6E6"/>
            <w:vAlign w:val="center"/>
            <w:hideMark/>
          </w:tcPr>
          <w:p w14:paraId="7E308CB2"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Primary Function</w:t>
            </w:r>
          </w:p>
        </w:tc>
        <w:tc>
          <w:tcPr>
            <w:tcW w:w="1536" w:type="dxa"/>
            <w:tcBorders>
              <w:top w:val="single" w:sz="4" w:space="0" w:color="auto"/>
              <w:left w:val="nil"/>
              <w:bottom w:val="single" w:sz="4" w:space="0" w:color="auto"/>
              <w:right w:val="single" w:sz="4" w:space="0" w:color="auto"/>
            </w:tcBorders>
            <w:shd w:val="clear" w:color="000000" w:fill="E7E6E6"/>
            <w:vAlign w:val="center"/>
            <w:hideMark/>
          </w:tcPr>
          <w:p w14:paraId="279291EF"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Technology Used</w:t>
            </w:r>
          </w:p>
        </w:tc>
        <w:tc>
          <w:tcPr>
            <w:tcW w:w="1454" w:type="dxa"/>
            <w:tcBorders>
              <w:top w:val="single" w:sz="4" w:space="0" w:color="auto"/>
              <w:left w:val="nil"/>
              <w:bottom w:val="single" w:sz="4" w:space="0" w:color="auto"/>
              <w:right w:val="single" w:sz="4" w:space="0" w:color="auto"/>
            </w:tcBorders>
            <w:shd w:val="clear" w:color="000000" w:fill="E7E6E6"/>
            <w:vAlign w:val="center"/>
            <w:hideMark/>
          </w:tcPr>
          <w:p w14:paraId="3CF54EAC"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Key Challenges</w:t>
            </w:r>
          </w:p>
        </w:tc>
        <w:tc>
          <w:tcPr>
            <w:tcW w:w="910" w:type="dxa"/>
            <w:tcBorders>
              <w:top w:val="single" w:sz="4" w:space="0" w:color="auto"/>
              <w:left w:val="nil"/>
              <w:bottom w:val="single" w:sz="4" w:space="0" w:color="auto"/>
              <w:right w:val="single" w:sz="4" w:space="0" w:color="auto"/>
            </w:tcBorders>
            <w:shd w:val="clear" w:color="000000" w:fill="E7E6E6"/>
            <w:vAlign w:val="center"/>
            <w:hideMark/>
          </w:tcPr>
          <w:p w14:paraId="29D7F5F3"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Estimated Cost ($M)</w:t>
            </w:r>
          </w:p>
        </w:tc>
        <w:tc>
          <w:tcPr>
            <w:tcW w:w="848" w:type="dxa"/>
            <w:tcBorders>
              <w:top w:val="single" w:sz="4" w:space="0" w:color="auto"/>
              <w:left w:val="nil"/>
              <w:bottom w:val="single" w:sz="4" w:space="0" w:color="auto"/>
              <w:right w:val="single" w:sz="4" w:space="0" w:color="auto"/>
            </w:tcBorders>
            <w:shd w:val="clear" w:color="000000" w:fill="E7E6E6"/>
            <w:vAlign w:val="center"/>
            <w:hideMark/>
          </w:tcPr>
          <w:p w14:paraId="5D034078"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Time to Build (Months)</w:t>
            </w:r>
          </w:p>
        </w:tc>
        <w:tc>
          <w:tcPr>
            <w:tcW w:w="1434" w:type="dxa"/>
            <w:tcBorders>
              <w:top w:val="single" w:sz="4" w:space="0" w:color="auto"/>
              <w:left w:val="nil"/>
              <w:bottom w:val="single" w:sz="4" w:space="0" w:color="auto"/>
              <w:right w:val="single" w:sz="4" w:space="0" w:color="auto"/>
            </w:tcBorders>
            <w:shd w:val="clear" w:color="000000" w:fill="E7E6E6"/>
            <w:vAlign w:val="center"/>
            <w:hideMark/>
          </w:tcPr>
          <w:p w14:paraId="60CD2996"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Major Risks</w:t>
            </w:r>
          </w:p>
        </w:tc>
        <w:tc>
          <w:tcPr>
            <w:tcW w:w="1577" w:type="dxa"/>
            <w:tcBorders>
              <w:top w:val="single" w:sz="4" w:space="0" w:color="auto"/>
              <w:left w:val="nil"/>
              <w:bottom w:val="single" w:sz="4" w:space="0" w:color="auto"/>
              <w:right w:val="single" w:sz="4" w:space="0" w:color="auto"/>
            </w:tcBorders>
            <w:shd w:val="clear" w:color="000000" w:fill="E7E6E6"/>
            <w:vAlign w:val="center"/>
            <w:hideMark/>
          </w:tcPr>
          <w:p w14:paraId="39C15235" w14:textId="77777777" w:rsidR="005A6BBB" w:rsidRPr="005A6BBB" w:rsidRDefault="005A6BBB" w:rsidP="005A6BBB">
            <w:pPr>
              <w:spacing w:after="0" w:line="240" w:lineRule="auto"/>
              <w:jc w:val="center"/>
              <w:rPr>
                <w:rFonts w:ascii="Times New Roman" w:eastAsia="Times New Roman" w:hAnsi="Times New Roman" w:cs="Times New Roman"/>
                <w:b/>
                <w:bCs/>
                <w:color w:val="000000"/>
                <w:sz w:val="16"/>
                <w:szCs w:val="16"/>
              </w:rPr>
            </w:pPr>
            <w:r w:rsidRPr="005A6BBB">
              <w:rPr>
                <w:rFonts w:ascii="Times New Roman" w:eastAsia="Times New Roman" w:hAnsi="Times New Roman" w:cs="Times New Roman"/>
                <w:b/>
                <w:bCs/>
                <w:color w:val="000000"/>
                <w:sz w:val="16"/>
                <w:szCs w:val="16"/>
              </w:rPr>
              <w:t>Mitigation Strategies</w:t>
            </w:r>
          </w:p>
        </w:tc>
      </w:tr>
      <w:tr w:rsidR="009240F6" w:rsidRPr="005A6BBB" w14:paraId="109A3470" w14:textId="77777777" w:rsidTr="009240F6">
        <w:trPr>
          <w:trHeight w:val="1050"/>
        </w:trPr>
        <w:tc>
          <w:tcPr>
            <w:tcW w:w="1142" w:type="dxa"/>
            <w:tcBorders>
              <w:top w:val="nil"/>
              <w:left w:val="single" w:sz="4" w:space="0" w:color="auto"/>
              <w:bottom w:val="single" w:sz="4" w:space="0" w:color="auto"/>
              <w:right w:val="single" w:sz="4" w:space="0" w:color="auto"/>
            </w:tcBorders>
            <w:shd w:val="clear" w:color="auto" w:fill="auto"/>
            <w:vAlign w:val="center"/>
            <w:hideMark/>
          </w:tcPr>
          <w:p w14:paraId="489AA550"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Fulfillment Centers (FCs)</w:t>
            </w:r>
          </w:p>
        </w:tc>
        <w:tc>
          <w:tcPr>
            <w:tcW w:w="990" w:type="dxa"/>
            <w:tcBorders>
              <w:top w:val="nil"/>
              <w:left w:val="nil"/>
              <w:bottom w:val="single" w:sz="4" w:space="0" w:color="auto"/>
              <w:right w:val="single" w:sz="4" w:space="0" w:color="auto"/>
            </w:tcBorders>
            <w:shd w:val="clear" w:color="auto" w:fill="auto"/>
            <w:vAlign w:val="center"/>
            <w:hideMark/>
          </w:tcPr>
          <w:p w14:paraId="6FC4C593"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800K – 4M</w:t>
            </w:r>
          </w:p>
        </w:tc>
        <w:tc>
          <w:tcPr>
            <w:tcW w:w="1392" w:type="dxa"/>
            <w:tcBorders>
              <w:top w:val="nil"/>
              <w:left w:val="nil"/>
              <w:bottom w:val="single" w:sz="4" w:space="0" w:color="auto"/>
              <w:right w:val="single" w:sz="4" w:space="0" w:color="auto"/>
            </w:tcBorders>
            <w:shd w:val="clear" w:color="auto" w:fill="auto"/>
            <w:vAlign w:val="center"/>
            <w:hideMark/>
          </w:tcPr>
          <w:p w14:paraId="6ADC9E99"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Large-scale storage, picking, packing, shipping</w:t>
            </w:r>
          </w:p>
        </w:tc>
        <w:tc>
          <w:tcPr>
            <w:tcW w:w="1536" w:type="dxa"/>
            <w:tcBorders>
              <w:top w:val="nil"/>
              <w:left w:val="nil"/>
              <w:bottom w:val="single" w:sz="4" w:space="0" w:color="auto"/>
              <w:right w:val="single" w:sz="4" w:space="0" w:color="auto"/>
            </w:tcBorders>
            <w:shd w:val="clear" w:color="auto" w:fill="auto"/>
            <w:vAlign w:val="center"/>
            <w:hideMark/>
          </w:tcPr>
          <w:p w14:paraId="2CBD39B6"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Robotics, ASRS, AI-powered picking</w:t>
            </w:r>
          </w:p>
        </w:tc>
        <w:tc>
          <w:tcPr>
            <w:tcW w:w="1454" w:type="dxa"/>
            <w:tcBorders>
              <w:top w:val="nil"/>
              <w:left w:val="nil"/>
              <w:bottom w:val="single" w:sz="4" w:space="0" w:color="auto"/>
              <w:right w:val="single" w:sz="4" w:space="0" w:color="auto"/>
            </w:tcBorders>
            <w:shd w:val="clear" w:color="auto" w:fill="auto"/>
            <w:vAlign w:val="center"/>
            <w:hideMark/>
          </w:tcPr>
          <w:p w14:paraId="725BC4C5"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MHE installation complexity, automation integration</w:t>
            </w:r>
          </w:p>
        </w:tc>
        <w:tc>
          <w:tcPr>
            <w:tcW w:w="910" w:type="dxa"/>
            <w:tcBorders>
              <w:top w:val="nil"/>
              <w:left w:val="nil"/>
              <w:bottom w:val="single" w:sz="4" w:space="0" w:color="auto"/>
              <w:right w:val="single" w:sz="4" w:space="0" w:color="auto"/>
            </w:tcBorders>
            <w:shd w:val="clear" w:color="auto" w:fill="auto"/>
            <w:vAlign w:val="center"/>
            <w:hideMark/>
          </w:tcPr>
          <w:p w14:paraId="4598A89C"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$250M – $1B</w:t>
            </w:r>
          </w:p>
        </w:tc>
        <w:tc>
          <w:tcPr>
            <w:tcW w:w="848" w:type="dxa"/>
            <w:tcBorders>
              <w:top w:val="nil"/>
              <w:left w:val="nil"/>
              <w:bottom w:val="single" w:sz="4" w:space="0" w:color="auto"/>
              <w:right w:val="single" w:sz="4" w:space="0" w:color="auto"/>
            </w:tcBorders>
            <w:shd w:val="clear" w:color="auto" w:fill="auto"/>
            <w:vAlign w:val="center"/>
            <w:hideMark/>
          </w:tcPr>
          <w:p w14:paraId="0C894A02"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24 – 36 months</w:t>
            </w:r>
          </w:p>
        </w:tc>
        <w:tc>
          <w:tcPr>
            <w:tcW w:w="1434" w:type="dxa"/>
            <w:tcBorders>
              <w:top w:val="nil"/>
              <w:left w:val="nil"/>
              <w:bottom w:val="single" w:sz="4" w:space="0" w:color="auto"/>
              <w:right w:val="single" w:sz="4" w:space="0" w:color="auto"/>
            </w:tcBorders>
            <w:shd w:val="clear" w:color="auto" w:fill="auto"/>
            <w:vAlign w:val="center"/>
            <w:hideMark/>
          </w:tcPr>
          <w:p w14:paraId="09E8E055"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MHE integration failures, automation delays, labor shortages</w:t>
            </w:r>
          </w:p>
        </w:tc>
        <w:tc>
          <w:tcPr>
            <w:tcW w:w="1577" w:type="dxa"/>
            <w:tcBorders>
              <w:top w:val="nil"/>
              <w:left w:val="nil"/>
              <w:bottom w:val="single" w:sz="4" w:space="0" w:color="auto"/>
              <w:right w:val="single" w:sz="4" w:space="0" w:color="auto"/>
            </w:tcBorders>
            <w:shd w:val="clear" w:color="auto" w:fill="auto"/>
            <w:vAlign w:val="center"/>
            <w:hideMark/>
          </w:tcPr>
          <w:p w14:paraId="45F2D9CC"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Parallel testing, vendor redundancy, workforce training</w:t>
            </w:r>
          </w:p>
        </w:tc>
      </w:tr>
      <w:tr w:rsidR="009240F6" w:rsidRPr="005A6BBB" w14:paraId="4A57877B" w14:textId="77777777" w:rsidTr="009240F6">
        <w:trPr>
          <w:trHeight w:val="1020"/>
        </w:trPr>
        <w:tc>
          <w:tcPr>
            <w:tcW w:w="1142" w:type="dxa"/>
            <w:tcBorders>
              <w:top w:val="nil"/>
              <w:left w:val="single" w:sz="4" w:space="0" w:color="auto"/>
              <w:bottom w:val="single" w:sz="4" w:space="0" w:color="auto"/>
              <w:right w:val="single" w:sz="4" w:space="0" w:color="auto"/>
            </w:tcBorders>
            <w:shd w:val="clear" w:color="auto" w:fill="auto"/>
            <w:vAlign w:val="center"/>
            <w:hideMark/>
          </w:tcPr>
          <w:p w14:paraId="06DA718D"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Sort Centers (SCs)</w:t>
            </w:r>
          </w:p>
        </w:tc>
        <w:tc>
          <w:tcPr>
            <w:tcW w:w="990" w:type="dxa"/>
            <w:tcBorders>
              <w:top w:val="nil"/>
              <w:left w:val="nil"/>
              <w:bottom w:val="single" w:sz="4" w:space="0" w:color="auto"/>
              <w:right w:val="single" w:sz="4" w:space="0" w:color="auto"/>
            </w:tcBorders>
            <w:shd w:val="clear" w:color="auto" w:fill="auto"/>
            <w:vAlign w:val="center"/>
            <w:hideMark/>
          </w:tcPr>
          <w:p w14:paraId="0542DEEE"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300K – 1M</w:t>
            </w:r>
          </w:p>
        </w:tc>
        <w:tc>
          <w:tcPr>
            <w:tcW w:w="1392" w:type="dxa"/>
            <w:tcBorders>
              <w:top w:val="nil"/>
              <w:left w:val="nil"/>
              <w:bottom w:val="single" w:sz="4" w:space="0" w:color="auto"/>
              <w:right w:val="single" w:sz="4" w:space="0" w:color="auto"/>
            </w:tcBorders>
            <w:shd w:val="clear" w:color="auto" w:fill="auto"/>
            <w:vAlign w:val="center"/>
            <w:hideMark/>
          </w:tcPr>
          <w:p w14:paraId="716F067B"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Package sorting before last-mile delivery</w:t>
            </w:r>
          </w:p>
        </w:tc>
        <w:tc>
          <w:tcPr>
            <w:tcW w:w="1536" w:type="dxa"/>
            <w:tcBorders>
              <w:top w:val="nil"/>
              <w:left w:val="nil"/>
              <w:bottom w:val="single" w:sz="4" w:space="0" w:color="auto"/>
              <w:right w:val="single" w:sz="4" w:space="0" w:color="auto"/>
            </w:tcBorders>
            <w:shd w:val="clear" w:color="auto" w:fill="auto"/>
            <w:vAlign w:val="center"/>
            <w:hideMark/>
          </w:tcPr>
          <w:p w14:paraId="4B589B76"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Automated sortation, conveyor networks</w:t>
            </w:r>
          </w:p>
        </w:tc>
        <w:tc>
          <w:tcPr>
            <w:tcW w:w="1454" w:type="dxa"/>
            <w:tcBorders>
              <w:top w:val="nil"/>
              <w:left w:val="nil"/>
              <w:bottom w:val="single" w:sz="4" w:space="0" w:color="auto"/>
              <w:right w:val="single" w:sz="4" w:space="0" w:color="auto"/>
            </w:tcBorders>
            <w:shd w:val="clear" w:color="auto" w:fill="auto"/>
            <w:vAlign w:val="center"/>
            <w:hideMark/>
          </w:tcPr>
          <w:p w14:paraId="2150E499"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Sortation calibration errors, system scalability</w:t>
            </w:r>
          </w:p>
        </w:tc>
        <w:tc>
          <w:tcPr>
            <w:tcW w:w="910" w:type="dxa"/>
            <w:tcBorders>
              <w:top w:val="nil"/>
              <w:left w:val="nil"/>
              <w:bottom w:val="single" w:sz="4" w:space="0" w:color="auto"/>
              <w:right w:val="single" w:sz="4" w:space="0" w:color="auto"/>
            </w:tcBorders>
            <w:shd w:val="clear" w:color="auto" w:fill="auto"/>
            <w:vAlign w:val="center"/>
            <w:hideMark/>
          </w:tcPr>
          <w:p w14:paraId="375E762F"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$100M – $400M</w:t>
            </w:r>
          </w:p>
        </w:tc>
        <w:tc>
          <w:tcPr>
            <w:tcW w:w="848" w:type="dxa"/>
            <w:tcBorders>
              <w:top w:val="nil"/>
              <w:left w:val="nil"/>
              <w:bottom w:val="single" w:sz="4" w:space="0" w:color="auto"/>
              <w:right w:val="single" w:sz="4" w:space="0" w:color="auto"/>
            </w:tcBorders>
            <w:shd w:val="clear" w:color="auto" w:fill="auto"/>
            <w:vAlign w:val="center"/>
            <w:hideMark/>
          </w:tcPr>
          <w:p w14:paraId="3DE8B02E"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18 – 24 months</w:t>
            </w:r>
          </w:p>
        </w:tc>
        <w:tc>
          <w:tcPr>
            <w:tcW w:w="1434" w:type="dxa"/>
            <w:tcBorders>
              <w:top w:val="nil"/>
              <w:left w:val="nil"/>
              <w:bottom w:val="single" w:sz="4" w:space="0" w:color="auto"/>
              <w:right w:val="single" w:sz="4" w:space="0" w:color="auto"/>
            </w:tcBorders>
            <w:shd w:val="clear" w:color="auto" w:fill="auto"/>
            <w:vAlign w:val="center"/>
            <w:hideMark/>
          </w:tcPr>
          <w:p w14:paraId="22BBBD03"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Misrouted packages, software failures, scalability issues</w:t>
            </w:r>
          </w:p>
        </w:tc>
        <w:tc>
          <w:tcPr>
            <w:tcW w:w="1577" w:type="dxa"/>
            <w:tcBorders>
              <w:top w:val="nil"/>
              <w:left w:val="nil"/>
              <w:bottom w:val="single" w:sz="4" w:space="0" w:color="auto"/>
              <w:right w:val="single" w:sz="4" w:space="0" w:color="auto"/>
            </w:tcBorders>
            <w:shd w:val="clear" w:color="auto" w:fill="auto"/>
            <w:vAlign w:val="center"/>
            <w:hideMark/>
          </w:tcPr>
          <w:p w14:paraId="174EEFF0"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Dual redundancy, phased testing, automated error correction</w:t>
            </w:r>
          </w:p>
        </w:tc>
      </w:tr>
      <w:tr w:rsidR="009240F6" w:rsidRPr="005A6BBB" w14:paraId="190A7F1D" w14:textId="77777777" w:rsidTr="009240F6">
        <w:trPr>
          <w:trHeight w:val="828"/>
        </w:trPr>
        <w:tc>
          <w:tcPr>
            <w:tcW w:w="1142" w:type="dxa"/>
            <w:tcBorders>
              <w:top w:val="nil"/>
              <w:left w:val="single" w:sz="4" w:space="0" w:color="auto"/>
              <w:bottom w:val="single" w:sz="4" w:space="0" w:color="auto"/>
              <w:right w:val="single" w:sz="4" w:space="0" w:color="auto"/>
            </w:tcBorders>
            <w:shd w:val="clear" w:color="auto" w:fill="auto"/>
            <w:vAlign w:val="center"/>
            <w:hideMark/>
          </w:tcPr>
          <w:p w14:paraId="1AF5437E"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Same-Day Delivery Hubs (SDFs)</w:t>
            </w:r>
          </w:p>
        </w:tc>
        <w:tc>
          <w:tcPr>
            <w:tcW w:w="990" w:type="dxa"/>
            <w:tcBorders>
              <w:top w:val="nil"/>
              <w:left w:val="nil"/>
              <w:bottom w:val="single" w:sz="4" w:space="0" w:color="auto"/>
              <w:right w:val="single" w:sz="4" w:space="0" w:color="auto"/>
            </w:tcBorders>
            <w:shd w:val="clear" w:color="auto" w:fill="auto"/>
            <w:vAlign w:val="center"/>
            <w:hideMark/>
          </w:tcPr>
          <w:p w14:paraId="4E2AE907"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50K – 150K</w:t>
            </w:r>
          </w:p>
        </w:tc>
        <w:tc>
          <w:tcPr>
            <w:tcW w:w="1392" w:type="dxa"/>
            <w:tcBorders>
              <w:top w:val="nil"/>
              <w:left w:val="nil"/>
              <w:bottom w:val="single" w:sz="4" w:space="0" w:color="auto"/>
              <w:right w:val="single" w:sz="4" w:space="0" w:color="auto"/>
            </w:tcBorders>
            <w:shd w:val="clear" w:color="auto" w:fill="auto"/>
            <w:vAlign w:val="center"/>
            <w:hideMark/>
          </w:tcPr>
          <w:p w14:paraId="5F3A8A7B"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Urban micro-fulfillment for same-day delivery</w:t>
            </w:r>
          </w:p>
        </w:tc>
        <w:tc>
          <w:tcPr>
            <w:tcW w:w="1536" w:type="dxa"/>
            <w:tcBorders>
              <w:top w:val="nil"/>
              <w:left w:val="nil"/>
              <w:bottom w:val="single" w:sz="4" w:space="0" w:color="auto"/>
              <w:right w:val="single" w:sz="4" w:space="0" w:color="auto"/>
            </w:tcBorders>
            <w:shd w:val="clear" w:color="auto" w:fill="auto"/>
            <w:vAlign w:val="center"/>
            <w:hideMark/>
          </w:tcPr>
          <w:p w14:paraId="63DF81D3"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High-density storage, robotic picking</w:t>
            </w:r>
          </w:p>
        </w:tc>
        <w:tc>
          <w:tcPr>
            <w:tcW w:w="1454" w:type="dxa"/>
            <w:tcBorders>
              <w:top w:val="nil"/>
              <w:left w:val="nil"/>
              <w:bottom w:val="single" w:sz="4" w:space="0" w:color="auto"/>
              <w:right w:val="single" w:sz="4" w:space="0" w:color="auto"/>
            </w:tcBorders>
            <w:shd w:val="clear" w:color="auto" w:fill="auto"/>
            <w:vAlign w:val="center"/>
            <w:hideMark/>
          </w:tcPr>
          <w:p w14:paraId="10846022"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Urban logistics constraints, last-mile delays</w:t>
            </w:r>
          </w:p>
        </w:tc>
        <w:tc>
          <w:tcPr>
            <w:tcW w:w="910" w:type="dxa"/>
            <w:tcBorders>
              <w:top w:val="nil"/>
              <w:left w:val="nil"/>
              <w:bottom w:val="single" w:sz="4" w:space="0" w:color="auto"/>
              <w:right w:val="single" w:sz="4" w:space="0" w:color="auto"/>
            </w:tcBorders>
            <w:shd w:val="clear" w:color="auto" w:fill="auto"/>
            <w:vAlign w:val="center"/>
            <w:hideMark/>
          </w:tcPr>
          <w:p w14:paraId="4168C215"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$50M – $150M</w:t>
            </w:r>
          </w:p>
        </w:tc>
        <w:tc>
          <w:tcPr>
            <w:tcW w:w="848" w:type="dxa"/>
            <w:tcBorders>
              <w:top w:val="nil"/>
              <w:left w:val="nil"/>
              <w:bottom w:val="single" w:sz="4" w:space="0" w:color="auto"/>
              <w:right w:val="single" w:sz="4" w:space="0" w:color="auto"/>
            </w:tcBorders>
            <w:shd w:val="clear" w:color="auto" w:fill="auto"/>
            <w:vAlign w:val="center"/>
            <w:hideMark/>
          </w:tcPr>
          <w:p w14:paraId="6AEA6F46"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12 – 18 months</w:t>
            </w:r>
          </w:p>
        </w:tc>
        <w:tc>
          <w:tcPr>
            <w:tcW w:w="1434" w:type="dxa"/>
            <w:tcBorders>
              <w:top w:val="nil"/>
              <w:left w:val="nil"/>
              <w:bottom w:val="single" w:sz="4" w:space="0" w:color="auto"/>
              <w:right w:val="single" w:sz="4" w:space="0" w:color="auto"/>
            </w:tcBorders>
            <w:shd w:val="clear" w:color="auto" w:fill="auto"/>
            <w:vAlign w:val="center"/>
            <w:hideMark/>
          </w:tcPr>
          <w:p w14:paraId="3EBBD3DB"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Traffic congestion, fulfillment bottlenecks, real estate constraints</w:t>
            </w:r>
          </w:p>
        </w:tc>
        <w:tc>
          <w:tcPr>
            <w:tcW w:w="1577" w:type="dxa"/>
            <w:tcBorders>
              <w:top w:val="nil"/>
              <w:left w:val="nil"/>
              <w:bottom w:val="single" w:sz="4" w:space="0" w:color="auto"/>
              <w:right w:val="single" w:sz="4" w:space="0" w:color="auto"/>
            </w:tcBorders>
            <w:shd w:val="clear" w:color="auto" w:fill="auto"/>
            <w:vAlign w:val="center"/>
            <w:hideMark/>
          </w:tcPr>
          <w:p w14:paraId="46BB431D"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AI-driven route optimization, flexible warehouse layouts</w:t>
            </w:r>
          </w:p>
        </w:tc>
      </w:tr>
      <w:tr w:rsidR="009240F6" w:rsidRPr="005A6BBB" w14:paraId="58E1215E" w14:textId="77777777" w:rsidTr="009240F6">
        <w:trPr>
          <w:trHeight w:val="840"/>
        </w:trPr>
        <w:tc>
          <w:tcPr>
            <w:tcW w:w="1142" w:type="dxa"/>
            <w:tcBorders>
              <w:top w:val="nil"/>
              <w:left w:val="single" w:sz="4" w:space="0" w:color="auto"/>
              <w:bottom w:val="single" w:sz="4" w:space="0" w:color="auto"/>
              <w:right w:val="single" w:sz="4" w:space="0" w:color="auto"/>
            </w:tcBorders>
            <w:shd w:val="clear" w:color="auto" w:fill="auto"/>
            <w:vAlign w:val="center"/>
            <w:hideMark/>
          </w:tcPr>
          <w:p w14:paraId="42BB2B44"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Advanced Robotics Sortable (ARS)</w:t>
            </w:r>
          </w:p>
        </w:tc>
        <w:tc>
          <w:tcPr>
            <w:tcW w:w="990" w:type="dxa"/>
            <w:tcBorders>
              <w:top w:val="nil"/>
              <w:left w:val="nil"/>
              <w:bottom w:val="single" w:sz="4" w:space="0" w:color="auto"/>
              <w:right w:val="single" w:sz="4" w:space="0" w:color="auto"/>
            </w:tcBorders>
            <w:shd w:val="clear" w:color="auto" w:fill="auto"/>
            <w:vAlign w:val="center"/>
            <w:hideMark/>
          </w:tcPr>
          <w:p w14:paraId="21779E3B"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800K – 3M</w:t>
            </w:r>
          </w:p>
        </w:tc>
        <w:tc>
          <w:tcPr>
            <w:tcW w:w="1392" w:type="dxa"/>
            <w:tcBorders>
              <w:top w:val="nil"/>
              <w:left w:val="nil"/>
              <w:bottom w:val="single" w:sz="4" w:space="0" w:color="auto"/>
              <w:right w:val="single" w:sz="4" w:space="0" w:color="auto"/>
            </w:tcBorders>
            <w:shd w:val="clear" w:color="auto" w:fill="auto"/>
            <w:vAlign w:val="center"/>
            <w:hideMark/>
          </w:tcPr>
          <w:p w14:paraId="04FDFEB3"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Fully automated fulfillment centers</w:t>
            </w:r>
          </w:p>
        </w:tc>
        <w:tc>
          <w:tcPr>
            <w:tcW w:w="1536" w:type="dxa"/>
            <w:tcBorders>
              <w:top w:val="nil"/>
              <w:left w:val="nil"/>
              <w:bottom w:val="single" w:sz="4" w:space="0" w:color="auto"/>
              <w:right w:val="single" w:sz="4" w:space="0" w:color="auto"/>
            </w:tcBorders>
            <w:shd w:val="clear" w:color="auto" w:fill="auto"/>
            <w:vAlign w:val="center"/>
            <w:hideMark/>
          </w:tcPr>
          <w:p w14:paraId="1F20D486"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AI-driven Proteus AMRs, advanced ASRS</w:t>
            </w:r>
          </w:p>
        </w:tc>
        <w:tc>
          <w:tcPr>
            <w:tcW w:w="1454" w:type="dxa"/>
            <w:tcBorders>
              <w:top w:val="nil"/>
              <w:left w:val="nil"/>
              <w:bottom w:val="single" w:sz="4" w:space="0" w:color="auto"/>
              <w:right w:val="single" w:sz="4" w:space="0" w:color="auto"/>
            </w:tcBorders>
            <w:shd w:val="clear" w:color="auto" w:fill="auto"/>
            <w:vAlign w:val="center"/>
            <w:hideMark/>
          </w:tcPr>
          <w:p w14:paraId="4985D4B2"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AI failure, robotics downtime, high initial cost</w:t>
            </w:r>
          </w:p>
        </w:tc>
        <w:tc>
          <w:tcPr>
            <w:tcW w:w="910" w:type="dxa"/>
            <w:tcBorders>
              <w:top w:val="nil"/>
              <w:left w:val="nil"/>
              <w:bottom w:val="single" w:sz="4" w:space="0" w:color="auto"/>
              <w:right w:val="single" w:sz="4" w:space="0" w:color="auto"/>
            </w:tcBorders>
            <w:shd w:val="clear" w:color="auto" w:fill="auto"/>
            <w:vAlign w:val="center"/>
            <w:hideMark/>
          </w:tcPr>
          <w:p w14:paraId="2E3D9D76"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$400M – $1.2B</w:t>
            </w:r>
          </w:p>
        </w:tc>
        <w:tc>
          <w:tcPr>
            <w:tcW w:w="848" w:type="dxa"/>
            <w:tcBorders>
              <w:top w:val="nil"/>
              <w:left w:val="nil"/>
              <w:bottom w:val="single" w:sz="4" w:space="0" w:color="auto"/>
              <w:right w:val="single" w:sz="4" w:space="0" w:color="auto"/>
            </w:tcBorders>
            <w:shd w:val="clear" w:color="auto" w:fill="auto"/>
            <w:vAlign w:val="center"/>
            <w:hideMark/>
          </w:tcPr>
          <w:p w14:paraId="0CCE87D2"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30 – 42 months</w:t>
            </w:r>
          </w:p>
        </w:tc>
        <w:tc>
          <w:tcPr>
            <w:tcW w:w="1434" w:type="dxa"/>
            <w:tcBorders>
              <w:top w:val="nil"/>
              <w:left w:val="nil"/>
              <w:bottom w:val="single" w:sz="4" w:space="0" w:color="auto"/>
              <w:right w:val="single" w:sz="4" w:space="0" w:color="auto"/>
            </w:tcBorders>
            <w:shd w:val="clear" w:color="auto" w:fill="auto"/>
            <w:vAlign w:val="center"/>
            <w:hideMark/>
          </w:tcPr>
          <w:p w14:paraId="6A3D2F7F"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 xml:space="preserve">AI model errors, robotic system failures, high </w:t>
            </w:r>
            <w:proofErr w:type="spellStart"/>
            <w:r w:rsidRPr="005A6BBB">
              <w:rPr>
                <w:rFonts w:ascii="Times New Roman" w:eastAsia="Times New Roman" w:hAnsi="Times New Roman" w:cs="Times New Roman"/>
                <w:color w:val="000000"/>
                <w:sz w:val="16"/>
                <w:szCs w:val="16"/>
              </w:rPr>
              <w:t>CapEx</w:t>
            </w:r>
            <w:proofErr w:type="spellEnd"/>
          </w:p>
        </w:tc>
        <w:tc>
          <w:tcPr>
            <w:tcW w:w="1577" w:type="dxa"/>
            <w:tcBorders>
              <w:top w:val="nil"/>
              <w:left w:val="nil"/>
              <w:bottom w:val="single" w:sz="4" w:space="0" w:color="auto"/>
              <w:right w:val="single" w:sz="4" w:space="0" w:color="auto"/>
            </w:tcBorders>
            <w:shd w:val="clear" w:color="auto" w:fill="auto"/>
            <w:vAlign w:val="center"/>
            <w:hideMark/>
          </w:tcPr>
          <w:p w14:paraId="4853FB6B"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Predictive maintenance, phased automation rollout, backup manual processes</w:t>
            </w:r>
          </w:p>
        </w:tc>
      </w:tr>
      <w:tr w:rsidR="009240F6" w:rsidRPr="005A6BBB" w14:paraId="020564AA" w14:textId="77777777" w:rsidTr="009240F6">
        <w:trPr>
          <w:trHeight w:val="630"/>
        </w:trPr>
        <w:tc>
          <w:tcPr>
            <w:tcW w:w="1142" w:type="dxa"/>
            <w:tcBorders>
              <w:top w:val="nil"/>
              <w:left w:val="single" w:sz="4" w:space="0" w:color="auto"/>
              <w:bottom w:val="single" w:sz="4" w:space="0" w:color="auto"/>
              <w:right w:val="single" w:sz="4" w:space="0" w:color="auto"/>
            </w:tcBorders>
            <w:shd w:val="clear" w:color="auto" w:fill="auto"/>
            <w:vAlign w:val="center"/>
            <w:hideMark/>
          </w:tcPr>
          <w:p w14:paraId="4FCA09C2"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Amazon Fresh &amp; Pharmacy</w:t>
            </w:r>
          </w:p>
        </w:tc>
        <w:tc>
          <w:tcPr>
            <w:tcW w:w="990" w:type="dxa"/>
            <w:tcBorders>
              <w:top w:val="nil"/>
              <w:left w:val="nil"/>
              <w:bottom w:val="single" w:sz="4" w:space="0" w:color="auto"/>
              <w:right w:val="single" w:sz="4" w:space="0" w:color="auto"/>
            </w:tcBorders>
            <w:shd w:val="clear" w:color="auto" w:fill="auto"/>
            <w:vAlign w:val="center"/>
            <w:hideMark/>
          </w:tcPr>
          <w:p w14:paraId="14E545EC"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100K – 500K</w:t>
            </w:r>
          </w:p>
        </w:tc>
        <w:tc>
          <w:tcPr>
            <w:tcW w:w="1392" w:type="dxa"/>
            <w:tcBorders>
              <w:top w:val="nil"/>
              <w:left w:val="nil"/>
              <w:bottom w:val="single" w:sz="4" w:space="0" w:color="auto"/>
              <w:right w:val="single" w:sz="4" w:space="0" w:color="auto"/>
            </w:tcBorders>
            <w:shd w:val="clear" w:color="auto" w:fill="auto"/>
            <w:vAlign w:val="center"/>
            <w:hideMark/>
          </w:tcPr>
          <w:p w14:paraId="3AB83E89"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Cold storage and pharmaceutical fulfillment</w:t>
            </w:r>
          </w:p>
        </w:tc>
        <w:tc>
          <w:tcPr>
            <w:tcW w:w="1536" w:type="dxa"/>
            <w:tcBorders>
              <w:top w:val="nil"/>
              <w:left w:val="nil"/>
              <w:bottom w:val="single" w:sz="4" w:space="0" w:color="auto"/>
              <w:right w:val="single" w:sz="4" w:space="0" w:color="auto"/>
            </w:tcBorders>
            <w:shd w:val="clear" w:color="auto" w:fill="auto"/>
            <w:vAlign w:val="center"/>
            <w:hideMark/>
          </w:tcPr>
          <w:p w14:paraId="4943D267"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Refrigerated logistics, compliance tracking</w:t>
            </w:r>
          </w:p>
        </w:tc>
        <w:tc>
          <w:tcPr>
            <w:tcW w:w="1454" w:type="dxa"/>
            <w:tcBorders>
              <w:top w:val="nil"/>
              <w:left w:val="nil"/>
              <w:bottom w:val="single" w:sz="4" w:space="0" w:color="auto"/>
              <w:right w:val="single" w:sz="4" w:space="0" w:color="auto"/>
            </w:tcBorders>
            <w:shd w:val="clear" w:color="auto" w:fill="auto"/>
            <w:vAlign w:val="center"/>
            <w:hideMark/>
          </w:tcPr>
          <w:p w14:paraId="49EBA1F1"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Cold storage failure, FDA regulatory compliance</w:t>
            </w:r>
          </w:p>
        </w:tc>
        <w:tc>
          <w:tcPr>
            <w:tcW w:w="910" w:type="dxa"/>
            <w:tcBorders>
              <w:top w:val="nil"/>
              <w:left w:val="nil"/>
              <w:bottom w:val="single" w:sz="4" w:space="0" w:color="auto"/>
              <w:right w:val="single" w:sz="4" w:space="0" w:color="auto"/>
            </w:tcBorders>
            <w:shd w:val="clear" w:color="auto" w:fill="auto"/>
            <w:vAlign w:val="center"/>
            <w:hideMark/>
          </w:tcPr>
          <w:p w14:paraId="6FB0834C"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$150M – $500M</w:t>
            </w:r>
          </w:p>
        </w:tc>
        <w:tc>
          <w:tcPr>
            <w:tcW w:w="848" w:type="dxa"/>
            <w:tcBorders>
              <w:top w:val="nil"/>
              <w:left w:val="nil"/>
              <w:bottom w:val="single" w:sz="4" w:space="0" w:color="auto"/>
              <w:right w:val="single" w:sz="4" w:space="0" w:color="auto"/>
            </w:tcBorders>
            <w:shd w:val="clear" w:color="auto" w:fill="auto"/>
            <w:vAlign w:val="center"/>
            <w:hideMark/>
          </w:tcPr>
          <w:p w14:paraId="61A9F843"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18 – 24 months</w:t>
            </w:r>
          </w:p>
        </w:tc>
        <w:tc>
          <w:tcPr>
            <w:tcW w:w="1434" w:type="dxa"/>
            <w:tcBorders>
              <w:top w:val="nil"/>
              <w:left w:val="nil"/>
              <w:bottom w:val="single" w:sz="4" w:space="0" w:color="auto"/>
              <w:right w:val="single" w:sz="4" w:space="0" w:color="auto"/>
            </w:tcBorders>
            <w:shd w:val="clear" w:color="auto" w:fill="auto"/>
            <w:vAlign w:val="center"/>
            <w:hideMark/>
          </w:tcPr>
          <w:p w14:paraId="50A613B5"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Refrigeration breakdowns, FDA non-compliance, product spoilage</w:t>
            </w:r>
          </w:p>
        </w:tc>
        <w:tc>
          <w:tcPr>
            <w:tcW w:w="1577" w:type="dxa"/>
            <w:tcBorders>
              <w:top w:val="nil"/>
              <w:left w:val="nil"/>
              <w:bottom w:val="single" w:sz="4" w:space="0" w:color="auto"/>
              <w:right w:val="single" w:sz="4" w:space="0" w:color="auto"/>
            </w:tcBorders>
            <w:shd w:val="clear" w:color="auto" w:fill="auto"/>
            <w:vAlign w:val="center"/>
            <w:hideMark/>
          </w:tcPr>
          <w:p w14:paraId="0E4ED9C7" w14:textId="77777777" w:rsidR="005A6BBB" w:rsidRPr="005A6BBB" w:rsidRDefault="005A6BBB" w:rsidP="005A6BBB">
            <w:pPr>
              <w:spacing w:after="0" w:line="240" w:lineRule="auto"/>
              <w:rPr>
                <w:rFonts w:ascii="Times New Roman" w:eastAsia="Times New Roman" w:hAnsi="Times New Roman" w:cs="Times New Roman"/>
                <w:color w:val="000000"/>
                <w:sz w:val="16"/>
                <w:szCs w:val="16"/>
              </w:rPr>
            </w:pPr>
            <w:r w:rsidRPr="005A6BBB">
              <w:rPr>
                <w:rFonts w:ascii="Times New Roman" w:eastAsia="Times New Roman" w:hAnsi="Times New Roman" w:cs="Times New Roman"/>
                <w:color w:val="000000"/>
                <w:sz w:val="16"/>
                <w:szCs w:val="16"/>
              </w:rPr>
              <w:t>Redundant refrigeration, real-time monitoring, compliance audits</w:t>
            </w:r>
          </w:p>
        </w:tc>
      </w:tr>
    </w:tbl>
    <w:p w14:paraId="73498945" w14:textId="195F40BC" w:rsidR="00762ACF" w:rsidRDefault="00762ACF" w:rsidP="00762ACF">
      <w:pPr>
        <w:pBdr>
          <w:bottom w:val="single" w:sz="12" w:space="1" w:color="auto"/>
        </w:pBdr>
        <w:spacing w:after="0" w:line="240" w:lineRule="auto"/>
        <w:outlineLvl w:val="1"/>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r w:rsidR="000F265E" w:rsidRPr="000F265E">
        <w:rPr>
          <w:rFonts w:ascii="Times New Roman" w:eastAsia="Times New Roman" w:hAnsi="Times New Roman" w:cs="Times New Roman"/>
          <w:b/>
          <w:bCs/>
          <w:sz w:val="20"/>
          <w:szCs w:val="20"/>
        </w:rPr>
        <w:t>. Amazon’s Portfolio Strategy &amp; Facility Integration</w:t>
      </w:r>
    </w:p>
    <w:p w14:paraId="28CE61F9" w14:textId="77777777" w:rsidR="006F584A" w:rsidRPr="006F584A" w:rsidRDefault="006F584A" w:rsidP="006F584A">
      <w:pPr>
        <w:spacing w:after="0" w:line="240" w:lineRule="auto"/>
        <w:outlineLvl w:val="2"/>
        <w:rPr>
          <w:rFonts w:ascii="Times New Roman" w:eastAsia="Times New Roman" w:hAnsi="Times New Roman" w:cs="Times New Roman"/>
          <w:b/>
          <w:bCs/>
          <w:sz w:val="20"/>
          <w:szCs w:val="20"/>
        </w:rPr>
      </w:pPr>
      <w:r w:rsidRPr="006F584A">
        <w:rPr>
          <w:rFonts w:ascii="Times New Roman" w:eastAsia="Times New Roman" w:hAnsi="Times New Roman" w:cs="Times New Roman"/>
          <w:b/>
          <w:bCs/>
          <w:sz w:val="20"/>
          <w:szCs w:val="20"/>
        </w:rPr>
        <w:t>4.1 Annual Expansion Strategy</w:t>
      </w:r>
    </w:p>
    <w:p w14:paraId="10915219" w14:textId="77777777" w:rsidR="006F584A" w:rsidRPr="006F584A" w:rsidRDefault="006F584A" w:rsidP="006F584A">
      <w:p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Amazon’s facility expansion is a global endeavor, with significant growth observed across various regions. As of March 2024, Amazon’s worldwide warehouse footprint encompasses over 624 million square feet across approximately 2,500 facilities. This includes a diverse mix of fulfillment centers, sortation centers, and delivery stations, strategically located to enhance delivery efficiency and customer reach. In 2024 alone, Amazon has leased, purchased, or announced the addition of 16 million square feet of warehouse space, demonstrating its robust commitment to expanding its logistics infrastructure.</w:t>
      </w:r>
    </w:p>
    <w:p w14:paraId="32073BE2" w14:textId="77777777" w:rsidR="006F584A" w:rsidRPr="006F584A" w:rsidRDefault="006F584A" w:rsidP="006F584A">
      <w:p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Key considerations include:</w:t>
      </w:r>
    </w:p>
    <w:p w14:paraId="5A912CC9" w14:textId="77777777" w:rsidR="006F584A" w:rsidRPr="006F584A" w:rsidRDefault="006F584A" w:rsidP="006F584A">
      <w:pPr>
        <w:numPr>
          <w:ilvl w:val="0"/>
          <w:numId w:val="21"/>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Demand forecasting: Expansion based on e-commerce trends and customer demand.</w:t>
      </w:r>
    </w:p>
    <w:p w14:paraId="0E6FF323" w14:textId="77777777" w:rsidR="006F584A" w:rsidRPr="006F584A" w:rsidRDefault="006F584A" w:rsidP="006F584A">
      <w:pPr>
        <w:numPr>
          <w:ilvl w:val="0"/>
          <w:numId w:val="21"/>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 xml:space="preserve">Facility </w:t>
      </w:r>
      <w:proofErr w:type="gramStart"/>
      <w:r w:rsidRPr="006F584A">
        <w:rPr>
          <w:rFonts w:ascii="Times New Roman" w:eastAsia="Times New Roman" w:hAnsi="Times New Roman" w:cs="Times New Roman"/>
          <w:sz w:val="20"/>
          <w:szCs w:val="20"/>
        </w:rPr>
        <w:t>mix</w:t>
      </w:r>
      <w:proofErr w:type="gramEnd"/>
      <w:r w:rsidRPr="006F584A">
        <w:rPr>
          <w:rFonts w:ascii="Times New Roman" w:eastAsia="Times New Roman" w:hAnsi="Times New Roman" w:cs="Times New Roman"/>
          <w:sz w:val="20"/>
          <w:szCs w:val="20"/>
        </w:rPr>
        <w:t>: A blend of FCs, SCs, SDFs, and specialized hubs to optimize logistics.</w:t>
      </w:r>
    </w:p>
    <w:p w14:paraId="77CF5091" w14:textId="77777777" w:rsidR="006F584A" w:rsidRPr="006F584A" w:rsidRDefault="006F584A" w:rsidP="006F584A">
      <w:pPr>
        <w:numPr>
          <w:ilvl w:val="0"/>
          <w:numId w:val="21"/>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Capital expenditure (</w:t>
      </w:r>
      <w:proofErr w:type="spellStart"/>
      <w:r w:rsidRPr="006F584A">
        <w:rPr>
          <w:rFonts w:ascii="Times New Roman" w:eastAsia="Times New Roman" w:hAnsi="Times New Roman" w:cs="Times New Roman"/>
          <w:sz w:val="20"/>
          <w:szCs w:val="20"/>
        </w:rPr>
        <w:t>CapEx</w:t>
      </w:r>
      <w:proofErr w:type="spellEnd"/>
      <w:r w:rsidRPr="006F584A">
        <w:rPr>
          <w:rFonts w:ascii="Times New Roman" w:eastAsia="Times New Roman" w:hAnsi="Times New Roman" w:cs="Times New Roman"/>
          <w:sz w:val="20"/>
          <w:szCs w:val="20"/>
        </w:rPr>
        <w:t>) allocation: Investment planning for infrastructure expansion.</w:t>
      </w:r>
    </w:p>
    <w:p w14:paraId="6752B61F" w14:textId="340E09E7" w:rsidR="006F584A" w:rsidRDefault="006F584A" w:rsidP="006F584A">
      <w:pPr>
        <w:numPr>
          <w:ilvl w:val="0"/>
          <w:numId w:val="21"/>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Development Strategies: Amazon employs both greenfield development, which involves constructing new facilities on previously undeveloped land, and brownfield development, which repurposes existing structures or land. An example of Amazon's brownfield strategy includes transforming a former coal mine in Garrett County, Maryland, into a 300,000-panel solar farm.</w:t>
      </w:r>
    </w:p>
    <w:p w14:paraId="345A359D" w14:textId="77777777" w:rsidR="0062526D" w:rsidRPr="00EC089C" w:rsidRDefault="0062526D" w:rsidP="00EC089C">
      <w:pPr>
        <w:pStyle w:val="Heading3"/>
        <w:spacing w:before="0" w:beforeAutospacing="0" w:after="0" w:afterAutospacing="0"/>
        <w:rPr>
          <w:sz w:val="20"/>
          <w:szCs w:val="20"/>
        </w:rPr>
      </w:pPr>
      <w:r w:rsidRPr="00EC089C">
        <w:rPr>
          <w:sz w:val="20"/>
          <w:szCs w:val="20"/>
        </w:rPr>
        <w:t>4.2 Cost of Not Launching Sites</w:t>
      </w:r>
    </w:p>
    <w:p w14:paraId="03C799A3" w14:textId="77777777" w:rsidR="0062526D" w:rsidRPr="00EC089C" w:rsidRDefault="0062526D" w:rsidP="00EC089C">
      <w:pPr>
        <w:pStyle w:val="NormalWeb"/>
        <w:spacing w:before="0" w:beforeAutospacing="0" w:after="0" w:afterAutospacing="0"/>
        <w:rPr>
          <w:sz w:val="20"/>
          <w:szCs w:val="20"/>
        </w:rPr>
      </w:pPr>
      <w:r w:rsidRPr="00EC089C">
        <w:rPr>
          <w:sz w:val="20"/>
          <w:szCs w:val="20"/>
        </w:rPr>
        <w:t xml:space="preserve">Delays or cancellations in Amazon’s facility launches come with significant </w:t>
      </w:r>
      <w:r w:rsidRPr="00EC089C">
        <w:rPr>
          <w:rStyle w:val="Strong"/>
          <w:b w:val="0"/>
          <w:bCs w:val="0"/>
          <w:sz w:val="20"/>
          <w:szCs w:val="20"/>
        </w:rPr>
        <w:t>financial and operational repercussions</w:t>
      </w:r>
      <w:r w:rsidRPr="00EC089C">
        <w:rPr>
          <w:sz w:val="20"/>
          <w:szCs w:val="20"/>
        </w:rPr>
        <w:t xml:space="preserve">. In </w:t>
      </w:r>
      <w:r w:rsidRPr="00EC089C">
        <w:rPr>
          <w:rStyle w:val="Strong"/>
          <w:b w:val="0"/>
          <w:bCs w:val="0"/>
          <w:sz w:val="20"/>
          <w:szCs w:val="20"/>
        </w:rPr>
        <w:t>2022</w:t>
      </w:r>
      <w:r w:rsidRPr="00EC089C">
        <w:rPr>
          <w:sz w:val="20"/>
          <w:szCs w:val="20"/>
        </w:rPr>
        <w:t xml:space="preserve">, Amazon reported a </w:t>
      </w:r>
      <w:r w:rsidRPr="00EC089C">
        <w:rPr>
          <w:rStyle w:val="Strong"/>
          <w:b w:val="0"/>
          <w:bCs w:val="0"/>
          <w:sz w:val="20"/>
          <w:szCs w:val="20"/>
        </w:rPr>
        <w:t>$3.8 billion net loss</w:t>
      </w:r>
      <w:r w:rsidRPr="00EC089C">
        <w:rPr>
          <w:sz w:val="20"/>
          <w:szCs w:val="20"/>
        </w:rPr>
        <w:t xml:space="preserve">, largely driven by </w:t>
      </w:r>
      <w:r w:rsidRPr="00EC089C">
        <w:rPr>
          <w:rStyle w:val="Strong"/>
          <w:b w:val="0"/>
          <w:bCs w:val="0"/>
          <w:sz w:val="20"/>
          <w:szCs w:val="20"/>
        </w:rPr>
        <w:t>$6 billion in added costs</w:t>
      </w:r>
      <w:r w:rsidRPr="00EC089C">
        <w:rPr>
          <w:sz w:val="20"/>
          <w:szCs w:val="20"/>
        </w:rPr>
        <w:t xml:space="preserve"> related to excess fulfillment capacity. As a response, Amazon </w:t>
      </w:r>
      <w:r w:rsidRPr="00EC089C">
        <w:rPr>
          <w:rStyle w:val="Strong"/>
          <w:b w:val="0"/>
          <w:bCs w:val="0"/>
          <w:sz w:val="20"/>
          <w:szCs w:val="20"/>
        </w:rPr>
        <w:t>postponed or canceled at least 16 warehouse openings</w:t>
      </w:r>
      <w:r w:rsidRPr="00EC089C">
        <w:rPr>
          <w:sz w:val="20"/>
          <w:szCs w:val="20"/>
        </w:rPr>
        <w:t xml:space="preserve">, aiming to </w:t>
      </w:r>
      <w:r w:rsidRPr="00EC089C">
        <w:rPr>
          <w:rStyle w:val="Strong"/>
          <w:b w:val="0"/>
          <w:bCs w:val="0"/>
          <w:sz w:val="20"/>
          <w:szCs w:val="20"/>
        </w:rPr>
        <w:t>reduce operational expenses and labor costs</w:t>
      </w:r>
      <w:r w:rsidRPr="00EC089C">
        <w:rPr>
          <w:sz w:val="20"/>
          <w:szCs w:val="20"/>
        </w:rPr>
        <w:t xml:space="preserve">. The financial impact includes </w:t>
      </w:r>
      <w:r w:rsidRPr="00EC089C">
        <w:rPr>
          <w:rStyle w:val="Strong"/>
          <w:b w:val="0"/>
          <w:bCs w:val="0"/>
          <w:sz w:val="20"/>
          <w:szCs w:val="20"/>
        </w:rPr>
        <w:t>sunk costs from land acquisition, construction, and equipment procurement</w:t>
      </w:r>
      <w:r w:rsidRPr="00EC089C">
        <w:rPr>
          <w:sz w:val="20"/>
          <w:szCs w:val="20"/>
        </w:rPr>
        <w:t xml:space="preserve">. Additionally, postponements of high-tech fulfillment centers, which </w:t>
      </w:r>
      <w:r w:rsidRPr="00EC089C">
        <w:rPr>
          <w:rStyle w:val="Strong"/>
          <w:b w:val="0"/>
          <w:bCs w:val="0"/>
          <w:sz w:val="20"/>
          <w:szCs w:val="20"/>
        </w:rPr>
        <w:t>cost up to $450 million per site</w:t>
      </w:r>
      <w:r w:rsidRPr="00EC089C">
        <w:rPr>
          <w:sz w:val="20"/>
          <w:szCs w:val="20"/>
        </w:rPr>
        <w:t xml:space="preserve">, delay </w:t>
      </w:r>
      <w:r w:rsidRPr="00EC089C">
        <w:rPr>
          <w:rStyle w:val="Strong"/>
          <w:b w:val="0"/>
          <w:bCs w:val="0"/>
          <w:sz w:val="20"/>
          <w:szCs w:val="20"/>
        </w:rPr>
        <w:t>return on investment</w:t>
      </w:r>
      <w:r w:rsidRPr="00EC089C">
        <w:rPr>
          <w:sz w:val="20"/>
          <w:szCs w:val="20"/>
        </w:rPr>
        <w:t xml:space="preserve"> and disrupt Amazon’s strategic growth.</w:t>
      </w:r>
    </w:p>
    <w:p w14:paraId="199EC3A7" w14:textId="47E34EF1" w:rsidR="0062526D" w:rsidRPr="006F584A" w:rsidRDefault="0062526D" w:rsidP="00EC089C">
      <w:pPr>
        <w:pStyle w:val="NormalWeb"/>
        <w:spacing w:before="0" w:beforeAutospacing="0" w:after="0" w:afterAutospacing="0"/>
        <w:rPr>
          <w:sz w:val="20"/>
          <w:szCs w:val="20"/>
        </w:rPr>
      </w:pPr>
      <w:r w:rsidRPr="00EC089C">
        <w:rPr>
          <w:sz w:val="20"/>
          <w:szCs w:val="20"/>
        </w:rPr>
        <w:lastRenderedPageBreak/>
        <w:t xml:space="preserve">Operationally, delaying facility launches can </w:t>
      </w:r>
      <w:r w:rsidRPr="00EC089C">
        <w:rPr>
          <w:rStyle w:val="Strong"/>
          <w:b w:val="0"/>
          <w:bCs w:val="0"/>
          <w:sz w:val="20"/>
          <w:szCs w:val="20"/>
        </w:rPr>
        <w:t>increase delivery times, impact customer satisfaction, and lead to reliance on third-party logistics providers</w:t>
      </w:r>
      <w:r w:rsidRPr="00EC089C">
        <w:rPr>
          <w:sz w:val="20"/>
          <w:szCs w:val="20"/>
        </w:rPr>
        <w:t xml:space="preserve">. Such disruptions </w:t>
      </w:r>
      <w:r w:rsidRPr="00EC089C">
        <w:rPr>
          <w:rStyle w:val="Strong"/>
          <w:b w:val="0"/>
          <w:bCs w:val="0"/>
          <w:sz w:val="20"/>
          <w:szCs w:val="20"/>
        </w:rPr>
        <w:t>reduce operational efficiency and add unexpected costs</w:t>
      </w:r>
      <w:r w:rsidRPr="00EC089C">
        <w:rPr>
          <w:sz w:val="20"/>
          <w:szCs w:val="20"/>
        </w:rPr>
        <w:t xml:space="preserve">. Furthermore, these delays affect </w:t>
      </w:r>
      <w:r w:rsidRPr="00EC089C">
        <w:rPr>
          <w:rStyle w:val="Strong"/>
          <w:b w:val="0"/>
          <w:bCs w:val="0"/>
          <w:sz w:val="20"/>
          <w:szCs w:val="20"/>
        </w:rPr>
        <w:t>local economies</w:t>
      </w:r>
      <w:r w:rsidRPr="00EC089C">
        <w:rPr>
          <w:sz w:val="20"/>
          <w:szCs w:val="20"/>
        </w:rPr>
        <w:t xml:space="preserve">, as seen in the postponed fulfillment center near Buffalo, NY, which </w:t>
      </w:r>
      <w:r w:rsidRPr="00EC089C">
        <w:rPr>
          <w:rStyle w:val="Strong"/>
          <w:b w:val="0"/>
          <w:bCs w:val="0"/>
          <w:sz w:val="20"/>
          <w:szCs w:val="20"/>
        </w:rPr>
        <w:t>delayed 1,000 planned jobs</w:t>
      </w:r>
      <w:r w:rsidRPr="00EC089C">
        <w:rPr>
          <w:sz w:val="20"/>
          <w:szCs w:val="20"/>
        </w:rPr>
        <w:t xml:space="preserve">. By carefully managing its portfolio, Amazon seeks to </w:t>
      </w:r>
      <w:r w:rsidRPr="00EC089C">
        <w:rPr>
          <w:rStyle w:val="Strong"/>
          <w:b w:val="0"/>
          <w:bCs w:val="0"/>
          <w:sz w:val="20"/>
          <w:szCs w:val="20"/>
        </w:rPr>
        <w:t>balance rapid expansion with financial sustainability</w:t>
      </w:r>
      <w:r w:rsidRPr="00EC089C">
        <w:rPr>
          <w:sz w:val="20"/>
          <w:szCs w:val="20"/>
        </w:rPr>
        <w:t xml:space="preserve"> to avoid these costly setbacks</w:t>
      </w:r>
      <w:r w:rsidR="00EC089C">
        <w:rPr>
          <w:sz w:val="20"/>
          <w:szCs w:val="20"/>
        </w:rPr>
        <w:t>.</w:t>
      </w:r>
    </w:p>
    <w:p w14:paraId="6B21AF62" w14:textId="77777777" w:rsidR="006F584A" w:rsidRPr="006F584A" w:rsidRDefault="006F584A" w:rsidP="006F584A">
      <w:pPr>
        <w:spacing w:after="0" w:line="240" w:lineRule="auto"/>
        <w:outlineLvl w:val="2"/>
        <w:rPr>
          <w:rFonts w:ascii="Times New Roman" w:eastAsia="Times New Roman" w:hAnsi="Times New Roman" w:cs="Times New Roman"/>
          <w:b/>
          <w:bCs/>
          <w:sz w:val="20"/>
          <w:szCs w:val="20"/>
        </w:rPr>
      </w:pPr>
      <w:r w:rsidRPr="006F584A">
        <w:rPr>
          <w:rFonts w:ascii="Times New Roman" w:eastAsia="Times New Roman" w:hAnsi="Times New Roman" w:cs="Times New Roman"/>
          <w:b/>
          <w:bCs/>
          <w:sz w:val="20"/>
          <w:szCs w:val="20"/>
        </w:rPr>
        <w:t>4.2 Regional Deployment of New Facilities</w:t>
      </w:r>
    </w:p>
    <w:p w14:paraId="06522091" w14:textId="77777777" w:rsidR="006F584A" w:rsidRPr="006F584A" w:rsidRDefault="006F584A" w:rsidP="006F584A">
      <w:pPr>
        <w:numPr>
          <w:ilvl w:val="0"/>
          <w:numId w:val="20"/>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Urban centers: Focus on SDFs for fast deliveries.</w:t>
      </w:r>
    </w:p>
    <w:p w14:paraId="17B805C3" w14:textId="77777777" w:rsidR="006F584A" w:rsidRPr="006F584A" w:rsidRDefault="006F584A" w:rsidP="006F584A">
      <w:pPr>
        <w:numPr>
          <w:ilvl w:val="0"/>
          <w:numId w:val="20"/>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Rural &amp; suburban areas: Larger FCs and SCs for bulk processing.</w:t>
      </w:r>
    </w:p>
    <w:p w14:paraId="09C1CE54" w14:textId="77777777" w:rsidR="006F584A" w:rsidRPr="006F584A" w:rsidRDefault="006F584A" w:rsidP="006F584A">
      <w:pPr>
        <w:numPr>
          <w:ilvl w:val="0"/>
          <w:numId w:val="20"/>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Global expansion: ARS &amp; automation-focused centers in high-growth regions.</w:t>
      </w:r>
    </w:p>
    <w:p w14:paraId="6B1520BD" w14:textId="77777777" w:rsidR="006F584A" w:rsidRPr="006F584A" w:rsidRDefault="006F584A" w:rsidP="006F584A">
      <w:pPr>
        <w:numPr>
          <w:ilvl w:val="0"/>
          <w:numId w:val="20"/>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Greenfield vs. Brownfield Development: The choice between greenfield and brownfield approaches depends on location, cost, environmental considerations, and urgency of operational needs. Greenfield sites allow for custom-built warehouses, while brownfield projects leverage existing infrastructure for faster deployment and sustainability benefits.</w:t>
      </w:r>
    </w:p>
    <w:p w14:paraId="2495E3A7" w14:textId="77777777" w:rsidR="006F584A" w:rsidRPr="006F584A" w:rsidRDefault="006F584A" w:rsidP="006F584A">
      <w:pPr>
        <w:spacing w:after="0" w:line="240" w:lineRule="auto"/>
        <w:outlineLvl w:val="2"/>
        <w:rPr>
          <w:rFonts w:ascii="Times New Roman" w:eastAsia="Times New Roman" w:hAnsi="Times New Roman" w:cs="Times New Roman"/>
          <w:b/>
          <w:bCs/>
          <w:sz w:val="20"/>
          <w:szCs w:val="20"/>
        </w:rPr>
      </w:pPr>
      <w:r w:rsidRPr="006F584A">
        <w:rPr>
          <w:rFonts w:ascii="Times New Roman" w:eastAsia="Times New Roman" w:hAnsi="Times New Roman" w:cs="Times New Roman"/>
          <w:b/>
          <w:bCs/>
          <w:sz w:val="20"/>
          <w:szCs w:val="20"/>
        </w:rPr>
        <w:t>4.3 Sustainability &amp; Future Facility Designs</w:t>
      </w:r>
    </w:p>
    <w:p w14:paraId="254B5436" w14:textId="77777777" w:rsidR="006F584A" w:rsidRPr="006F584A" w:rsidRDefault="006F584A" w:rsidP="006F584A">
      <w:pPr>
        <w:numPr>
          <w:ilvl w:val="0"/>
          <w:numId w:val="19"/>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Green building initiatives: Renewable energy, energy-efficient automation.</w:t>
      </w:r>
    </w:p>
    <w:p w14:paraId="55EA6D96" w14:textId="77777777" w:rsidR="006F584A" w:rsidRPr="006F584A" w:rsidRDefault="006F584A" w:rsidP="006F584A">
      <w:pPr>
        <w:numPr>
          <w:ilvl w:val="0"/>
          <w:numId w:val="19"/>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AI-driven warehouse optimization: Smart inventory management to reduce operational waste.</w:t>
      </w:r>
    </w:p>
    <w:p w14:paraId="1D7B08C2" w14:textId="77777777" w:rsidR="006F584A" w:rsidRPr="006F584A" w:rsidRDefault="006F584A" w:rsidP="006F584A">
      <w:pPr>
        <w:numPr>
          <w:ilvl w:val="0"/>
          <w:numId w:val="19"/>
        </w:numPr>
        <w:spacing w:after="0" w:line="240" w:lineRule="auto"/>
        <w:rPr>
          <w:rFonts w:ascii="Times New Roman" w:eastAsia="Times New Roman" w:hAnsi="Times New Roman" w:cs="Times New Roman"/>
          <w:sz w:val="20"/>
          <w:szCs w:val="20"/>
        </w:rPr>
      </w:pPr>
      <w:r w:rsidRPr="006F584A">
        <w:rPr>
          <w:rFonts w:ascii="Times New Roman" w:eastAsia="Times New Roman" w:hAnsi="Times New Roman" w:cs="Times New Roman"/>
          <w:sz w:val="20"/>
          <w:szCs w:val="20"/>
        </w:rPr>
        <w:t>Autonomous delivery integration: Drone and robotic delivery networks</w:t>
      </w:r>
    </w:p>
    <w:p w14:paraId="57B0C6F0" w14:textId="10106D31" w:rsidR="000F265E" w:rsidRDefault="002B72B1" w:rsidP="00762ACF">
      <w:pPr>
        <w:pBdr>
          <w:bottom w:val="single" w:sz="12" w:space="1" w:color="auto"/>
        </w:pBd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5. </w:t>
      </w:r>
      <w:r w:rsidR="000F265E" w:rsidRPr="000F265E">
        <w:rPr>
          <w:rFonts w:ascii="Times New Roman" w:eastAsia="Times New Roman" w:hAnsi="Times New Roman" w:cs="Times New Roman"/>
          <w:b/>
          <w:bCs/>
          <w:sz w:val="20"/>
          <w:szCs w:val="20"/>
        </w:rPr>
        <w:t xml:space="preserve"> Conclusion &amp; Future Outlook</w:t>
      </w:r>
    </w:p>
    <w:p w14:paraId="26FC6B5F" w14:textId="4301057F" w:rsidR="000F265E" w:rsidRDefault="000F265E" w:rsidP="00BB1A9B">
      <w:pPr>
        <w:spacing w:after="0" w:line="240" w:lineRule="auto"/>
        <w:rPr>
          <w:rFonts w:ascii="Times New Roman" w:eastAsia="Times New Roman" w:hAnsi="Times New Roman" w:cs="Times New Roman"/>
          <w:sz w:val="20"/>
          <w:szCs w:val="20"/>
        </w:rPr>
      </w:pPr>
      <w:r w:rsidRPr="000F265E">
        <w:rPr>
          <w:rFonts w:ascii="Times New Roman" w:eastAsia="Times New Roman" w:hAnsi="Times New Roman" w:cs="Times New Roman"/>
          <w:sz w:val="20"/>
          <w:szCs w:val="20"/>
        </w:rPr>
        <w:t>Amazon’s facility development strategy is a crucial enabler of its global supply chain dominance. By integrating automation, robotics, and AI-driven logistics, Amazon continues to scale its infrastructure while optimizing costs and reducing operational risks. As sustainability and AI adoption evolve, future Amazon facilities will likely incorporate carbon-neutral operations, increased robotics autonomy, and predictive demand-driven expansion models. The company’s portfolio management strategy ensures that each facility type plays a vital role in meeting customer demand, maintaining market leadership, and setting new benchmarks for efficiency in logistics and e-commerce.</w:t>
      </w:r>
    </w:p>
    <w:p w14:paraId="193CABC9" w14:textId="4D801BDD" w:rsidR="00EC089C" w:rsidRDefault="00EC089C" w:rsidP="00BB1A9B">
      <w:pPr>
        <w:pBdr>
          <w:bottom w:val="single" w:sz="12" w:space="1" w:color="auto"/>
        </w:pBdr>
        <w:spacing w:after="0" w:line="240" w:lineRule="auto"/>
        <w:rPr>
          <w:rFonts w:ascii="Times New Roman" w:eastAsia="Times New Roman" w:hAnsi="Times New Roman" w:cs="Times New Roman"/>
          <w:b/>
          <w:bCs/>
          <w:sz w:val="20"/>
          <w:szCs w:val="20"/>
        </w:rPr>
      </w:pPr>
      <w:r w:rsidRPr="00EC089C">
        <w:rPr>
          <w:rFonts w:ascii="Times New Roman" w:eastAsia="Times New Roman" w:hAnsi="Times New Roman" w:cs="Times New Roman"/>
          <w:b/>
          <w:bCs/>
          <w:sz w:val="20"/>
          <w:szCs w:val="20"/>
        </w:rPr>
        <w:t>6. References</w:t>
      </w:r>
    </w:p>
    <w:p w14:paraId="5A7DA90C" w14:textId="77777777" w:rsidR="009C26AB" w:rsidRPr="009C26AB" w:rsidRDefault="009C26AB" w:rsidP="009C26AB">
      <w:pPr>
        <w:numPr>
          <w:ilvl w:val="0"/>
          <w:numId w:val="23"/>
        </w:numPr>
        <w:spacing w:after="0" w:line="240" w:lineRule="auto"/>
        <w:rPr>
          <w:rFonts w:ascii="Times New Roman" w:eastAsia="Times New Roman" w:hAnsi="Times New Roman" w:cs="Times New Roman"/>
          <w:sz w:val="20"/>
          <w:szCs w:val="20"/>
        </w:rPr>
      </w:pPr>
      <w:r w:rsidRPr="009C26AB">
        <w:rPr>
          <w:rFonts w:ascii="Times New Roman" w:eastAsia="Times New Roman" w:hAnsi="Times New Roman" w:cs="Times New Roman"/>
          <w:sz w:val="20"/>
          <w:szCs w:val="20"/>
        </w:rPr>
        <w:t>Amazon Investor Relations. (n.d.). Retrieved from https://ir.aboutamazon.com/</w:t>
      </w:r>
    </w:p>
    <w:p w14:paraId="21CB1E62" w14:textId="77777777" w:rsidR="009C26AB" w:rsidRPr="009C26AB" w:rsidRDefault="009C26AB" w:rsidP="009C26AB">
      <w:pPr>
        <w:numPr>
          <w:ilvl w:val="0"/>
          <w:numId w:val="23"/>
        </w:numPr>
        <w:spacing w:after="0" w:line="240" w:lineRule="auto"/>
        <w:rPr>
          <w:rFonts w:ascii="Times New Roman" w:eastAsia="Times New Roman" w:hAnsi="Times New Roman" w:cs="Times New Roman"/>
          <w:sz w:val="20"/>
          <w:szCs w:val="20"/>
        </w:rPr>
      </w:pPr>
      <w:r w:rsidRPr="009C26AB">
        <w:rPr>
          <w:rFonts w:ascii="Times New Roman" w:eastAsia="Times New Roman" w:hAnsi="Times New Roman" w:cs="Times New Roman"/>
          <w:sz w:val="20"/>
          <w:szCs w:val="20"/>
        </w:rPr>
        <w:t>OSHA Warehousing Standards. Retrieved from https://www.osha.gov/warehousing/standards-enforcement</w:t>
      </w:r>
    </w:p>
    <w:p w14:paraId="08595418" w14:textId="77777777" w:rsidR="009C26AB" w:rsidRPr="009C26AB" w:rsidRDefault="009C26AB" w:rsidP="009C26AB">
      <w:pPr>
        <w:numPr>
          <w:ilvl w:val="0"/>
          <w:numId w:val="23"/>
        </w:numPr>
        <w:spacing w:after="0" w:line="240" w:lineRule="auto"/>
        <w:rPr>
          <w:rFonts w:ascii="Times New Roman" w:eastAsia="Times New Roman" w:hAnsi="Times New Roman" w:cs="Times New Roman"/>
          <w:sz w:val="20"/>
          <w:szCs w:val="20"/>
        </w:rPr>
      </w:pPr>
      <w:r w:rsidRPr="009C26AB">
        <w:rPr>
          <w:rFonts w:ascii="Times New Roman" w:eastAsia="Times New Roman" w:hAnsi="Times New Roman" w:cs="Times New Roman"/>
          <w:sz w:val="20"/>
          <w:szCs w:val="20"/>
        </w:rPr>
        <w:t>FDA Regulatory Information. Retrieved from https://www.fda.gov/regulatory-information</w:t>
      </w:r>
    </w:p>
    <w:p w14:paraId="65FBE2ED" w14:textId="77777777" w:rsidR="009C26AB" w:rsidRPr="009C26AB" w:rsidRDefault="009C26AB" w:rsidP="009C26AB">
      <w:pPr>
        <w:numPr>
          <w:ilvl w:val="0"/>
          <w:numId w:val="23"/>
        </w:numPr>
        <w:spacing w:after="0" w:line="240" w:lineRule="auto"/>
        <w:rPr>
          <w:rFonts w:ascii="Times New Roman" w:eastAsia="Times New Roman" w:hAnsi="Times New Roman" w:cs="Times New Roman"/>
          <w:sz w:val="20"/>
          <w:szCs w:val="20"/>
        </w:rPr>
      </w:pPr>
      <w:r w:rsidRPr="009C26AB">
        <w:rPr>
          <w:rFonts w:ascii="Times New Roman" w:eastAsia="Times New Roman" w:hAnsi="Times New Roman" w:cs="Times New Roman"/>
          <w:sz w:val="20"/>
          <w:szCs w:val="20"/>
        </w:rPr>
        <w:t>Grand View Research: Material Handling Equipment Market. Retrieved from https://www.grandviewresearch.com/industry-analysis/materials-handling-equipment-market</w:t>
      </w:r>
    </w:p>
    <w:p w14:paraId="0B3D7F82" w14:textId="77777777" w:rsidR="009C26AB" w:rsidRPr="009C26AB" w:rsidRDefault="009C26AB" w:rsidP="009C26AB">
      <w:pPr>
        <w:numPr>
          <w:ilvl w:val="0"/>
          <w:numId w:val="23"/>
        </w:numPr>
        <w:spacing w:after="0" w:line="240" w:lineRule="auto"/>
        <w:rPr>
          <w:rFonts w:ascii="Times New Roman" w:eastAsia="Times New Roman" w:hAnsi="Times New Roman" w:cs="Times New Roman"/>
          <w:sz w:val="20"/>
          <w:szCs w:val="20"/>
        </w:rPr>
      </w:pPr>
      <w:proofErr w:type="spellStart"/>
      <w:r w:rsidRPr="009C26AB">
        <w:rPr>
          <w:rFonts w:ascii="Times New Roman" w:eastAsia="Times New Roman" w:hAnsi="Times New Roman" w:cs="Times New Roman"/>
          <w:sz w:val="20"/>
          <w:szCs w:val="20"/>
        </w:rPr>
        <w:t>FreightWaves</w:t>
      </w:r>
      <w:proofErr w:type="spellEnd"/>
      <w:r w:rsidRPr="009C26AB">
        <w:rPr>
          <w:rFonts w:ascii="Times New Roman" w:eastAsia="Times New Roman" w:hAnsi="Times New Roman" w:cs="Times New Roman"/>
          <w:sz w:val="20"/>
          <w:szCs w:val="20"/>
        </w:rPr>
        <w:t>: Amazon Warehouse Delays. Retrieved from https://www.freightwaves.com/news/amazon-cancels-or-delays-plans-for-at-least-16-warehouses-this-year</w:t>
      </w:r>
    </w:p>
    <w:p w14:paraId="7F50DC6F" w14:textId="73EC922B" w:rsidR="00EC089C" w:rsidRPr="00FF7088" w:rsidRDefault="009C26AB" w:rsidP="00BB1A9B">
      <w:pPr>
        <w:numPr>
          <w:ilvl w:val="0"/>
          <w:numId w:val="23"/>
        </w:numPr>
        <w:spacing w:after="0" w:line="240" w:lineRule="auto"/>
        <w:rPr>
          <w:rFonts w:ascii="Times New Roman" w:eastAsia="Times New Roman" w:hAnsi="Times New Roman" w:cs="Times New Roman"/>
          <w:sz w:val="20"/>
          <w:szCs w:val="20"/>
        </w:rPr>
      </w:pPr>
      <w:r w:rsidRPr="009C26AB">
        <w:rPr>
          <w:rFonts w:ascii="Times New Roman" w:eastAsia="Times New Roman" w:hAnsi="Times New Roman" w:cs="Times New Roman"/>
          <w:sz w:val="20"/>
          <w:szCs w:val="20"/>
        </w:rPr>
        <w:t>Business Insider: Amazon Robotics. Retrieved from https://www.businessinsider.com/amazon-robots-could-save-10-billion-a-year-2025-2</w:t>
      </w:r>
    </w:p>
    <w:sectPr w:rsidR="00EC089C" w:rsidRPr="00FF7088" w:rsidSect="00732317">
      <w:headerReference w:type="default" r:id="rId7"/>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64ED7" w14:textId="77777777" w:rsidR="007E702A" w:rsidRDefault="007E702A" w:rsidP="000F265E">
      <w:pPr>
        <w:spacing w:after="0" w:line="240" w:lineRule="auto"/>
      </w:pPr>
      <w:r>
        <w:separator/>
      </w:r>
    </w:p>
  </w:endnote>
  <w:endnote w:type="continuationSeparator" w:id="0">
    <w:p w14:paraId="62727B69" w14:textId="77777777" w:rsidR="007E702A" w:rsidRDefault="007E702A" w:rsidP="000F2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328192"/>
      <w:docPartObj>
        <w:docPartGallery w:val="Page Numbers (Bottom of Page)"/>
        <w:docPartUnique/>
      </w:docPartObj>
    </w:sdtPr>
    <w:sdtEndPr>
      <w:rPr>
        <w:noProof/>
      </w:rPr>
    </w:sdtEndPr>
    <w:sdtContent>
      <w:p w14:paraId="4EDB2090" w14:textId="22F3C716" w:rsidR="00732317" w:rsidRDefault="007323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BDE528" w14:textId="77777777" w:rsidR="00732317" w:rsidRDefault="00732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B6012" w14:textId="77777777" w:rsidR="007E702A" w:rsidRDefault="007E702A" w:rsidP="000F265E">
      <w:pPr>
        <w:spacing w:after="0" w:line="240" w:lineRule="auto"/>
      </w:pPr>
      <w:r>
        <w:separator/>
      </w:r>
    </w:p>
  </w:footnote>
  <w:footnote w:type="continuationSeparator" w:id="0">
    <w:p w14:paraId="629F22CE" w14:textId="77777777" w:rsidR="007E702A" w:rsidRDefault="007E702A" w:rsidP="000F2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5CB52" w14:textId="77777777" w:rsidR="000F265E" w:rsidRPr="000F265E" w:rsidRDefault="000F265E" w:rsidP="000F265E">
    <w:pPr>
      <w:spacing w:after="0" w:line="240" w:lineRule="auto"/>
      <w:outlineLvl w:val="0"/>
      <w:rPr>
        <w:rFonts w:ascii="Times New Roman" w:eastAsia="Times New Roman" w:hAnsi="Times New Roman" w:cs="Times New Roman"/>
        <w:b/>
        <w:bCs/>
        <w:kern w:val="36"/>
        <w:sz w:val="20"/>
        <w:szCs w:val="20"/>
      </w:rPr>
    </w:pPr>
    <w:r w:rsidRPr="000F265E">
      <w:rPr>
        <w:rFonts w:ascii="Times New Roman" w:eastAsia="Times New Roman" w:hAnsi="Times New Roman" w:cs="Times New Roman"/>
        <w:b/>
        <w:bCs/>
        <w:kern w:val="36"/>
        <w:sz w:val="20"/>
        <w:szCs w:val="20"/>
      </w:rPr>
      <w:t>Amazon Facility Development: A Comprehensive Analysis of Design, Construction, MHE Installation, Testing, and Portfolio Strategy</w:t>
    </w:r>
  </w:p>
  <w:p w14:paraId="4141DA6F" w14:textId="77777777" w:rsidR="000F265E" w:rsidRDefault="000F26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FBA"/>
    <w:multiLevelType w:val="multilevel"/>
    <w:tmpl w:val="263E89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02BC5"/>
    <w:multiLevelType w:val="multilevel"/>
    <w:tmpl w:val="B9D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718"/>
    <w:multiLevelType w:val="multilevel"/>
    <w:tmpl w:val="038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740E4"/>
    <w:multiLevelType w:val="multilevel"/>
    <w:tmpl w:val="6FD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92271"/>
    <w:multiLevelType w:val="multilevel"/>
    <w:tmpl w:val="E2C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D6026"/>
    <w:multiLevelType w:val="multilevel"/>
    <w:tmpl w:val="DF2406F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0200146"/>
    <w:multiLevelType w:val="multilevel"/>
    <w:tmpl w:val="F32A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46A1"/>
    <w:multiLevelType w:val="multilevel"/>
    <w:tmpl w:val="8250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D668F"/>
    <w:multiLevelType w:val="multilevel"/>
    <w:tmpl w:val="A14A3E34"/>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D94BAE"/>
    <w:multiLevelType w:val="multilevel"/>
    <w:tmpl w:val="358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76672"/>
    <w:multiLevelType w:val="multilevel"/>
    <w:tmpl w:val="01B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74B9C"/>
    <w:multiLevelType w:val="multilevel"/>
    <w:tmpl w:val="AC0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7079F"/>
    <w:multiLevelType w:val="multilevel"/>
    <w:tmpl w:val="09D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C7DF2"/>
    <w:multiLevelType w:val="multilevel"/>
    <w:tmpl w:val="275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A3926"/>
    <w:multiLevelType w:val="multilevel"/>
    <w:tmpl w:val="340AB58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D6D741B"/>
    <w:multiLevelType w:val="multilevel"/>
    <w:tmpl w:val="DC14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E26C3"/>
    <w:multiLevelType w:val="multilevel"/>
    <w:tmpl w:val="8E20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00EBA"/>
    <w:multiLevelType w:val="multilevel"/>
    <w:tmpl w:val="4978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A291D"/>
    <w:multiLevelType w:val="multilevel"/>
    <w:tmpl w:val="F5C4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95151"/>
    <w:multiLevelType w:val="multilevel"/>
    <w:tmpl w:val="AA7E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D1F66"/>
    <w:multiLevelType w:val="multilevel"/>
    <w:tmpl w:val="A26EE5D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D3641ED"/>
    <w:multiLevelType w:val="multilevel"/>
    <w:tmpl w:val="E93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847F3"/>
    <w:multiLevelType w:val="multilevel"/>
    <w:tmpl w:val="EF7E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1"/>
  </w:num>
  <w:num w:numId="4">
    <w:abstractNumId w:val="6"/>
  </w:num>
  <w:num w:numId="5">
    <w:abstractNumId w:val="1"/>
  </w:num>
  <w:num w:numId="6">
    <w:abstractNumId w:val="2"/>
  </w:num>
  <w:num w:numId="7">
    <w:abstractNumId w:val="9"/>
  </w:num>
  <w:num w:numId="8">
    <w:abstractNumId w:val="18"/>
  </w:num>
  <w:num w:numId="9">
    <w:abstractNumId w:val="22"/>
  </w:num>
  <w:num w:numId="10">
    <w:abstractNumId w:val="16"/>
  </w:num>
  <w:num w:numId="11">
    <w:abstractNumId w:val="15"/>
  </w:num>
  <w:num w:numId="12">
    <w:abstractNumId w:val="13"/>
  </w:num>
  <w:num w:numId="13">
    <w:abstractNumId w:val="3"/>
  </w:num>
  <w:num w:numId="14">
    <w:abstractNumId w:val="17"/>
  </w:num>
  <w:num w:numId="15">
    <w:abstractNumId w:val="7"/>
  </w:num>
  <w:num w:numId="16">
    <w:abstractNumId w:val="19"/>
  </w:num>
  <w:num w:numId="17">
    <w:abstractNumId w:val="21"/>
  </w:num>
  <w:num w:numId="18">
    <w:abstractNumId w:val="10"/>
  </w:num>
  <w:num w:numId="19">
    <w:abstractNumId w:val="20"/>
  </w:num>
  <w:num w:numId="20">
    <w:abstractNumId w:val="8"/>
  </w:num>
  <w:num w:numId="21">
    <w:abstractNumId w:val="14"/>
  </w:num>
  <w:num w:numId="22">
    <w:abstractNumId w:val="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5E"/>
    <w:rsid w:val="000F265E"/>
    <w:rsid w:val="002B72B1"/>
    <w:rsid w:val="00415615"/>
    <w:rsid w:val="005A6BBB"/>
    <w:rsid w:val="0062526D"/>
    <w:rsid w:val="006F584A"/>
    <w:rsid w:val="00732317"/>
    <w:rsid w:val="00762ACF"/>
    <w:rsid w:val="007E702A"/>
    <w:rsid w:val="00831A40"/>
    <w:rsid w:val="009240F6"/>
    <w:rsid w:val="009C26AB"/>
    <w:rsid w:val="00B908C9"/>
    <w:rsid w:val="00BB1A9B"/>
    <w:rsid w:val="00CF6A53"/>
    <w:rsid w:val="00D55429"/>
    <w:rsid w:val="00EC089C"/>
    <w:rsid w:val="00F326A9"/>
    <w:rsid w:val="00FB1229"/>
    <w:rsid w:val="00FF7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852B"/>
  <w15:chartTrackingRefBased/>
  <w15:docId w15:val="{37804D7D-AD2B-4C65-B686-A592F1152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F58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65E"/>
  </w:style>
  <w:style w:type="paragraph" w:styleId="Footer">
    <w:name w:val="footer"/>
    <w:basedOn w:val="Normal"/>
    <w:link w:val="FooterChar"/>
    <w:uiPriority w:val="99"/>
    <w:unhideWhenUsed/>
    <w:rsid w:val="000F2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65E"/>
  </w:style>
  <w:style w:type="paragraph" w:styleId="ListParagraph">
    <w:name w:val="List Paragraph"/>
    <w:basedOn w:val="Normal"/>
    <w:uiPriority w:val="34"/>
    <w:qFormat/>
    <w:rsid w:val="000F265E"/>
    <w:pPr>
      <w:ind w:left="720"/>
      <w:contextualSpacing/>
    </w:pPr>
  </w:style>
  <w:style w:type="paragraph" w:styleId="NormalWeb">
    <w:name w:val="Normal (Web)"/>
    <w:basedOn w:val="Normal"/>
    <w:uiPriority w:val="99"/>
    <w:unhideWhenUsed/>
    <w:rsid w:val="00762A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2ACF"/>
    <w:rPr>
      <w:b/>
      <w:bCs/>
    </w:rPr>
  </w:style>
  <w:style w:type="character" w:customStyle="1" w:styleId="Heading3Char">
    <w:name w:val="Heading 3 Char"/>
    <w:basedOn w:val="DefaultParagraphFont"/>
    <w:link w:val="Heading3"/>
    <w:uiPriority w:val="9"/>
    <w:rsid w:val="006F584A"/>
    <w:rPr>
      <w:rFonts w:ascii="Times New Roman" w:eastAsia="Times New Roman" w:hAnsi="Times New Roman" w:cs="Times New Roman"/>
      <w:b/>
      <w:bCs/>
      <w:sz w:val="27"/>
      <w:szCs w:val="27"/>
    </w:rPr>
  </w:style>
  <w:style w:type="character" w:styleId="LineNumber">
    <w:name w:val="line number"/>
    <w:basedOn w:val="DefaultParagraphFont"/>
    <w:uiPriority w:val="99"/>
    <w:semiHidden/>
    <w:unhideWhenUsed/>
    <w:rsid w:val="00732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891792">
      <w:bodyDiv w:val="1"/>
      <w:marLeft w:val="0"/>
      <w:marRight w:val="0"/>
      <w:marTop w:val="0"/>
      <w:marBottom w:val="0"/>
      <w:divBdr>
        <w:top w:val="none" w:sz="0" w:space="0" w:color="auto"/>
        <w:left w:val="none" w:sz="0" w:space="0" w:color="auto"/>
        <w:bottom w:val="none" w:sz="0" w:space="0" w:color="auto"/>
        <w:right w:val="none" w:sz="0" w:space="0" w:color="auto"/>
      </w:divBdr>
    </w:div>
    <w:div w:id="473792003">
      <w:bodyDiv w:val="1"/>
      <w:marLeft w:val="0"/>
      <w:marRight w:val="0"/>
      <w:marTop w:val="0"/>
      <w:marBottom w:val="0"/>
      <w:divBdr>
        <w:top w:val="none" w:sz="0" w:space="0" w:color="auto"/>
        <w:left w:val="none" w:sz="0" w:space="0" w:color="auto"/>
        <w:bottom w:val="none" w:sz="0" w:space="0" w:color="auto"/>
        <w:right w:val="none" w:sz="0" w:space="0" w:color="auto"/>
      </w:divBdr>
    </w:div>
    <w:div w:id="608244526">
      <w:bodyDiv w:val="1"/>
      <w:marLeft w:val="0"/>
      <w:marRight w:val="0"/>
      <w:marTop w:val="0"/>
      <w:marBottom w:val="0"/>
      <w:divBdr>
        <w:top w:val="none" w:sz="0" w:space="0" w:color="auto"/>
        <w:left w:val="none" w:sz="0" w:space="0" w:color="auto"/>
        <w:bottom w:val="none" w:sz="0" w:space="0" w:color="auto"/>
        <w:right w:val="none" w:sz="0" w:space="0" w:color="auto"/>
      </w:divBdr>
    </w:div>
    <w:div w:id="849948992">
      <w:bodyDiv w:val="1"/>
      <w:marLeft w:val="0"/>
      <w:marRight w:val="0"/>
      <w:marTop w:val="0"/>
      <w:marBottom w:val="0"/>
      <w:divBdr>
        <w:top w:val="none" w:sz="0" w:space="0" w:color="auto"/>
        <w:left w:val="none" w:sz="0" w:space="0" w:color="auto"/>
        <w:bottom w:val="none" w:sz="0" w:space="0" w:color="auto"/>
        <w:right w:val="none" w:sz="0" w:space="0" w:color="auto"/>
      </w:divBdr>
    </w:div>
    <w:div w:id="877471149">
      <w:bodyDiv w:val="1"/>
      <w:marLeft w:val="0"/>
      <w:marRight w:val="0"/>
      <w:marTop w:val="0"/>
      <w:marBottom w:val="0"/>
      <w:divBdr>
        <w:top w:val="none" w:sz="0" w:space="0" w:color="auto"/>
        <w:left w:val="none" w:sz="0" w:space="0" w:color="auto"/>
        <w:bottom w:val="none" w:sz="0" w:space="0" w:color="auto"/>
        <w:right w:val="none" w:sz="0" w:space="0" w:color="auto"/>
      </w:divBdr>
    </w:div>
    <w:div w:id="884289916">
      <w:bodyDiv w:val="1"/>
      <w:marLeft w:val="0"/>
      <w:marRight w:val="0"/>
      <w:marTop w:val="0"/>
      <w:marBottom w:val="0"/>
      <w:divBdr>
        <w:top w:val="none" w:sz="0" w:space="0" w:color="auto"/>
        <w:left w:val="none" w:sz="0" w:space="0" w:color="auto"/>
        <w:bottom w:val="none" w:sz="0" w:space="0" w:color="auto"/>
        <w:right w:val="none" w:sz="0" w:space="0" w:color="auto"/>
      </w:divBdr>
    </w:div>
    <w:div w:id="1040865412">
      <w:bodyDiv w:val="1"/>
      <w:marLeft w:val="0"/>
      <w:marRight w:val="0"/>
      <w:marTop w:val="0"/>
      <w:marBottom w:val="0"/>
      <w:divBdr>
        <w:top w:val="none" w:sz="0" w:space="0" w:color="auto"/>
        <w:left w:val="none" w:sz="0" w:space="0" w:color="auto"/>
        <w:bottom w:val="none" w:sz="0" w:space="0" w:color="auto"/>
        <w:right w:val="none" w:sz="0" w:space="0" w:color="auto"/>
      </w:divBdr>
    </w:div>
    <w:div w:id="1041369933">
      <w:bodyDiv w:val="1"/>
      <w:marLeft w:val="0"/>
      <w:marRight w:val="0"/>
      <w:marTop w:val="0"/>
      <w:marBottom w:val="0"/>
      <w:divBdr>
        <w:top w:val="none" w:sz="0" w:space="0" w:color="auto"/>
        <w:left w:val="none" w:sz="0" w:space="0" w:color="auto"/>
        <w:bottom w:val="none" w:sz="0" w:space="0" w:color="auto"/>
        <w:right w:val="none" w:sz="0" w:space="0" w:color="auto"/>
      </w:divBdr>
    </w:div>
    <w:div w:id="1367675309">
      <w:bodyDiv w:val="1"/>
      <w:marLeft w:val="0"/>
      <w:marRight w:val="0"/>
      <w:marTop w:val="0"/>
      <w:marBottom w:val="0"/>
      <w:divBdr>
        <w:top w:val="none" w:sz="0" w:space="0" w:color="auto"/>
        <w:left w:val="none" w:sz="0" w:space="0" w:color="auto"/>
        <w:bottom w:val="none" w:sz="0" w:space="0" w:color="auto"/>
        <w:right w:val="none" w:sz="0" w:space="0" w:color="auto"/>
      </w:divBdr>
    </w:div>
    <w:div w:id="1494294342">
      <w:bodyDiv w:val="1"/>
      <w:marLeft w:val="0"/>
      <w:marRight w:val="0"/>
      <w:marTop w:val="0"/>
      <w:marBottom w:val="0"/>
      <w:divBdr>
        <w:top w:val="none" w:sz="0" w:space="0" w:color="auto"/>
        <w:left w:val="none" w:sz="0" w:space="0" w:color="auto"/>
        <w:bottom w:val="none" w:sz="0" w:space="0" w:color="auto"/>
        <w:right w:val="none" w:sz="0" w:space="0" w:color="auto"/>
      </w:divBdr>
    </w:div>
    <w:div w:id="1542207521">
      <w:bodyDiv w:val="1"/>
      <w:marLeft w:val="0"/>
      <w:marRight w:val="0"/>
      <w:marTop w:val="0"/>
      <w:marBottom w:val="0"/>
      <w:divBdr>
        <w:top w:val="none" w:sz="0" w:space="0" w:color="auto"/>
        <w:left w:val="none" w:sz="0" w:space="0" w:color="auto"/>
        <w:bottom w:val="none" w:sz="0" w:space="0" w:color="auto"/>
        <w:right w:val="none" w:sz="0" w:space="0" w:color="auto"/>
      </w:divBdr>
    </w:div>
    <w:div w:id="173022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Wolberg, Sarah</dc:creator>
  <cp:keywords/>
  <dc:description/>
  <cp:lastModifiedBy>Wolberg, Sarah</cp:lastModifiedBy>
  <cp:revision>26</cp:revision>
  <cp:lastPrinted>2025-02-20T19:58:00Z</cp:lastPrinted>
  <dcterms:created xsi:type="dcterms:W3CDTF">2025-02-20T18:09:00Z</dcterms:created>
  <dcterms:modified xsi:type="dcterms:W3CDTF">2025-02-20T19:58:00Z</dcterms:modified>
</cp:coreProperties>
</file>