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0"/>
      </w:pPr>
    </w:p>
    <w:p>
      <w:pPr>
        <w:bidi/>
        <w:spacing w:before="80" w:after="40"/>
        <w:jc w:val="center"/>
      </w:pPr>
      <w:r>
        <w:rPr>
          <w:rFonts w:ascii="Arial" w:cs="Arial" w:eastAsia="Arial" w:hAnsi="Arial"/>
          <w:b/>
          <w:bCs/>
          <w:i w:val="false"/>
          <w:iCs w:val="false"/>
          <w:color w:val="1A3A6B"/>
          <w:sz w:val="22"/>
          <w:szCs w:val="22"/>
          <w:rtl/>
        </w:rPr>
        <w:t xml:space="preserve">الجمهورية الجزائرية الديمقراطية الشعبية</w:t>
      </w:r>
    </w:p>
    <w:p>
      <w:pPr>
        <w:bidi/>
        <w:spacing w:before="80" w:after="200"/>
        <w:jc w:val="center"/>
      </w:pPr>
      <w:r>
        <w:rPr>
          <w:rFonts w:ascii="Arial" w:cs="Arial" w:eastAsia="Arial" w:hAnsi="Arial"/>
          <w:b w:val="false"/>
          <w:bCs w:val="false"/>
          <w:i w:val="false"/>
          <w:iCs w:val="false"/>
          <w:color w:val="1A1A1A"/>
          <w:sz w:val="20"/>
          <w:szCs w:val="20"/>
          <w:rtl/>
        </w:rPr>
        <w:t xml:space="preserve">المعهد الوطني الجزائري للملكية الصناعية — INAPI</w:t>
      </w:r>
    </w:p>
    <w:p>
      <w:pPr>
        <w:pBdr>
          <w:bottom w:val="single" w:color="B8860B" w:sz="6" w:space="1"/>
        </w:pBdr>
        <w:spacing w:before="160" w:after="160"/>
      </w:pPr>
    </w:p>
    <w:p>
      <w:pPr>
        <w:spacing w:before="0" w:after="200"/>
      </w:pPr>
    </w:p>
    <w:p>
      <w:pPr>
        <w:bidi/>
        <w:spacing w:before="200" w:after="300"/>
        <w:jc w:val="center"/>
      </w:pPr>
      <w:r>
        <w:rPr>
          <w:rFonts w:ascii="Arial" w:cs="Arial" w:eastAsia="Arial" w:hAnsi="Arial"/>
          <w:b/>
          <w:bCs/>
          <w:i w:val="false"/>
          <w:iCs w:val="false"/>
          <w:color w:val="1A3A6B"/>
          <w:sz w:val="36"/>
          <w:szCs w:val="36"/>
          <w:rtl/>
        </w:rPr>
        <w:t xml:space="preserve">مذكرة وصفية لبراءة اختراع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B8860B" w:sz="8"/>
              <w:left w:val="single" w:color="B8860B" w:sz="8"/>
              <w:bottom w:val="single" w:color="B8860B" w:sz="8"/>
              <w:right w:val="single" w:color="B8860B" w:sz="8"/>
            </w:tcBorders>
            <w:shd w:fill="D6E4F7" w:val="clear"/>
            <w:tcMar>
              <w:top w:type="dxa" w:w="200"/>
              <w:left w:type="dxa" w:w="300"/>
              <w:bottom w:type="dxa" w:w="200"/>
              <w:right w:type="dxa" w:w="300"/>
            </w:tcMar>
          </w:tcPr>
          <w:p>
            <w:pPr>
              <w:jc w:val="center"/>
            </w:pPr>
            <w:r>
              <w:rPr>
                <w:rFonts w:ascii="Arial" w:cs="Arial" w:eastAsia="Arial" w:hAnsi="Arial"/>
                <w:b/>
                <w:bCs/>
                <w:color w:val="1A3A6B"/>
                <w:sz w:val="44"/>
                <w:szCs w:val="44"/>
              </w:rPr>
              <w:t xml:space="preserve">PATENT ORACLE</w:t>
            </w:r>
          </w:p>
          <w:p>
            <w:pPr>
              <w:bidi/>
              <w:spacing w:before="100" w:after="40"/>
              <w:jc w:val="center"/>
            </w:pPr>
            <w:r>
              <w:rPr>
                <w:rFonts w:ascii="Arial" w:cs="Arial" w:eastAsia="Arial" w:hAnsi="Arial"/>
                <w:b w:val="false"/>
                <w:bCs w:val="false"/>
                <w:i/>
                <w:iCs/>
                <w:color w:val="1A1A1A"/>
                <w:sz w:val="22"/>
                <w:szCs w:val="22"/>
                <w:rtl/>
              </w:rPr>
              <w:t xml:space="preserve">نظام ذكاء اصطناعي لتوليد والتحقق من مفاهيم</w:t>
            </w:r>
          </w:p>
          <w:p>
            <w:pPr>
              <w:bidi/>
              <w:spacing w:before="80" w:after="120"/>
              <w:jc w:val="center"/>
            </w:pPr>
            <w:r>
              <w:rPr>
                <w:rFonts w:ascii="Arial" w:cs="Arial" w:eastAsia="Arial" w:hAnsi="Arial"/>
                <w:b w:val="false"/>
                <w:bCs w:val="false"/>
                <w:i/>
                <w:iCs/>
                <w:color w:val="1A1A1A"/>
                <w:sz w:val="22"/>
                <w:szCs w:val="22"/>
                <w:rtl/>
              </w:rPr>
              <w:t xml:space="preserve">براءات الاختراع متعددة التخصصات</w:t>
            </w:r>
          </w:p>
        </w:tc>
      </w:tr>
    </w:tbl>
    <w:p>
      <w:pPr>
        <w:spacing w:before="0"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6"/>
        <w:gridCol w:w="2800"/>
      </w:tblGrid>
      <w:tr>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Arial" w:cs="Arial" w:eastAsia="Arial" w:hAnsi="Arial"/>
                <w:b/>
                <w:bCs/>
                <w:color w:val="1A1A1A"/>
                <w:sz w:val="20"/>
                <w:szCs w:val="20"/>
                <w:rtl/>
              </w:rPr>
              <w:t xml:space="preserve">بلحلحالي محمد امين</w:t>
            </w:r>
          </w:p>
        </w:tc>
        <w:tc>
          <w:tcPr>
            <w:tcW w:type="dxa" w:w="28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bidi/>
              <w:jc w:val="right"/>
            </w:pPr>
            <w:r>
              <w:rPr>
                <w:rFonts w:ascii="Arial" w:cs="Arial" w:eastAsia="Arial" w:hAnsi="Arial"/>
                <w:b/>
                <w:bCs/>
                <w:color w:val="FFFFFF"/>
                <w:sz w:val="20"/>
                <w:szCs w:val="20"/>
                <w:rtl/>
              </w:rPr>
              <w:t xml:space="preserve">المخترع / المودع</w:t>
            </w:r>
          </w:p>
        </w:tc>
      </w:tr>
      <w:tr>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bidi/>
              <w:jc w:val="right"/>
            </w:pPr>
            <w:r>
              <w:rPr>
                <w:rFonts w:ascii="Arial" w:cs="Arial" w:eastAsia="Arial" w:hAnsi="Arial"/>
                <w:b w:val="false"/>
                <w:bCs w:val="false"/>
                <w:color w:val="1A1A1A"/>
                <w:sz w:val="20"/>
                <w:szCs w:val="20"/>
                <w:rtl/>
              </w:rPr>
              <w:t xml:space="preserve">16 حي ابن خميس، تلمسان، الجزائر</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Arial" w:cs="Arial" w:eastAsia="Arial" w:hAnsi="Arial"/>
                <w:b w:val="false"/>
                <w:bCs w:val="false"/>
                <w:color w:val="1A1A1A"/>
                <w:sz w:val="20"/>
                <w:szCs w:val="20"/>
                <w:rtl/>
              </w:rPr>
              <w:t xml:space="preserve">العنوان</w:t>
            </w:r>
          </w:p>
        </w:tc>
      </w:tr>
      <w:tr>
        <w:tc>
          <w:tcPr>
            <w:tcW w:type="dxa" w:w="62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Arial" w:cs="Arial" w:eastAsia="Arial" w:hAnsi="Arial"/>
                <w:b w:val="false"/>
                <w:bCs w:val="false"/>
                <w:color w:val="1A1A1A"/>
                <w:sz w:val="20"/>
                <w:szCs w:val="20"/>
                <w:rtl/>
              </w:rPr>
              <w:t xml:space="preserve">+213 659 45 45 73</w:t>
            </w:r>
          </w:p>
        </w:tc>
        <w:tc>
          <w:tcPr>
            <w:tcW w:type="dxa" w:w="2800"/>
            <w:tcBorders>
              <w:top w:val="single" w:color="CCCCCC" w:sz="1"/>
              <w:left w:val="single" w:color="CCCCCC" w:sz="1"/>
              <w:bottom w:val="single" w:color="CCCCCC" w:sz="1"/>
              <w:right w:val="single" w:color="CCCCCC" w:sz="1"/>
            </w:tcBorders>
            <w:shd w:fill="1A3A6B" w:val="clear"/>
            <w:tcMar>
              <w:top w:type="dxa" w:w="80"/>
              <w:left w:type="dxa" w:w="140"/>
              <w:bottom w:type="dxa" w:w="80"/>
              <w:right w:type="dxa" w:w="140"/>
            </w:tcMar>
          </w:tcPr>
          <w:p>
            <w:pPr>
              <w:bidi/>
              <w:jc w:val="right"/>
            </w:pPr>
            <w:r>
              <w:rPr>
                <w:rFonts w:ascii="Arial" w:cs="Arial" w:eastAsia="Arial" w:hAnsi="Arial"/>
                <w:b/>
                <w:bCs/>
                <w:color w:val="FFFFFF"/>
                <w:sz w:val="20"/>
                <w:szCs w:val="20"/>
                <w:rtl/>
              </w:rPr>
              <w:t xml:space="preserve">الهاتف</w:t>
            </w:r>
          </w:p>
        </w:tc>
      </w:tr>
      <w:tr>
        <w:tc>
          <w:tcPr>
            <w:tcW w:type="dxa" w:w="6226"/>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pPr>
              <w:bidi/>
              <w:jc w:val="right"/>
            </w:pPr>
            <w:r>
              <w:rPr>
                <w:rFonts w:ascii="Arial" w:cs="Arial" w:eastAsia="Arial" w:hAnsi="Arial"/>
                <w:b w:val="false"/>
                <w:bCs w:val="false"/>
                <w:color w:val="1A1A1A"/>
                <w:sz w:val="20"/>
                <w:szCs w:val="20"/>
                <w:rtl/>
              </w:rPr>
              <w:t xml:space="preserve">09 مارس 2026</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bidi/>
              <w:jc w:val="right"/>
            </w:pPr>
            <w:r>
              <w:rPr>
                <w:rFonts w:ascii="Arial" w:cs="Arial" w:eastAsia="Arial" w:hAnsi="Arial"/>
                <w:b w:val="false"/>
                <w:bCs w:val="false"/>
                <w:color w:val="1A1A1A"/>
                <w:sz w:val="20"/>
                <w:szCs w:val="20"/>
                <w:rtl/>
              </w:rPr>
              <w:t xml:space="preserve">تاريخ الايداع</w:t>
            </w:r>
          </w:p>
        </w:tc>
      </w:tr>
    </w:tbl>
    <w:p>
      <w:pPr>
        <w:spacing w:before="0" w:after="400"/>
      </w:pPr>
    </w:p>
    <w:p>
      <w:pPr>
        <w:bidi/>
        <w:spacing w:before="80" w:after="120"/>
        <w:jc w:val="center"/>
      </w:pPr>
      <w:r>
        <w:rPr>
          <w:rFonts w:ascii="Arial" w:cs="Arial" w:eastAsia="Arial" w:hAnsi="Arial"/>
          <w:b w:val="false"/>
          <w:bCs w:val="false"/>
          <w:i w:val="false"/>
          <w:iCs w:val="false"/>
          <w:color w:val="1A1A1A"/>
          <w:sz w:val="20"/>
          <w:szCs w:val="20"/>
          <w:rtl/>
        </w:rPr>
        <w:t xml:space="preserve">تلمسان، في 09 مارس 2026</w:t>
      </w:r>
    </w:p>
    <w:p>
      <w:r>
        <w:br w:type="page"/>
      </w:r>
    </w:p>
    <w:p>
      <w:pPr>
        <w:pBdr>
          <w:top w:val="single" w:color="1A3A6B" w:sz="6"/>
          <w:bottom w:val="single" w:color="1A3A6B" w:sz="6"/>
          <w:left w:val="single" w:color="1A3A6B" w:sz="6"/>
          <w:right w:val="single" w:color="1A3A6B" w:sz="6"/>
        </w:pBdr>
        <w:shd w:fill="1A3A6B" w:val="clear"/>
        <w:bidi/>
        <w:spacing w:before="300" w:after="0"/>
        <w:jc w:val="right"/>
      </w:pPr>
      <w:r>
        <w:rPr>
          <w:rFonts w:ascii="Arial" w:cs="Arial" w:eastAsia="Arial" w:hAnsi="Arial"/>
          <w:b/>
          <w:bCs/>
          <w:color w:val="FFFFFF"/>
          <w:sz w:val="24"/>
          <w:szCs w:val="24"/>
          <w:rtl/>
        </w:rPr>
        <w:t xml:space="preserve">1.  عنوان الاختراع</w:t>
      </w:r>
    </w:p>
    <w:p>
      <w:pPr>
        <w:spacing w:before="0" w:after="80"/>
      </w:pPr>
    </w:p>
    <w:p>
      <w:pPr>
        <w:bidi/>
        <w:spacing w:before="80" w:after="120"/>
        <w:jc w:val="right"/>
      </w:pPr>
      <w:r>
        <w:rPr>
          <w:rFonts w:ascii="Arial" w:cs="Arial" w:eastAsia="Arial" w:hAnsi="Arial"/>
          <w:b/>
          <w:bCs/>
          <w:i w:val="false"/>
          <w:iCs w:val="false"/>
          <w:color w:val="1A1A1A"/>
          <w:sz w:val="22"/>
          <w:szCs w:val="22"/>
          <w:rtl/>
        </w:rPr>
        <w:t xml:space="preserve">Patent Oracle : نظام ذكاء اصطناعي لتوليد والتحقق من مفاهيم براءات الاختراع متعددة التخصصات</w:t>
      </w:r>
    </w:p>
    <w:p>
      <w:pPr>
        <w:spacing w:before="0" w:after="200"/>
      </w:pPr>
    </w:p>
    <w:p>
      <w:pPr>
        <w:pBdr>
          <w:top w:val="single" w:color="1A3A6B" w:sz="6"/>
          <w:bottom w:val="single" w:color="1A3A6B" w:sz="6"/>
          <w:left w:val="single" w:color="1A3A6B" w:sz="6"/>
          <w:right w:val="single" w:color="1A3A6B" w:sz="6"/>
        </w:pBdr>
        <w:shd w:fill="1A3A6B" w:val="clear"/>
        <w:bidi/>
        <w:spacing w:before="300" w:after="0"/>
        <w:jc w:val="right"/>
      </w:pPr>
      <w:r>
        <w:rPr>
          <w:rFonts w:ascii="Arial" w:cs="Arial" w:eastAsia="Arial" w:hAnsi="Arial"/>
          <w:b/>
          <w:bCs/>
          <w:color w:val="FFFFFF"/>
          <w:sz w:val="24"/>
          <w:szCs w:val="24"/>
          <w:rtl/>
        </w:rPr>
        <w:t xml:space="preserve">2.  المجال التقني</w:t>
      </w:r>
    </w:p>
    <w:p>
      <w:pPr>
        <w:spacing w:before="0" w:after="80"/>
      </w:pPr>
    </w:p>
    <w:p>
      <w:pPr>
        <w:bidi/>
        <w:spacing w:before="80" w:after="120"/>
        <w:jc w:val="right"/>
      </w:pPr>
      <w:r>
        <w:rPr>
          <w:rFonts w:ascii="Arial" w:cs="Arial" w:eastAsia="Arial" w:hAnsi="Arial"/>
          <w:b w:val="false"/>
          <w:bCs w:val="false"/>
          <w:i w:val="false"/>
          <w:iCs w:val="false"/>
          <w:color w:val="1A1A1A"/>
          <w:sz w:val="22"/>
          <w:szCs w:val="22"/>
          <w:rtl/>
        </w:rPr>
        <w:t xml:space="preserve">ينتمي هذا الاختراع الى مجال الذكاء الاصطناعي التطبيقي في مجال الملكية الصناعية. يتعلق تحديدا بانظمة الاتمتة المستندة الى نماذج اللغة الكبيرة (LLM) المنفذة محليا، والمدمجة مع قواعد بيانات براءات الاختراع الدولية عبر واجهات برمجية معيارية. كما يتناول المعالجة الالية للغة الطبيعية والتصنيف الدولي لبراءات الاختراع (IPC) والبحث في حالة الفن السابقة في الوقت الفعلي عبر واجهة API لمكتب البراءات الاوروبي EPO.</w:t>
      </w:r>
    </w:p>
    <w:p>
      <w:pPr>
        <w:spacing w:before="0" w:after="200"/>
      </w:pPr>
    </w:p>
    <w:p>
      <w:pPr>
        <w:pBdr>
          <w:top w:val="single" w:color="1A3A6B" w:sz="6"/>
          <w:bottom w:val="single" w:color="1A3A6B" w:sz="6"/>
          <w:left w:val="single" w:color="1A3A6B" w:sz="6"/>
          <w:right w:val="single" w:color="1A3A6B" w:sz="6"/>
        </w:pBdr>
        <w:shd w:fill="1A3A6B" w:val="clear"/>
        <w:bidi/>
        <w:spacing w:before="300" w:after="0"/>
        <w:jc w:val="right"/>
      </w:pPr>
      <w:r>
        <w:rPr>
          <w:rFonts w:ascii="Arial" w:cs="Arial" w:eastAsia="Arial" w:hAnsi="Arial"/>
          <w:b/>
          <w:bCs/>
          <w:color w:val="FFFFFF"/>
          <w:sz w:val="24"/>
          <w:szCs w:val="24"/>
          <w:rtl/>
        </w:rPr>
        <w:t xml:space="preserve">3.  هدف الاختراع</w:t>
      </w:r>
    </w:p>
    <w:p>
      <w:pPr>
        <w:spacing w:before="0" w:after="80"/>
      </w:pPr>
    </w:p>
    <w:p>
      <w:pPr>
        <w:bidi/>
        <w:spacing w:before="80" w:after="120"/>
        <w:jc w:val="right"/>
      </w:pPr>
      <w:r>
        <w:rPr>
          <w:rFonts w:ascii="Arial" w:cs="Arial" w:eastAsia="Arial" w:hAnsi="Arial"/>
          <w:b w:val="false"/>
          <w:bCs w:val="false"/>
          <w:i w:val="false"/>
          <w:iCs w:val="false"/>
          <w:color w:val="1A1A1A"/>
          <w:sz w:val="22"/>
          <w:szCs w:val="22"/>
          <w:rtl/>
        </w:rPr>
        <w:t xml:space="preserve">يهدف الاختراع بصفة رئيسية الى حل اشكالية التوليد اليدوي البطيء والمكلف لمفاهيم براءات الاختراع المبتكرة. ويتيح الاختراع ما يلي:</w:t>
      </w:r>
    </w:p>
    <w:p>
      <w:pPr>
        <w:pStyle w:val="ListParagraph"/>
        <w:numPr>
          <w:ilvl w:val="0"/>
          <w:numId w:val="2"/>
        </w:numPr>
        <w:bidi/>
        <w:spacing w:before="60" w:after="60"/>
        <w:jc w:val="right"/>
      </w:pPr>
      <w:r>
        <w:rPr>
          <w:rFonts w:ascii="Arial" w:cs="Arial" w:eastAsia="Arial" w:hAnsi="Arial"/>
          <w:color w:val="1A1A1A"/>
          <w:sz w:val="22"/>
          <w:szCs w:val="22"/>
          <w:rtl/>
        </w:rPr>
        <w:t xml:space="preserve">التوليد التلقائي لمفاهيم براءات اختراع اصيلة عند تقاطع ثلاثة مجالات علمية متمايزة على الاقل، منتقاة من كتالوج يضم عشرين مجالا تخصصيا متغايرا.</w:t>
      </w:r>
    </w:p>
    <w:p>
      <w:pPr>
        <w:pStyle w:val="ListParagraph"/>
        <w:numPr>
          <w:ilvl w:val="0"/>
          <w:numId w:val="2"/>
        </w:numPr>
        <w:bidi/>
        <w:spacing w:before="60" w:after="60"/>
        <w:jc w:val="right"/>
      </w:pPr>
      <w:r>
        <w:rPr>
          <w:rFonts w:ascii="Arial" w:cs="Arial" w:eastAsia="Arial" w:hAnsi="Arial"/>
          <w:color w:val="1A1A1A"/>
          <w:sz w:val="22"/>
          <w:szCs w:val="22"/>
          <w:rtl/>
        </w:rPr>
        <w:t xml:space="preserve">تقييم الجدة لكل مفهوم بواسطة درجة رقمية كمية محددة بين 0 و 100، محسوبة بواسطة نموذج LLM وفق معايير الاصالة وقابلية التطبيق الصناعي والاثر الاجتماعي.</w:t>
      </w:r>
    </w:p>
    <w:p>
      <w:pPr>
        <w:pStyle w:val="ListParagraph"/>
        <w:numPr>
          <w:ilvl w:val="0"/>
          <w:numId w:val="2"/>
        </w:numPr>
        <w:bidi/>
        <w:spacing w:before="60" w:after="60"/>
        <w:jc w:val="right"/>
      </w:pPr>
      <w:r>
        <w:rPr>
          <w:rFonts w:ascii="Arial" w:cs="Arial" w:eastAsia="Arial" w:hAnsi="Arial"/>
          <w:color w:val="1A1A1A"/>
          <w:sz w:val="22"/>
          <w:szCs w:val="22"/>
          <w:rtl/>
        </w:rPr>
        <w:t xml:space="preserve">التحقق من غياب حالة الفن السابقة باستشارة قاعدة بيانات المكتب الاوروبي لبراءات الاختراع (EPO) في الوقت الفعلي عبر API Open Patent Services بمصادقة OAuth2.</w:t>
      </w:r>
    </w:p>
    <w:p>
      <w:pPr>
        <w:pStyle w:val="ListParagraph"/>
        <w:numPr>
          <w:ilvl w:val="0"/>
          <w:numId w:val="2"/>
        </w:numPr>
        <w:bidi/>
        <w:spacing w:before="60" w:after="60"/>
        <w:jc w:val="right"/>
      </w:pPr>
      <w:r>
        <w:rPr>
          <w:rFonts w:ascii="Arial" w:cs="Arial" w:eastAsia="Arial" w:hAnsi="Arial"/>
          <w:color w:val="1A1A1A"/>
          <w:sz w:val="22"/>
          <w:szCs w:val="22"/>
          <w:rtl/>
        </w:rPr>
        <w:t xml:space="preserve">تصدير النتائج بشكل منظم في صيغتي JSON و Markdown مع تأريخ تلقائي للدمج المباشر في ملف براءة الاختراع.</w:t>
      </w:r>
    </w:p>
    <w:p>
      <w:pPr>
        <w:pStyle w:val="ListParagraph"/>
        <w:numPr>
          <w:ilvl w:val="0"/>
          <w:numId w:val="2"/>
        </w:numPr>
        <w:bidi/>
        <w:spacing w:before="60" w:after="60"/>
        <w:jc w:val="right"/>
      </w:pPr>
      <w:r>
        <w:rPr>
          <w:rFonts w:ascii="Arial" w:cs="Arial" w:eastAsia="Arial" w:hAnsi="Arial"/>
          <w:color w:val="1A1A1A"/>
          <w:sz w:val="22"/>
          <w:szCs w:val="22"/>
          <w:rtl/>
        </w:rPr>
        <w:t xml:space="preserve">توفير واجهة سطر اوامر (CLI) غنية وبديهية مع اشرطة تقدم وجداول منسقة وصناديق نتائج منظمة.</w:t>
      </w:r>
    </w:p>
    <w:p>
      <w:pPr>
        <w:spacing w:before="0" w:after="200"/>
      </w:pPr>
    </w:p>
    <w:p>
      <w:pPr>
        <w:pBdr>
          <w:top w:val="single" w:color="1A3A6B" w:sz="6"/>
          <w:bottom w:val="single" w:color="1A3A6B" w:sz="6"/>
          <w:left w:val="single" w:color="1A3A6B" w:sz="6"/>
          <w:right w:val="single" w:color="1A3A6B" w:sz="6"/>
        </w:pBdr>
        <w:shd w:fill="1A3A6B" w:val="clear"/>
        <w:bidi/>
        <w:spacing w:before="300" w:after="0"/>
        <w:jc w:val="right"/>
      </w:pPr>
      <w:r>
        <w:rPr>
          <w:rFonts w:ascii="Arial" w:cs="Arial" w:eastAsia="Arial" w:hAnsi="Arial"/>
          <w:b/>
          <w:bCs/>
          <w:color w:val="FFFFFF"/>
          <w:sz w:val="24"/>
          <w:szCs w:val="24"/>
          <w:rtl/>
        </w:rPr>
        <w:t xml:space="preserve">4.  حالة التقنية السابقة</w:t>
      </w:r>
    </w:p>
    <w:p>
      <w:pPr>
        <w:spacing w:before="0" w:after="80"/>
      </w:pPr>
    </w:p>
    <w:p>
      <w:pPr>
        <w:bidi/>
        <w:spacing w:before="80" w:after="120"/>
        <w:jc w:val="right"/>
      </w:pPr>
      <w:r>
        <w:rPr>
          <w:rFonts w:ascii="Arial" w:cs="Arial" w:eastAsia="Arial" w:hAnsi="Arial"/>
          <w:b w:val="false"/>
          <w:bCs w:val="false"/>
          <w:i w:val="false"/>
          <w:iCs w:val="false"/>
          <w:color w:val="1A1A1A"/>
          <w:sz w:val="22"/>
          <w:szCs w:val="22"/>
          <w:rtl/>
        </w:rPr>
        <w:t xml:space="preserve">يكشف تحليل حالة الفن عن القيود التالية للحلول الموجودة:</w:t>
      </w:r>
    </w:p>
    <w:p>
      <w:pPr>
        <w:pStyle w:val="ListParagraph"/>
        <w:numPr>
          <w:ilvl w:val="0"/>
          <w:numId w:val="2"/>
        </w:numPr>
        <w:bidi/>
        <w:spacing w:before="60" w:after="60"/>
        <w:jc w:val="right"/>
      </w:pPr>
      <w:r>
        <w:rPr>
          <w:rFonts w:ascii="Arial" w:cs="Arial" w:eastAsia="Arial" w:hAnsi="Arial"/>
          <w:color w:val="1A1A1A"/>
          <w:sz w:val="22"/>
          <w:szCs w:val="22"/>
          <w:rtl/>
        </w:rPr>
        <w:t xml:space="preserve">ادوات الرصد التكنولوجي كـ Patsnap و Derwent Innovation تتيح البحث التفاعلي في البراءات القائمة، لكنها عاجزة عن التوليد الاستباقي لمفاهيم براءات جديدة قابلة للحماية.</w:t>
      </w:r>
    </w:p>
    <w:p>
      <w:pPr>
        <w:pStyle w:val="ListParagraph"/>
        <w:numPr>
          <w:ilvl w:val="0"/>
          <w:numId w:val="2"/>
        </w:numPr>
        <w:bidi/>
        <w:spacing w:before="60" w:after="60"/>
        <w:jc w:val="right"/>
      </w:pPr>
      <w:r>
        <w:rPr>
          <w:rFonts w:ascii="Arial" w:cs="Arial" w:eastAsia="Arial" w:hAnsi="Arial"/>
          <w:color w:val="1A1A1A"/>
          <w:sz w:val="22"/>
          <w:szCs w:val="22"/>
          <w:rtl/>
        </w:rPr>
        <w:t xml:space="preserve">نماذج اللغة العامة (GPT، Gemini) قادرة على اقتراح افكار للاختراع، لكنها لا تدمج التحقق من EPO في الوقت الفعلي، ولا التقييم المعياري الكمي للجدة، ولا التصدير المنظم نحو ملف براءة.</w:t>
      </w:r>
    </w:p>
    <w:p>
      <w:pPr>
        <w:pStyle w:val="ListParagraph"/>
        <w:numPr>
          <w:ilvl w:val="0"/>
          <w:numId w:val="2"/>
        </w:numPr>
        <w:bidi/>
        <w:spacing w:before="60" w:after="60"/>
        <w:jc w:val="right"/>
      </w:pPr>
      <w:r>
        <w:rPr>
          <w:rFonts w:ascii="Arial" w:cs="Arial" w:eastAsia="Arial" w:hAnsi="Arial"/>
          <w:color w:val="1A1A1A"/>
          <w:sz w:val="22"/>
          <w:szCs w:val="22"/>
          <w:rtl/>
        </w:rPr>
        <w:t xml:space="preserve">الانظمة الخبيرة لتصنيف البراءات تعمل في مجال واحد ولا تتيح التوليف متعدد التخصصات لثلاثة مجالات علمية متمايزة.</w:t>
      </w:r>
    </w:p>
    <w:p>
      <w:pPr>
        <w:pStyle w:val="ListParagraph"/>
        <w:numPr>
          <w:ilvl w:val="0"/>
          <w:numId w:val="2"/>
        </w:numPr>
        <w:bidi/>
        <w:spacing w:before="60" w:after="60"/>
        <w:jc w:val="right"/>
      </w:pPr>
      <w:r>
        <w:rPr>
          <w:rFonts w:ascii="Arial" w:cs="Arial" w:eastAsia="Arial" w:hAnsi="Arial"/>
          <w:color w:val="1A1A1A"/>
          <w:sz w:val="22"/>
          <w:szCs w:val="22"/>
          <w:rtl/>
        </w:rPr>
        <w:t xml:space="preserve">لا يوجد نظام معروف يجمع في آن واحد: تنفيذ LLM محلي بلا اعتماد على السحابة، دمج اجباري لثلاثة مجالات علمية، تحقق مدمج من EPO في الوقت الفعلي، تقييم كمي تلقائي للجدة، وتصدير تلقائي متعدد الصيغ مع التأريخ. هذا الجمع الاصيل وغير المفصح عنه هو جوهر الجدة المطالب بها.</w:t>
      </w:r>
    </w:p>
    <w:p>
      <w:pPr>
        <w:spacing w:before="0" w:after="200"/>
      </w:pPr>
    </w:p>
    <w:p>
      <w:pPr>
        <w:pBdr>
          <w:top w:val="single" w:color="1A3A6B" w:sz="6"/>
          <w:bottom w:val="single" w:color="1A3A6B" w:sz="6"/>
          <w:left w:val="single" w:color="1A3A6B" w:sz="6"/>
          <w:right w:val="single" w:color="1A3A6B" w:sz="6"/>
        </w:pBdr>
        <w:shd w:fill="1A3A6B" w:val="clear"/>
        <w:bidi/>
        <w:spacing w:before="300" w:after="0"/>
        <w:jc w:val="right"/>
      </w:pPr>
      <w:r>
        <w:rPr>
          <w:rFonts w:ascii="Arial" w:cs="Arial" w:eastAsia="Arial" w:hAnsi="Arial"/>
          <w:b/>
          <w:bCs/>
          <w:color w:val="FFFFFF"/>
          <w:sz w:val="24"/>
          <w:szCs w:val="24"/>
          <w:rtl/>
        </w:rPr>
        <w:t xml:space="preserve">5.  وصف الاشكال</w:t>
      </w:r>
    </w:p>
    <w:p>
      <w:pPr>
        <w:spacing w:before="0" w:after="80"/>
      </w:pPr>
    </w:p>
    <w:p>
      <w:pPr>
        <w:bidi/>
        <w:spacing w:before="80" w:after="120"/>
        <w:jc w:val="right"/>
      </w:pPr>
      <w:r>
        <w:rPr>
          <w:rFonts w:ascii="Arial" w:cs="Arial" w:eastAsia="Arial" w:hAnsi="Arial"/>
          <w:b w:val="false"/>
          <w:bCs w:val="false"/>
          <w:i w:val="false"/>
          <w:iCs w:val="false"/>
          <w:color w:val="1A1A1A"/>
          <w:sz w:val="22"/>
          <w:szCs w:val="22"/>
          <w:rtl/>
        </w:rPr>
        <w:t xml:space="preserve">الشكل 1: مخطط البنية العامة لنظام Patent Oracle يوضح الوحدات الاربع الرئيسية (اختيار المجالات، التوليد بـ LLM، التحقق من EPO، التصدير) وتفاعلاتها التسلسلية.</w:t>
      </w:r>
    </w:p>
    <w:p>
      <w:pPr>
        <w:bidi/>
        <w:spacing w:before="80" w:after="120"/>
        <w:jc w:val="right"/>
      </w:pPr>
      <w:r>
        <w:rPr>
          <w:rFonts w:ascii="Arial" w:cs="Arial" w:eastAsia="Arial" w:hAnsi="Arial"/>
          <w:b w:val="false"/>
          <w:bCs w:val="false"/>
          <w:i w:val="false"/>
          <w:iCs w:val="false"/>
          <w:color w:val="1A1A1A"/>
          <w:sz w:val="22"/>
          <w:szCs w:val="22"/>
          <w:rtl/>
        </w:rPr>
        <w:t xml:space="preserve">الشكل 2: تدفق المعالجة التفصيلي لتوليد الافكار والتحقق من EPO، بما في ذلك معالجة اخطاء تحليل JSON وإجراء الاسترداد بالتعبيرات النمطية (regex).</w:t>
      </w:r>
    </w:p>
    <w:p>
      <w:pPr>
        <w:spacing w:before="0" w:after="200"/>
      </w:pPr>
    </w:p>
    <w:p>
      <w:pPr>
        <w:pBdr>
          <w:top w:val="single" w:color="1A3A6B" w:sz="6"/>
          <w:bottom w:val="single" w:color="1A3A6B" w:sz="6"/>
          <w:left w:val="single" w:color="1A3A6B" w:sz="6"/>
          <w:right w:val="single" w:color="1A3A6B" w:sz="6"/>
        </w:pBdr>
        <w:shd w:fill="1A3A6B" w:val="clear"/>
        <w:bidi/>
        <w:spacing w:before="300" w:after="0"/>
        <w:jc w:val="right"/>
      </w:pPr>
      <w:r>
        <w:rPr>
          <w:rFonts w:ascii="Arial" w:cs="Arial" w:eastAsia="Arial" w:hAnsi="Arial"/>
          <w:b/>
          <w:bCs/>
          <w:color w:val="FFFFFF"/>
          <w:sz w:val="24"/>
          <w:szCs w:val="24"/>
          <w:rtl/>
        </w:rPr>
        <w:t xml:space="preserve">6.  الوصف التفصيلي وطريقة التنفيذ</w:t>
      </w:r>
    </w:p>
    <w:p>
      <w:pPr>
        <w:spacing w:before="0" w:after="80"/>
      </w:pPr>
    </w:p>
    <w:p>
      <w:pPr>
        <w:bidi/>
        <w:spacing w:before="200" w:after="100"/>
        <w:jc w:val="right"/>
      </w:pPr>
      <w:r>
        <w:rPr>
          <w:rFonts w:ascii="Arial" w:cs="Arial" w:eastAsia="Arial" w:hAnsi="Arial"/>
          <w:b/>
          <w:bCs/>
          <w:i w:val="false"/>
          <w:iCs w:val="false"/>
          <w:color w:val="1A3A6B"/>
          <w:sz w:val="24"/>
          <w:szCs w:val="24"/>
          <w:rtl/>
        </w:rPr>
        <w:t xml:space="preserve">6.1  البنية العامة للنظام</w:t>
      </w:r>
    </w:p>
    <w:p>
      <w:pPr>
        <w:bidi/>
        <w:spacing w:before="80" w:after="120"/>
        <w:jc w:val="right"/>
      </w:pPr>
      <w:r>
        <w:rPr>
          <w:rFonts w:ascii="Arial" w:cs="Arial" w:eastAsia="Arial" w:hAnsi="Arial"/>
          <w:b w:val="false"/>
          <w:bCs w:val="false"/>
          <w:i w:val="false"/>
          <w:iCs w:val="false"/>
          <w:color w:val="1A1A1A"/>
          <w:sz w:val="22"/>
          <w:szCs w:val="22"/>
          <w:rtl/>
        </w:rPr>
        <w:t xml:space="preserve">Patent Oracle برنامج اتمتة مطور بلغة Python 3، مصمم للعمل محليا بالكامل على جهاز المخترع دون الاعتماد على خدمات سحابية مدفوعة. يرتكز على بنية معيارية مكونة من اربع وحدات متكاملة:</w:t>
      </w:r>
    </w:p>
    <w:p>
      <w:pPr>
        <w:pStyle w:val="ListParagraph"/>
        <w:numPr>
          <w:ilvl w:val="0"/>
          <w:numId w:val="2"/>
        </w:numPr>
        <w:bidi/>
        <w:spacing w:before="60" w:after="60"/>
        <w:jc w:val="right"/>
      </w:pPr>
      <w:r>
        <w:rPr>
          <w:rFonts w:ascii="Arial" w:cs="Arial" w:eastAsia="Arial" w:hAnsi="Arial"/>
          <w:color w:val="1A1A1A"/>
          <w:sz w:val="22"/>
          <w:szCs w:val="22"/>
          <w:rtl/>
        </w:rPr>
        <w:t xml:space="preserve">الوحدة 1 — اختيار المجالات: اختيار عشوائي او موجه من قبل المستخدم لثلاثة مجالات من كتالوج يضم عشرين مجالا علميا متغايرا: Quantum Biology، Neuromorphic Materials، Synthetic Cognition، Topological Chemistry، Acoustic Metamaterials، Photonic Computing، DNA Data Storage، Piezoelectric Textiles، Plasma Agriculture، Cryogenic Robotics، Fungal Network Computing، Gravitational Energy Harvesting، Biophotonic Sensors، Quantum Entanglement Communication، Metamorphic Architecture، Electrochemical Cognition، Vibrational Medicine، Symbiotic AI Hardware، Tectonic Energy Capture، Exoplanet-Inspired Materials.</w:t>
      </w:r>
    </w:p>
    <w:p>
      <w:pPr>
        <w:pStyle w:val="ListParagraph"/>
        <w:numPr>
          <w:ilvl w:val="0"/>
          <w:numId w:val="2"/>
        </w:numPr>
        <w:bidi/>
        <w:spacing w:before="60" w:after="60"/>
        <w:jc w:val="right"/>
      </w:pPr>
      <w:r>
        <w:rPr>
          <w:rFonts w:ascii="Arial" w:cs="Arial" w:eastAsia="Arial" w:hAnsi="Arial"/>
          <w:color w:val="1A1A1A"/>
          <w:sz w:val="22"/>
          <w:szCs w:val="22"/>
          <w:rtl/>
        </w:rPr>
        <w:t xml:space="preserve">الوحدة 2 — التوليد بـ LLM: استجواب نموذج llama عبر واجهة Ollama (المنفذ المحلي 11434) بطلبات HTTP/REST. يفرض النص التحفيزي النظامي مخطط إخراج JSON صارما يتضمن وجوبا الحقول: العنوان، المجالات المتقاطعة (3)، الكلمات المفتاحية (5)، رمز IPC، الآلية (جملتان)، ادعاء الجدة (جملة)، الاثر البشري (جملة)، درجة الجدة (عدد صحيح 0-100).</w:t>
      </w:r>
    </w:p>
    <w:p>
      <w:pPr>
        <w:pStyle w:val="ListParagraph"/>
        <w:numPr>
          <w:ilvl w:val="0"/>
          <w:numId w:val="2"/>
        </w:numPr>
        <w:bidi/>
        <w:spacing w:before="60" w:after="60"/>
        <w:jc w:val="right"/>
      </w:pPr>
      <w:r>
        <w:rPr>
          <w:rFonts w:ascii="Arial" w:cs="Arial" w:eastAsia="Arial" w:hAnsi="Arial"/>
          <w:color w:val="1A1A1A"/>
          <w:sz w:val="22"/>
          <w:szCs w:val="22"/>
          <w:rtl/>
        </w:rPr>
        <w:t xml:space="preserve">الوحدة 3 — التحقق من EPO: طلب اختياري لـ API EPO Open Patent Services بمصادقة OAuth2 عبر بيانات اعتماد مخزنة في ملف .env مؤمن. البحث في البراءات السابقة بالكلمات المفتاحية مقترنة برمز IPC المقترح. عرض ارقام وعناوين البراءات الموجودة للمقارنة.</w:t>
      </w:r>
    </w:p>
    <w:p>
      <w:pPr>
        <w:pStyle w:val="ListParagraph"/>
        <w:numPr>
          <w:ilvl w:val="0"/>
          <w:numId w:val="2"/>
        </w:numPr>
        <w:bidi/>
        <w:spacing w:before="60" w:after="60"/>
        <w:jc w:val="right"/>
      </w:pPr>
      <w:r>
        <w:rPr>
          <w:rFonts w:ascii="Arial" w:cs="Arial" w:eastAsia="Arial" w:hAnsi="Arial"/>
          <w:color w:val="1A1A1A"/>
          <w:sz w:val="22"/>
          <w:szCs w:val="22"/>
          <w:rtl/>
        </w:rPr>
        <w:t xml:space="preserve">الوحدة 4 — التصدير وواجهة CLI: تنسيق غني للطرفية عبر مكتبة Rich (Python) مع صناديق ملونة واشرطة تقدم وجداول منظمة. توليد تلقائي لملفات JSON و Markdown مؤرخة (بصيغة YYYYMMDD_HHMMSS) في دليل العمل.</w:t>
      </w:r>
    </w:p>
    <w:p>
      <w:pPr>
        <w:spacing w:before="0" w:after="100"/>
      </w:pPr>
    </w:p>
    <w:p>
      <w:pPr>
        <w:bidi/>
        <w:spacing w:before="200" w:after="100"/>
        <w:jc w:val="right"/>
      </w:pPr>
      <w:r>
        <w:rPr>
          <w:rFonts w:ascii="Arial" w:cs="Arial" w:eastAsia="Arial" w:hAnsi="Arial"/>
          <w:b/>
          <w:bCs/>
          <w:i w:val="false"/>
          <w:iCs w:val="false"/>
          <w:color w:val="1A3A6B"/>
          <w:sz w:val="24"/>
          <w:szCs w:val="24"/>
          <w:rtl/>
        </w:rPr>
        <w:t xml:space="preserve">6.2  تدفق المعالجة خطوة بخطوة</w:t>
      </w:r>
    </w:p>
    <w:p>
      <w:pPr>
        <w:pStyle w:val="ListParagraph"/>
        <w:numPr>
          <w:ilvl w:val="0"/>
          <w:numId w:val="2"/>
        </w:numPr>
        <w:bidi/>
        <w:spacing w:before="60" w:after="60"/>
        <w:jc w:val="right"/>
      </w:pPr>
      <w:r>
        <w:rPr>
          <w:rFonts w:ascii="Arial" w:cs="Arial" w:eastAsia="Arial" w:hAnsi="Arial"/>
          <w:color w:val="1A1A1A"/>
          <w:sz w:val="22"/>
          <w:szCs w:val="22"/>
          <w:rtl/>
        </w:rPr>
        <w:t xml:space="preserve">الخطوة 1: التحقق من توفر خادم Ollama المحلي (طلب GET على المنفذ 11434).</w:t>
      </w:r>
    </w:p>
    <w:p>
      <w:pPr>
        <w:pStyle w:val="ListParagraph"/>
        <w:numPr>
          <w:ilvl w:val="0"/>
          <w:numId w:val="2"/>
        </w:numPr>
        <w:bidi/>
        <w:spacing w:before="60" w:after="60"/>
        <w:jc w:val="right"/>
      </w:pPr>
      <w:r>
        <w:rPr>
          <w:rFonts w:ascii="Arial" w:cs="Arial" w:eastAsia="Arial" w:hAnsi="Arial"/>
          <w:color w:val="1A1A1A"/>
          <w:sz w:val="22"/>
          <w:szCs w:val="22"/>
          <w:rtl/>
        </w:rPr>
        <w:t xml:space="preserve">الخطوة 2: ادخال تفاعلي او اختيار عشوائي للمجال المستهدف وعدد الافكار ووضع EPO.</w:t>
      </w:r>
    </w:p>
    <w:p>
      <w:pPr>
        <w:pStyle w:val="ListParagraph"/>
        <w:numPr>
          <w:ilvl w:val="0"/>
          <w:numId w:val="2"/>
        </w:numPr>
        <w:bidi/>
        <w:spacing w:before="60" w:after="60"/>
        <w:jc w:val="right"/>
      </w:pPr>
      <w:r>
        <w:rPr>
          <w:rFonts w:ascii="Arial" w:cs="Arial" w:eastAsia="Arial" w:hAnsi="Arial"/>
          <w:color w:val="1A1A1A"/>
          <w:sz w:val="22"/>
          <w:szCs w:val="22"/>
          <w:rtl/>
        </w:rPr>
        <w:t xml:space="preserve">الخطوة 3: بناء النص التحفيزي النظامي مع مخطط JSON المفروض وسياق المجالات المختارة.</w:t>
      </w:r>
    </w:p>
    <w:p>
      <w:pPr>
        <w:pStyle w:val="ListParagraph"/>
        <w:numPr>
          <w:ilvl w:val="0"/>
          <w:numId w:val="2"/>
        </w:numPr>
        <w:bidi/>
        <w:spacing w:before="60" w:after="60"/>
        <w:jc w:val="right"/>
      </w:pPr>
      <w:r>
        <w:rPr>
          <w:rFonts w:ascii="Arial" w:cs="Arial" w:eastAsia="Arial" w:hAnsi="Arial"/>
          <w:color w:val="1A1A1A"/>
          <w:sz w:val="22"/>
          <w:szCs w:val="22"/>
          <w:rtl/>
        </w:rPr>
        <w:t xml:space="preserve">الخطوة 4: ارسال طلب HTTP/REST الى LLM (درجة الحرارة 0.8) واستلام الاجابة.</w:t>
      </w:r>
    </w:p>
    <w:p>
      <w:pPr>
        <w:pStyle w:val="ListParagraph"/>
        <w:numPr>
          <w:ilvl w:val="0"/>
          <w:numId w:val="2"/>
        </w:numPr>
        <w:bidi/>
        <w:spacing w:before="60" w:after="60"/>
        <w:jc w:val="right"/>
      </w:pPr>
      <w:r>
        <w:rPr>
          <w:rFonts w:ascii="Arial" w:cs="Arial" w:eastAsia="Arial" w:hAnsi="Arial"/>
          <w:color w:val="1A1A1A"/>
          <w:sz w:val="22"/>
          <w:szCs w:val="22"/>
          <w:rtl/>
        </w:rPr>
        <w:t xml:space="preserve">الخطوة 5: تحليل JSON للاجابة. في حالة فشل التنسيق، تطبيق تلقائي لإجراء الاسترداد بالتعبيرات النمطية قبل الرفض النهائي.</w:t>
      </w:r>
    </w:p>
    <w:p>
      <w:pPr>
        <w:pStyle w:val="ListParagraph"/>
        <w:numPr>
          <w:ilvl w:val="0"/>
          <w:numId w:val="2"/>
        </w:numPr>
        <w:bidi/>
        <w:spacing w:before="60" w:after="60"/>
        <w:jc w:val="right"/>
      </w:pPr>
      <w:r>
        <w:rPr>
          <w:rFonts w:ascii="Arial" w:cs="Arial" w:eastAsia="Arial" w:hAnsi="Arial"/>
          <w:color w:val="1A1A1A"/>
          <w:sz w:val="22"/>
          <w:szCs w:val="22"/>
          <w:rtl/>
        </w:rPr>
        <w:t xml:space="preserve">الخطوة 6: حساب وعرض وترتيب المفاهيم حسب درجة الجدة تنازليا.</w:t>
      </w:r>
    </w:p>
    <w:p>
      <w:pPr>
        <w:pStyle w:val="ListParagraph"/>
        <w:numPr>
          <w:ilvl w:val="0"/>
          <w:numId w:val="2"/>
        </w:numPr>
        <w:bidi/>
        <w:spacing w:before="60" w:after="60"/>
        <w:jc w:val="right"/>
      </w:pPr>
      <w:r>
        <w:rPr>
          <w:rFonts w:ascii="Arial" w:cs="Arial" w:eastAsia="Arial" w:hAnsi="Arial"/>
          <w:color w:val="1A1A1A"/>
          <w:sz w:val="22"/>
          <w:szCs w:val="22"/>
          <w:rtl/>
        </w:rPr>
        <w:t xml:space="preserve">الخطوة 7 (اختياري): مصادقة EPO OAuth2، بناء طلب CQL والبحث في قاعدة OPS.</w:t>
      </w:r>
    </w:p>
    <w:p>
      <w:pPr>
        <w:pStyle w:val="ListParagraph"/>
        <w:numPr>
          <w:ilvl w:val="0"/>
          <w:numId w:val="2"/>
        </w:numPr>
        <w:bidi/>
        <w:spacing w:before="60" w:after="60"/>
        <w:jc w:val="right"/>
      </w:pPr>
      <w:r>
        <w:rPr>
          <w:rFonts w:ascii="Arial" w:cs="Arial" w:eastAsia="Arial" w:hAnsi="Arial"/>
          <w:color w:val="1A1A1A"/>
          <w:sz w:val="22"/>
          <w:szCs w:val="22"/>
          <w:rtl/>
        </w:rPr>
        <w:t xml:space="preserve">الخطوة 8: التصدير التلقائي JSON و Markdown مع التأريخ وعرض الملخص النهائي.</w:t>
      </w:r>
    </w:p>
    <w:p>
      <w:pPr>
        <w:spacing w:before="0" w:after="200"/>
      </w:pPr>
    </w:p>
    <w:p>
      <w:pPr>
        <w:pBdr>
          <w:top w:val="single" w:color="1A3A6B" w:sz="6"/>
          <w:bottom w:val="single" w:color="1A3A6B" w:sz="6"/>
          <w:left w:val="single" w:color="1A3A6B" w:sz="6"/>
          <w:right w:val="single" w:color="1A3A6B" w:sz="6"/>
        </w:pBdr>
        <w:shd w:fill="1A3A6B" w:val="clear"/>
        <w:bidi/>
        <w:spacing w:before="300" w:after="0"/>
        <w:jc w:val="right"/>
      </w:pPr>
      <w:r>
        <w:rPr>
          <w:rFonts w:ascii="Arial" w:cs="Arial" w:eastAsia="Arial" w:hAnsi="Arial"/>
          <w:b/>
          <w:bCs/>
          <w:color w:val="FFFFFF"/>
          <w:sz w:val="24"/>
          <w:szCs w:val="24"/>
          <w:rtl/>
        </w:rPr>
        <w:t xml:space="preserve">7.  المطالبات</w:t>
      </w:r>
    </w:p>
    <w:p>
      <w:pPr>
        <w:spacing w:before="0" w:after="80"/>
      </w:pPr>
    </w:p>
    <w:p>
      <w:pPr>
        <w:bidi/>
        <w:spacing w:before="80" w:after="120"/>
        <w:jc w:val="right"/>
      </w:pPr>
      <w:r>
        <w:rPr>
          <w:rFonts w:ascii="Arial" w:cs="Arial" w:eastAsia="Arial" w:hAnsi="Arial"/>
          <w:b w:val="false"/>
          <w:bCs w:val="false"/>
          <w:i w:val="false"/>
          <w:iCs w:val="false"/>
          <w:color w:val="1A1A1A"/>
          <w:sz w:val="22"/>
          <w:szCs w:val="22"/>
          <w:rtl/>
        </w:rPr>
        <w:t xml:space="preserve">المطالبة 1 (الرئيسية): نظام معلوماتي مميز بخط انتاج ذكاء اصطناعي محلي (LLM عبر Ollama) يولد مفاهيم براءات اختراع متعددة التخصصات انطلاقا من دمج اجباري لثلاثة مجالات علمية متمايزة على الاقل، مع تقييم تلقائي للجدة بدرجة رقمية كمية بين 0 و 100 وتصدير تلقائي متعدد الصيغ (JSON و Markdown).</w:t>
      </w:r>
    </w:p>
    <w:p>
      <w:pPr>
        <w:spacing w:before="0" w:after="60"/>
      </w:pPr>
    </w:p>
    <w:p>
      <w:pPr>
        <w:bidi/>
        <w:spacing w:before="80" w:after="120"/>
        <w:jc w:val="right"/>
      </w:pPr>
      <w:r>
        <w:rPr>
          <w:rFonts w:ascii="Arial" w:cs="Arial" w:eastAsia="Arial" w:hAnsi="Arial"/>
          <w:b w:val="false"/>
          <w:bCs w:val="false"/>
          <w:i w:val="false"/>
          <w:iCs w:val="false"/>
          <w:color w:val="1A1A1A"/>
          <w:sz w:val="22"/>
          <w:szCs w:val="22"/>
          <w:rtl/>
        </w:rPr>
        <w:t xml:space="preserve">المطالبة 2: النظام وفق المطالبة 1، حيث يُستجوب نموذج LLM بطلبات HTTP/REST مع نص تحفيزي يفرض مخطط JSON صارما يتضمن وجوبا حقول: العنوان، رمز IPC، آلية الاشتغال، ادعاء الجدة، الاثر البشري ودرجة الجدة.</w:t>
      </w:r>
    </w:p>
    <w:p>
      <w:pPr>
        <w:spacing w:before="0" w:after="60"/>
      </w:pPr>
    </w:p>
    <w:p>
      <w:pPr>
        <w:bidi/>
        <w:spacing w:before="80" w:after="120"/>
        <w:jc w:val="right"/>
      </w:pPr>
      <w:r>
        <w:rPr>
          <w:rFonts w:ascii="Arial" w:cs="Arial" w:eastAsia="Arial" w:hAnsi="Arial"/>
          <w:b w:val="false"/>
          <w:bCs w:val="false"/>
          <w:i w:val="false"/>
          <w:iCs w:val="false"/>
          <w:color w:val="1A1A1A"/>
          <w:sz w:val="22"/>
          <w:szCs w:val="22"/>
          <w:rtl/>
        </w:rPr>
        <w:t xml:space="preserve">المطالبة 3: النظام وفق المطالبتين 1 و 2، متضمنا وحدة تحقق تستجوب API EPO Open Patent Services عبر مصادقة OAuth2 للبحث في الوقت الفعلي عن السوابق في قاعدة بيانات البراءات العالمية.</w:t>
      </w:r>
    </w:p>
    <w:p>
      <w:pPr>
        <w:spacing w:before="0" w:after="60"/>
      </w:pPr>
    </w:p>
    <w:p>
      <w:pPr>
        <w:bidi/>
        <w:spacing w:before="80" w:after="120"/>
        <w:jc w:val="right"/>
      </w:pPr>
      <w:r>
        <w:rPr>
          <w:rFonts w:ascii="Arial" w:cs="Arial" w:eastAsia="Arial" w:hAnsi="Arial"/>
          <w:b w:val="false"/>
          <w:bCs w:val="false"/>
          <w:i w:val="false"/>
          <w:iCs w:val="false"/>
          <w:color w:val="1A1A1A"/>
          <w:sz w:val="22"/>
          <w:szCs w:val="22"/>
          <w:rtl/>
        </w:rPr>
        <w:t xml:space="preserve">المطالبة 4: اجراء توليد مفاهيم براءات الاختراع المنفذ بالنظام وفق المطالبة 1، متضمنا خطوات التحقق من خادم LLM المحلي، بناء النص التحفيزي JSON المفروض، استلام وتحليل الاجابة، الاسترداد التلقائي بالتعبيرات النمطية عند الفشل، البحث الاختياري في EPO والتصدير المؤرخ متعدد الصيغ.</w:t>
      </w:r>
    </w:p>
    <w:p>
      <w:pPr>
        <w:spacing w:before="0" w:after="60"/>
      </w:pPr>
    </w:p>
    <w:p>
      <w:pPr>
        <w:bidi/>
        <w:spacing w:before="80" w:after="120"/>
        <w:jc w:val="right"/>
      </w:pPr>
      <w:r>
        <w:rPr>
          <w:rFonts w:ascii="Arial" w:cs="Arial" w:eastAsia="Arial" w:hAnsi="Arial"/>
          <w:b w:val="false"/>
          <w:bCs w:val="false"/>
          <w:i w:val="false"/>
          <w:iCs w:val="false"/>
          <w:color w:val="1A1A1A"/>
          <w:sz w:val="22"/>
          <w:szCs w:val="22"/>
          <w:rtl/>
        </w:rPr>
        <w:t xml:space="preserve">المطالبة 5: النظام وفق المطالبة 1، حيث يتضمن كتالوج المجالات العلمية عشرين مجالا تخصصيا على الاقل تغطي الفيزياء الكمية والبيولوجيا الجزيئية والمواد المتقدمة والمعلوماتية الحيوية والطاقات البديلة.</w:t>
      </w:r>
    </w:p>
    <w:p>
      <w:pPr>
        <w:spacing w:before="0" w:after="60"/>
      </w:pPr>
    </w:p>
    <w:p>
      <w:pPr>
        <w:bidi/>
        <w:spacing w:before="80" w:after="120"/>
        <w:jc w:val="right"/>
      </w:pPr>
      <w:r>
        <w:rPr>
          <w:rFonts w:ascii="Arial" w:cs="Arial" w:eastAsia="Arial" w:hAnsi="Arial"/>
          <w:b w:val="false"/>
          <w:bCs w:val="false"/>
          <w:i w:val="false"/>
          <w:iCs w:val="false"/>
          <w:color w:val="1A1A1A"/>
          <w:sz w:val="22"/>
          <w:szCs w:val="22"/>
          <w:rtl/>
        </w:rPr>
        <w:t xml:space="preserve">المطالبة 6: وسيلة تخزين مقروءة الكترونيا تحتوي على تعليمات لتنفيذ الاجراء وفق المطالبة 4، بما فيها وحدات التوليد بـ LLM والتحقق من EPO والتصدير التلقائي متعدد الصيغ.</w:t>
      </w:r>
    </w:p>
    <w:p>
      <w:pPr>
        <w:spacing w:before="0" w:after="200"/>
      </w:pPr>
    </w:p>
    <w:p>
      <w:r>
        <w:br w:type="page"/>
      </w:r>
    </w:p>
    <w:p>
      <w:pPr>
        <w:bidi/>
        <w:spacing w:before="80" w:after="100"/>
        <w:jc w:val="center"/>
      </w:pPr>
      <w:r>
        <w:rPr>
          <w:rFonts w:ascii="Arial" w:cs="Arial" w:eastAsia="Arial" w:hAnsi="Arial"/>
          <w:b/>
          <w:bCs/>
          <w:i w:val="false"/>
          <w:iCs w:val="false"/>
          <w:color w:val="1A3A6B"/>
          <w:sz w:val="32"/>
          <w:szCs w:val="32"/>
          <w:rtl/>
        </w:rPr>
        <w:t xml:space="preserve">الملخص</w:t>
      </w:r>
    </w:p>
    <w:p>
      <w:pPr>
        <w:pBdr>
          <w:bottom w:val="single" w:color="B8860B" w:sz="6" w:space="1"/>
        </w:pBdr>
        <w:spacing w:before="160" w:after="160"/>
      </w:pPr>
    </w:p>
    <w:p>
      <w:pPr>
        <w:spacing w:before="0"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A3A6B" w:sz="6"/>
              <w:left w:val="single" w:color="1A3A6B" w:sz="6"/>
              <w:bottom w:val="single" w:color="1A3A6B" w:sz="6"/>
              <w:right w:val="single" w:color="1A3A6B" w:sz="6"/>
            </w:tcBorders>
            <w:shd w:fill="FFF8E7" w:val="clear"/>
            <w:tcMar>
              <w:top w:type="dxa" w:w="240"/>
              <w:left w:type="dxa" w:w="360"/>
              <w:bottom w:type="dxa" w:w="240"/>
              <w:right w:type="dxa" w:w="360"/>
            </w:tcMar>
          </w:tcPr>
          <w:p>
            <w:pPr>
              <w:bidi/>
              <w:spacing w:before="80" w:after="120"/>
              <w:jc w:val="right"/>
            </w:pPr>
            <w:r>
              <w:rPr>
                <w:rFonts w:ascii="Arial" w:cs="Arial" w:eastAsia="Arial" w:hAnsi="Arial"/>
                <w:b w:val="false"/>
                <w:bCs w:val="false"/>
                <w:i w:val="false"/>
                <w:iCs w:val="false"/>
                <w:color w:val="1A1A1A"/>
                <w:sz w:val="22"/>
                <w:szCs w:val="22"/>
                <w:rtl/>
              </w:rPr>
              <w:t xml:space="preserve">Patent Oracle نظام برمجي للذكاء الاصطناعي يتيح التوليد الاستباقي والتلقائي لمفاهيم الاختراع القابلة للتبرئة. يختار النظام بشكل عشوائي او موجه ثلاثة مجالات علمية متمايزة من كتالوج يضم عشرين مجالا تخصصيا متغايرا، ويستجوب نموذج لغة كبيرا (llama) منفذا محليا عبر Ollama بفرض مخطط استجابة JSON منظم، ويُنتج لكل مفهوم عنوانا ورمز IPC مقترحا ووصفا للآلية وادعاء الجدة ومؤشر الاثر البشري ودرجة جدة كمية بين 0 و 100. يتضمن النظام اختياريا وحدة تحقق تستجوب في الوقت الفعلي قاعدة بيانات المكتب الاوروبي لبراءات الاختراع عبر API Open Patent Services بمصادقة OAuth2. تُصدَّر النتائج تلقائيا في صيغتي JSON و Markdown مع تأريخ. يتميز الاختراع عن حالة الفن بالجمع الاصيل وغير المفصح عنه بين: تنفيذ LLM محلي بلا اعتماد سحابي، التوليف متعدد التخصصات الاجباري لثلاثة مجالات، التحقق المدمج من EPO، التقييم التلقائي الكمي للجدة، والتصدير التلقائي متعدد الصيغ مع التأريخ.</w:t>
            </w:r>
          </w:p>
        </w:tc>
      </w:tr>
    </w:tbl>
    <w:p>
      <w:pPr>
        <w:spacing w:before="0" w:after="600"/>
      </w:pPr>
    </w:p>
    <w:p>
      <w:pPr>
        <w:bidi/>
        <w:spacing w:before="80" w:after="200"/>
        <w:jc w:val="center"/>
      </w:pPr>
      <w:r>
        <w:rPr>
          <w:rFonts w:ascii="Arial" w:cs="Arial" w:eastAsia="Arial" w:hAnsi="Arial"/>
          <w:b w:val="false"/>
          <w:bCs w:val="false"/>
          <w:i w:val="false"/>
          <w:iCs w:val="false"/>
          <w:color w:val="1A1A1A"/>
          <w:sz w:val="20"/>
          <w:szCs w:val="20"/>
          <w:rtl/>
        </w:rPr>
        <w:t xml:space="preserve">حرر بتلمسان في 09 مارس 2026</w:t>
      </w:r>
    </w:p>
    <w:p>
      <w:pPr>
        <w:bidi/>
        <w:spacing w:before="80" w:after="40"/>
        <w:jc w:val="center"/>
      </w:pPr>
      <w:r>
        <w:rPr>
          <w:rFonts w:ascii="Arial" w:cs="Arial" w:eastAsia="Arial" w:hAnsi="Arial"/>
          <w:b w:val="false"/>
          <w:bCs w:val="false"/>
          <w:i w:val="false"/>
          <w:iCs w:val="false"/>
          <w:color w:val="1A1A1A"/>
          <w:sz w:val="20"/>
          <w:szCs w:val="20"/>
          <w:rtl/>
        </w:rPr>
        <w:t xml:space="preserve">توقيع المخترع:</w:t>
      </w:r>
    </w:p>
    <w:p>
      <w:pPr>
        <w:bidi/>
        <w:spacing w:before="80" w:after="120"/>
        <w:jc w:val="center"/>
      </w:pPr>
      <w:r>
        <w:rPr>
          <w:rFonts w:ascii="Arial" w:cs="Arial" w:eastAsia="Arial" w:hAnsi="Arial"/>
          <w:b/>
          <w:bCs/>
          <w:i w:val="false"/>
          <w:iCs w:val="false"/>
          <w:color w:val="1A1A1A"/>
          <w:sz w:val="22"/>
          <w:szCs w:val="22"/>
          <w:rtl/>
        </w:rPr>
        <w:t xml:space="preserve">بلحلحالي محمد امين</w:t>
      </w:r>
    </w:p>
    <w:sectPr>
      <w:headerReference w:type="default" r:id="rId6"/>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6B" w:sz="6" w:space="1"/>
      </w:pBdr>
      <w:bidi/>
      <w:spacing w:after="100"/>
      <w:jc w:val="right"/>
    </w:pPr>
    <w:r>
      <w:rPr>
        <w:rFonts w:ascii="Arial" w:cs="Arial" w:eastAsia="Arial" w:hAnsi="Arial"/>
        <w:color w:val="1A3A6B"/>
        <w:sz w:val="18"/>
        <w:szCs w:val="18"/>
        <w:rtl/>
      </w:rPr>
      <w:t xml:space="preserve">Patent Oracle — المذكرة الوصفية — INAPI الجزائر — 09/03/2026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60" w:after="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2026-03-09T00:17:53.002Z</dcterms:created>
  <dcterms:modified xsi:type="dcterms:W3CDTF">2026-03-09T00:17:53.003Z</dcterms:modified>
</cp:coreProperties>
</file>

<file path=docProps/custom.xml><?xml version="1.0" encoding="utf-8"?>
<Properties xmlns="http://schemas.openxmlformats.org/officeDocument/2006/custom-properties" xmlns:vt="http://schemas.openxmlformats.org/officeDocument/2006/docPropsVTypes"/>
</file>