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pPr>
    </w:p>
    <w:p>
      <w:pPr>
        <w:bidi/>
        <w:spacing w:before="80" w:after="40"/>
        <w:jc w:val="center"/>
      </w:pPr>
      <w:r>
        <w:rPr>
          <w:rFonts w:ascii="Arial" w:cs="Arial" w:eastAsia="Arial" w:hAnsi="Arial"/>
          <w:b/>
          <w:bCs/>
          <w:i w:val="false"/>
          <w:iCs w:val="false"/>
          <w:color w:val="1A3A6B"/>
          <w:sz w:val="20"/>
          <w:szCs w:val="20"/>
          <w:rtl/>
        </w:rPr>
        <w:t xml:space="preserve">الجمهورية الجزائرية الديمقراطية الشعبية</w:t>
      </w:r>
    </w:p>
    <w:p>
      <w:pPr>
        <w:bidi/>
        <w:spacing w:before="80" w:after="160"/>
        <w:jc w:val="center"/>
      </w:pPr>
      <w:r>
        <w:rPr>
          <w:rFonts w:ascii="Arial" w:cs="Arial" w:eastAsia="Arial" w:hAnsi="Arial"/>
          <w:b w:val="false"/>
          <w:bCs w:val="false"/>
          <w:i w:val="false"/>
          <w:iCs w:val="false"/>
          <w:color w:val="1A1A1A"/>
          <w:sz w:val="18"/>
          <w:szCs w:val="18"/>
          <w:rtl/>
        </w:rPr>
        <w:t xml:space="preserve">المعهد الوطني الجزائري للملكية الصناعية — INAPI</w:t>
      </w:r>
    </w:p>
    <w:p>
      <w:pPr>
        <w:pBdr>
          <w:bottom w:val="single" w:color="B8860B" w:sz="6" w:space="1"/>
        </w:pBdr>
        <w:spacing w:before="160" w:after="160"/>
      </w:pPr>
    </w:p>
    <w:p>
      <w:pPr>
        <w:spacing w:before="0" w:after="100"/>
      </w:pPr>
    </w:p>
    <w:p>
      <w:pPr>
        <w:bidi/>
        <w:spacing w:before="80" w:after="80"/>
        <w:jc w:val="center"/>
      </w:pPr>
      <w:r>
        <w:rPr>
          <w:rFonts w:ascii="Arial" w:cs="Arial" w:eastAsia="Arial" w:hAnsi="Arial"/>
          <w:b/>
          <w:bCs/>
          <w:i w:val="false"/>
          <w:iCs w:val="false"/>
          <w:color w:val="1A3A6B"/>
          <w:sz w:val="40"/>
          <w:szCs w:val="40"/>
          <w:rtl/>
        </w:rPr>
        <w:t xml:space="preserve">المطالبات</w:t>
      </w:r>
    </w:p>
    <w:p>
      <w:pPr>
        <w:bidi/>
        <w:spacing w:before="80" w:after="200"/>
        <w:jc w:val="center"/>
      </w:pPr>
      <w:r>
        <w:rPr>
          <w:rFonts w:ascii="Arial" w:cs="Arial" w:eastAsia="Arial" w:hAnsi="Arial"/>
          <w:b/>
          <w:bCs/>
          <w:i w:val="false"/>
          <w:iCs w:val="false"/>
          <w:color w:val="1A3A6B"/>
          <w:sz w:val="26"/>
          <w:szCs w:val="26"/>
          <w:rtl/>
        </w:rPr>
        <w:t xml:space="preserve">براءة اختراع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8860B" w:sz="6"/>
              <w:left w:val="single" w:color="B8860B" w:sz="6"/>
              <w:bottom w:val="single" w:color="B8860B" w:sz="6"/>
              <w:right w:val="single" w:color="B8860B" w:sz="6"/>
            </w:tcBorders>
            <w:shd w:fill="D6E4F7" w:val="clear"/>
            <w:tcMar>
              <w:top w:type="dxa" w:w="180"/>
              <w:left w:type="dxa" w:w="300"/>
              <w:bottom w:type="dxa" w:w="180"/>
              <w:right w:type="dxa" w:w="300"/>
            </w:tcMar>
          </w:tcPr>
          <w:p>
            <w:pPr>
              <w:jc w:val="center"/>
            </w:pPr>
            <w:r>
              <w:rPr>
                <w:rFonts w:ascii="Arial" w:cs="Arial" w:eastAsia="Arial" w:hAnsi="Arial"/>
                <w:b/>
                <w:bCs/>
                <w:color w:val="1A3A6B"/>
                <w:sz w:val="36"/>
                <w:szCs w:val="36"/>
              </w:rPr>
              <w:t xml:space="preserve">PATENT ORACLE</w:t>
            </w:r>
          </w:p>
          <w:p>
            <w:pPr>
              <w:bidi/>
              <w:spacing w:before="80" w:after="120"/>
              <w:jc w:val="center"/>
            </w:pPr>
            <w:r>
              <w:rPr>
                <w:rFonts w:ascii="Arial" w:cs="Arial" w:eastAsia="Arial" w:hAnsi="Arial"/>
                <w:b w:val="false"/>
                <w:bCs w:val="false"/>
                <w:i/>
                <w:iCs/>
                <w:color w:val="1A1A1A"/>
                <w:sz w:val="20"/>
                <w:szCs w:val="20"/>
                <w:rtl/>
              </w:rPr>
              <w:t xml:space="preserve">نظام ذكاء اصطناعي لتوليد والتحقق من مفاهيم براءات الاختراع متعددة التخصصات</w:t>
            </w:r>
          </w:p>
        </w:tc>
      </w:tr>
    </w:tbl>
    <w:p>
      <w:pPr>
        <w:spacing w:before="0"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26"/>
        <w:gridCol w:w="2800"/>
      </w:tblGrid>
      <w:tr>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Arial" w:cs="Arial" w:eastAsia="Arial" w:hAnsi="Arial"/>
                <w:b w:val="false"/>
                <w:bCs w:val="false"/>
                <w:color w:val="1A1A1A"/>
                <w:sz w:val="20"/>
                <w:szCs w:val="20"/>
                <w:rtl/>
              </w:rPr>
              <w:t xml:space="preserve">بلحلحالي محمد امين</w:t>
            </w:r>
          </w:p>
        </w:tc>
        <w:tc>
          <w:tcPr>
            <w:tcW w:type="dxa" w:w="2800"/>
            <w:tcBorders>
              <w:top w:val="single" w:color="CCCCCC" w:sz="1"/>
              <w:left w:val="single" w:color="CCCCCC" w:sz="1"/>
              <w:bottom w:val="single" w:color="CCCCCC" w:sz="1"/>
              <w:right w:val="single" w:color="CCCCCC" w:sz="1"/>
            </w:tcBorders>
            <w:shd w:fill="1A3A6B" w:val="clear"/>
            <w:tcMar>
              <w:top w:type="dxa" w:w="80"/>
              <w:left w:type="dxa" w:w="140"/>
              <w:bottom w:type="dxa" w:w="80"/>
              <w:right w:type="dxa" w:w="140"/>
            </w:tcMar>
          </w:tcPr>
          <w:p>
            <w:pPr>
              <w:bidi/>
              <w:jc w:val="right"/>
            </w:pPr>
            <w:r>
              <w:rPr>
                <w:rFonts w:ascii="Arial" w:cs="Arial" w:eastAsia="Arial" w:hAnsi="Arial"/>
                <w:b/>
                <w:bCs/>
                <w:color w:val="FFFFFF"/>
                <w:sz w:val="20"/>
                <w:szCs w:val="20"/>
                <w:rtl/>
              </w:rPr>
              <w:t xml:space="preserve">المخترع / المودع</w:t>
            </w:r>
          </w:p>
        </w:tc>
      </w:tr>
      <w:tr>
        <w:tc>
          <w:tcPr>
            <w:tcW w:type="dxa" w:w="62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bidi/>
              <w:jc w:val="right"/>
            </w:pPr>
            <w:r>
              <w:rPr>
                <w:rFonts w:ascii="Arial" w:cs="Arial" w:eastAsia="Arial" w:hAnsi="Arial"/>
                <w:b w:val="false"/>
                <w:bCs w:val="false"/>
                <w:color w:val="1A1A1A"/>
                <w:sz w:val="20"/>
                <w:szCs w:val="20"/>
                <w:rtl/>
              </w:rPr>
              <w:t xml:space="preserve">09 مارس 2026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Arial" w:cs="Arial" w:eastAsia="Arial" w:hAnsi="Arial"/>
                <w:b w:val="false"/>
                <w:bCs w:val="false"/>
                <w:color w:val="1A1A1A"/>
                <w:sz w:val="20"/>
                <w:szCs w:val="20"/>
                <w:rtl/>
              </w:rPr>
              <w:t xml:space="preserve">تاريخ الايداع</w:t>
            </w:r>
          </w:p>
        </w:tc>
      </w:tr>
    </w:tbl>
    <w:p>
      <w:pPr>
        <w:spacing w:before="0" w:after="400"/>
      </w:pPr>
    </w:p>
    <w:p>
      <w:pPr>
        <w:pBdr>
          <w:bottom w:val="single" w:color="1A3A6B" w:sz="6" w:space="1"/>
        </w:pBdr>
        <w:spacing w:before="160" w:after="160"/>
      </w:pPr>
    </w:p>
    <w:p>
      <w:pPr>
        <w:spacing w:before="0" w:after="200"/>
      </w:pPr>
    </w:p>
    <w:p>
      <w:pPr>
        <w:bidi/>
        <w:spacing w:before="160" w:after="160"/>
        <w:jc w:val="right"/>
      </w:pPr>
      <w:r>
        <w:rPr>
          <w:rFonts w:ascii="Arial" w:cs="Arial" w:eastAsia="Arial" w:hAnsi="Arial"/>
          <w:color w:val="1A1A1A"/>
          <w:sz w:val="22"/>
          <w:szCs w:val="22"/>
          <w:rtl/>
        </w:rPr>
        <w:t xml:space="preserve">نظام معلوماتي مميز بخط انتاج ذكاء اصطناعي محلي، يستخدم نموذج لغة كبيرا منفذا محليا عبر واجهة من نوع Ollama، يولد مفاهيم براءات اختراع متعددة التخصصات بواسطة دمج اجباري لثلاثة مجالات علمية متمايزة على الاقل منتقاة من كتالوج محدد مسبقا، مع تقييم تلقائي لجدة كل مفهوم بدرجة رقمية كمية محددة بين 0 و 100، وتصدير تلقائي متعدد الصيغ للنتائج في JSON و Markdown مع تأريخ.</w:t>
      </w:r>
      <w:r>
        <w:rPr>
          <w:rFonts w:ascii="Arial" w:cs="Arial" w:eastAsia="Arial" w:hAnsi="Arial"/>
          <w:b/>
          <w:bCs/>
          <w:color w:val="1A3A6B"/>
          <w:sz w:val="22"/>
          <w:szCs w:val="22"/>
          <w:rtl/>
        </w:rPr>
        <w:t xml:space="preserve">  : (الرئيسية)المطالبة 1</w:t>
      </w:r>
    </w:p>
    <w:p>
      <w:pPr>
        <w:pBdr>
          <w:bottom w:val="single" w:color="DDDDDD" w:sz="1" w:space="1"/>
        </w:pBdr>
        <w:spacing w:before="0" w:after="0"/>
      </w:pPr>
    </w:p>
    <w:p>
      <w:pPr>
        <w:bidi/>
        <w:spacing w:before="160" w:after="160"/>
        <w:jc w:val="right"/>
      </w:pPr>
      <w:r>
        <w:rPr>
          <w:rFonts w:ascii="Arial" w:cs="Arial" w:eastAsia="Arial" w:hAnsi="Arial"/>
          <w:color w:val="1A1A1A"/>
          <w:sz w:val="22"/>
          <w:szCs w:val="22"/>
          <w:rtl/>
        </w:rPr>
        <w:t xml:space="preserve">النظام وفق المطالبة 1، مميز بان نموذج اللغة الكبير يُستجوب بطلبات HTTP/REST وبان نصا تحفيزيا نظاميا يفرض مخطط استجابة JSON صارما يتضمن وجوبا الحقول التالية: عنوان الاختراع، قائمة ثلاثة مجالات علمية متقاطعة، خمس كلمات مفتاحية تقنية، رمز التصنيف الدولي لبراءات الاختراع (IPC)، وصف الآلية في جملتين، ادعاء الجدة في جملة واحدة، مؤشر الاثر البشري في جملة واحدة، ودرجة جدة عدد صحيح بين 0 و 100.</w:t>
      </w:r>
      <w:r>
        <w:rPr>
          <w:rFonts w:ascii="Arial" w:cs="Arial" w:eastAsia="Arial" w:hAnsi="Arial"/>
          <w:b/>
          <w:bCs/>
          <w:color w:val="1A3A6B"/>
          <w:sz w:val="22"/>
          <w:szCs w:val="22"/>
          <w:rtl/>
        </w:rPr>
        <w:t xml:space="preserve">  :المطالبة 2</w:t>
      </w:r>
    </w:p>
    <w:p>
      <w:pPr>
        <w:pBdr>
          <w:bottom w:val="single" w:color="DDDDDD" w:sz="1" w:space="1"/>
        </w:pBdr>
        <w:spacing w:before="0" w:after="0"/>
      </w:pPr>
    </w:p>
    <w:p>
      <w:pPr>
        <w:bidi/>
        <w:spacing w:before="160" w:after="160"/>
        <w:jc w:val="right"/>
      </w:pPr>
      <w:r>
        <w:rPr>
          <w:rFonts w:ascii="Arial" w:cs="Arial" w:eastAsia="Arial" w:hAnsi="Arial"/>
          <w:color w:val="1A1A1A"/>
          <w:sz w:val="22"/>
          <w:szCs w:val="22"/>
          <w:rtl/>
        </w:rPr>
        <w:t xml:space="preserve">النظام وفق المطالبتين 1 و 2، مميز بانه يتضمن وحدة تحقق اختيارية تستجوب في الوقت الفعلي قاعدة بيانات المكتب الاوروبي لبراءات الاختراع (EPO) عبر واجهة Open Patent Services (OPS) بمصادقة OAuth2 بواسطة رموز الوصول، مما يتيح البحث وعرض البراءات السابقة المتوافقة مع الكلمات المفتاحية ورمز IPC للمفهوم المولّد.</w:t>
      </w:r>
      <w:r>
        <w:rPr>
          <w:rFonts w:ascii="Arial" w:cs="Arial" w:eastAsia="Arial" w:hAnsi="Arial"/>
          <w:b/>
          <w:bCs/>
          <w:color w:val="1A3A6B"/>
          <w:sz w:val="22"/>
          <w:szCs w:val="22"/>
          <w:rtl/>
        </w:rPr>
        <w:t xml:space="preserve">  :المطالبة 3</w:t>
      </w:r>
    </w:p>
    <w:p>
      <w:pPr>
        <w:pBdr>
          <w:bottom w:val="single" w:color="DDDDDD" w:sz="1" w:space="1"/>
        </w:pBdr>
        <w:spacing w:before="0" w:after="0"/>
      </w:pPr>
    </w:p>
    <w:p>
      <w:pPr>
        <w:bidi/>
        <w:spacing w:before="160" w:after="160"/>
        <w:jc w:val="right"/>
      </w:pPr>
      <w:r>
        <w:rPr>
          <w:rFonts w:ascii="Arial" w:cs="Arial" w:eastAsia="Arial" w:hAnsi="Arial"/>
          <w:color w:val="1A1A1A"/>
          <w:sz w:val="22"/>
          <w:szCs w:val="22"/>
          <w:rtl/>
        </w:rPr>
        <w:t xml:space="preserve">اجراء التوليد التلقائي لمفاهيم براءات الاختراع المنفذ بالنظام وفق المطالبة 1، متضمنا الخطوات المتتالية التالية: (أ) التحقق من توفر خادم نموذج اللغة المحلي؛ (ب) اختيار المجالات العلمية؛ (ج) بناء النص التحفيزي النظامي مع مخطط JSON المفروض؛ (د) ارسال الطلب الى النموذج واستلام الاجابة؛ (هـ) تحليل JSON للاجابة مع تطبيق اجراء الاسترداد بالتعبيرات النمطية عند فشل التحليل؛ (و) حساب وعرض درجة الجدة؛ (ز) البحث الاختياري في السوابق لدى EPO؛ (ح) التصدير التلقائي المؤرخ في JSON و Markdown.</w:t>
      </w:r>
      <w:r>
        <w:rPr>
          <w:rFonts w:ascii="Arial" w:cs="Arial" w:eastAsia="Arial" w:hAnsi="Arial"/>
          <w:b/>
          <w:bCs/>
          <w:color w:val="1A3A6B"/>
          <w:sz w:val="22"/>
          <w:szCs w:val="22"/>
          <w:rtl/>
        </w:rPr>
        <w:t xml:space="preserve">  :المطالبة 4</w:t>
      </w:r>
    </w:p>
    <w:p>
      <w:pPr>
        <w:pBdr>
          <w:bottom w:val="single" w:color="DDDDDD" w:sz="1" w:space="1"/>
        </w:pBdr>
        <w:spacing w:before="0" w:after="0"/>
      </w:pPr>
    </w:p>
    <w:p>
      <w:pPr>
        <w:bidi/>
        <w:spacing w:before="160" w:after="160"/>
        <w:jc w:val="right"/>
      </w:pPr>
      <w:r>
        <w:rPr>
          <w:rFonts w:ascii="Arial" w:cs="Arial" w:eastAsia="Arial" w:hAnsi="Arial"/>
          <w:color w:val="1A1A1A"/>
          <w:sz w:val="22"/>
          <w:szCs w:val="22"/>
          <w:rtl/>
        </w:rPr>
        <w:t xml:space="preserve">النظام وفق المطالبة 1، مميز بان كتالوج المجالات العلمية يتضمن عشرين مجالا تخصصيا على الاقل يغطي على الاقل المجالات التالية: البيولوجيا الكمومية، المواد العصبية، الادراك الاصطناعي، الكيمياء الطوبولوجية، الميتاماتريالز الصوتية، الحوسبة الضوئية، تخزين البيانات بالحمض النووي، المنسوجات الكهروضغطية، الزراعة بالبلازما، الروبوتات التبريدية، الحوسبة بالشبكات الفطرية، تجميع الطاقة الجاذبية، المستشعرات الضوئية الحيوية، الاتصال بالتشابك الكمومي، العمارة التحولية، الادراك الكهروكيميائي، الطب الاهتزازي، العتاد الذكاء الاصطناعي التكافلي، تجميع الطاقة التكتونية، والمواد المستوحاة من الكواكب الخارجية.</w:t>
      </w:r>
      <w:r>
        <w:rPr>
          <w:rFonts w:ascii="Arial" w:cs="Arial" w:eastAsia="Arial" w:hAnsi="Arial"/>
          <w:b/>
          <w:bCs/>
          <w:color w:val="1A3A6B"/>
          <w:sz w:val="22"/>
          <w:szCs w:val="22"/>
          <w:rtl/>
        </w:rPr>
        <w:t xml:space="preserve">  :المطالبة 5</w:t>
      </w:r>
    </w:p>
    <w:p>
      <w:pPr>
        <w:pBdr>
          <w:bottom w:val="single" w:color="DDDDDD" w:sz="1" w:space="1"/>
        </w:pBdr>
        <w:spacing w:before="0" w:after="0"/>
      </w:pPr>
    </w:p>
    <w:p>
      <w:pPr>
        <w:bidi/>
        <w:spacing w:before="160" w:after="160"/>
        <w:jc w:val="right"/>
      </w:pPr>
      <w:r>
        <w:rPr>
          <w:rFonts w:ascii="Arial" w:cs="Arial" w:eastAsia="Arial" w:hAnsi="Arial"/>
          <w:color w:val="1A1A1A"/>
          <w:sz w:val="22"/>
          <w:szCs w:val="22"/>
          <w:rtl/>
        </w:rPr>
        <w:t xml:space="preserve">وسيلة تخزين غير مؤقتة مقروءة الكترونيا، تحتوي على تعليمات برنامج تنفذ عند تشغيلها بواسطة معالج الاجراء وفق المطالبة 4، تشمل التعليمات المذكورة الوحدات الوظيفية التالية: اختيار وادارة كتالوج المجالات العلمية، توليد المفاهيم بنموذج اللغة المحلي، التحقق من السوابق عبر API EPO مع ادارة OAuth2، والتصدير التلقائي متعدد الصيغ مع التأريخ.</w:t>
      </w:r>
      <w:r>
        <w:rPr>
          <w:rFonts w:ascii="Arial" w:cs="Arial" w:eastAsia="Arial" w:hAnsi="Arial"/>
          <w:b/>
          <w:bCs/>
          <w:color w:val="1A3A6B"/>
          <w:sz w:val="22"/>
          <w:szCs w:val="22"/>
          <w:rtl/>
        </w:rPr>
        <w:t xml:space="preserve">  :المطالبة 6</w:t>
      </w:r>
    </w:p>
    <w:p>
      <w:pPr>
        <w:pBdr>
          <w:bottom w:val="single" w:color="DDDDDD" w:sz="1" w:space="1"/>
        </w:pBdr>
        <w:spacing w:before="0" w:after="0"/>
      </w:pPr>
    </w:p>
    <w:p>
      <w:pPr>
        <w:spacing w:before="0" w:after="400"/>
      </w:pPr>
    </w:p>
    <w:p>
      <w:pPr>
        <w:pBdr>
          <w:bottom w:val="single" w:color="B8860B" w:sz="6" w:space="1"/>
        </w:pBdr>
        <w:spacing w:before="160" w:after="160"/>
      </w:pPr>
    </w:p>
    <w:p>
      <w:pPr>
        <w:spacing w:before="0" w:after="200"/>
      </w:pPr>
    </w:p>
    <w:p>
      <w:pPr>
        <w:bidi/>
        <w:spacing w:before="80" w:after="300"/>
        <w:jc w:val="center"/>
      </w:pPr>
      <w:r>
        <w:rPr>
          <w:rFonts w:ascii="Arial" w:cs="Arial" w:eastAsia="Arial" w:hAnsi="Arial"/>
          <w:b w:val="false"/>
          <w:bCs w:val="false"/>
          <w:i w:val="false"/>
          <w:iCs w:val="false"/>
          <w:color w:val="1A1A1A"/>
          <w:sz w:val="20"/>
          <w:szCs w:val="20"/>
          <w:rtl/>
        </w:rPr>
        <w:t xml:space="preserve">حرر بتلمسان في 09 مارس 2026</w:t>
      </w:r>
    </w:p>
    <w:p>
      <w:pPr>
        <w:bidi/>
        <w:spacing w:before="80" w:after="80"/>
        <w:jc w:val="center"/>
      </w:pPr>
      <w:r>
        <w:rPr>
          <w:rFonts w:ascii="Arial" w:cs="Arial" w:eastAsia="Arial" w:hAnsi="Arial"/>
          <w:b w:val="false"/>
          <w:bCs w:val="false"/>
          <w:i w:val="false"/>
          <w:iCs w:val="false"/>
          <w:color w:val="1A1A1A"/>
          <w:sz w:val="20"/>
          <w:szCs w:val="20"/>
          <w:rtl/>
        </w:rPr>
        <w:t xml:space="preserve">توقيع المخترع:</w:t>
      </w:r>
    </w:p>
    <w:p>
      <w:pPr>
        <w:spacing w:before="0" w:after="400"/>
      </w:pPr>
    </w:p>
    <w:p>
      <w:pPr>
        <w:bidi/>
        <w:spacing w:before="80" w:after="120"/>
        <w:jc w:val="center"/>
      </w:pPr>
      <w:r>
        <w:rPr>
          <w:rFonts w:ascii="Arial" w:cs="Arial" w:eastAsia="Arial" w:hAnsi="Arial"/>
          <w:b/>
          <w:bCs/>
          <w:i w:val="false"/>
          <w:iCs w:val="false"/>
          <w:color w:val="1A1A1A"/>
          <w:sz w:val="22"/>
          <w:szCs w:val="22"/>
          <w:rtl/>
        </w:rPr>
        <w:t xml:space="preserve">بلحلحالي محمد امين</w:t>
      </w:r>
    </w:p>
    <w:sectPr>
      <w:headerReference w:type="default" r:id="rId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6B" w:sz="6" w:space="1"/>
      </w:pBdr>
      <w:bidi/>
      <w:spacing w:after="100"/>
      <w:jc w:val="right"/>
    </w:pPr>
    <w:r>
      <w:rPr>
        <w:rFonts w:ascii="Arial" w:cs="Arial" w:eastAsia="Arial" w:hAnsi="Arial"/>
        <w:color w:val="1A3A6B"/>
        <w:sz w:val="18"/>
        <w:szCs w:val="18"/>
        <w:rtl/>
      </w:rPr>
      <w:t xml:space="preserve">Patent Oracle — المطالبات (AR) — INAPI الجزائر — 09/03/2026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2026-03-09T00:28:42.692Z</dcterms:created>
  <dcterms:modified xsi:type="dcterms:W3CDTF">2026-03-09T00:28:42.693Z</dcterms:modified>
</cp:coreProperties>
</file>

<file path=docProps/custom.xml><?xml version="1.0" encoding="utf-8"?>
<Properties xmlns="http://schemas.openxmlformats.org/officeDocument/2006/custom-properties" xmlns:vt="http://schemas.openxmlformats.org/officeDocument/2006/docPropsVTypes"/>
</file>