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3272AF">
      <w:pPr>
        <w:spacing w:after="200"/>
      </w:pPr>
    </w:p>
    <w:p w14:paraId="08503DC7">
      <w:pPr>
        <w:spacing w:after="200"/>
      </w:pPr>
    </w:p>
    <w:p w14:paraId="463CA4F0">
      <w:pPr>
        <w:spacing w:after="200"/>
      </w:pPr>
    </w:p>
    <w:p w14:paraId="2A33F45B">
      <w:pPr>
        <w:spacing w:after="200"/>
      </w:pPr>
    </w:p>
    <w:p w14:paraId="6C93AD61">
      <w:pPr>
        <w:spacing w:after="200"/>
      </w:pPr>
    </w:p>
    <w:p w14:paraId="058B287E">
      <w:pPr>
        <w:spacing w:after="320"/>
        <w:jc w:val="center"/>
      </w:pPr>
      <w:r>
        <w:rPr>
          <w:rFonts w:ascii="Heiti SC" w:hAnsi="Heiti SC" w:eastAsia="Heiti SC"/>
          <w:b/>
          <w:i w:val="0"/>
          <w:color w:val="666666"/>
          <w:sz w:val="24"/>
        </w:rPr>
        <w:t>产品研究报告</w:t>
      </w:r>
    </w:p>
    <w:p w14:paraId="5B6769A0">
      <w:pPr>
        <w:spacing w:after="240"/>
        <w:jc w:val="center"/>
      </w:pPr>
      <w:r>
        <w:rPr>
          <w:rFonts w:ascii="Heiti SC" w:hAnsi="Heiti SC" w:eastAsia="Heiti SC"/>
          <w:b/>
          <w:i w:val="0"/>
          <w:color w:val="262626"/>
          <w:sz w:val="56"/>
        </w:rPr>
        <w:t>手拉手统一系统</w:t>
      </w:r>
    </w:p>
    <w:p w14:paraId="619BCF8E">
      <w:pPr>
        <w:spacing w:after="600"/>
        <w:jc w:val="center"/>
      </w:pPr>
      <w:r>
        <w:rPr>
          <w:rFonts w:ascii="Songti SC" w:hAnsi="Songti SC" w:eastAsia="Songti SC"/>
          <w:b w:val="0"/>
          <w:i w:val="0"/>
          <w:color w:val="3F3F3F"/>
          <w:sz w:val="28"/>
        </w:rPr>
        <w:t>协同管理与商机广场的产品、市场及竞品研究</w:t>
      </w:r>
    </w:p>
    <w:p w14:paraId="6962A983">
      <w:pPr>
        <w:pBdr>
          <w:bottom w:val="single" w:color="7F7F7F" w:sz="18" w:space="1"/>
        </w:pBdr>
        <w:jc w:val="center"/>
      </w:pPr>
    </w:p>
    <w:p w14:paraId="770678EF">
      <w:pPr>
        <w:spacing w:after="200"/>
      </w:pPr>
    </w:p>
    <w:p w14:paraId="47B41E68">
      <w:pPr>
        <w:spacing w:after="200"/>
      </w:pPr>
    </w:p>
    <w:p w14:paraId="43712CEE">
      <w:pPr>
        <w:spacing w:after="200"/>
      </w:pPr>
    </w:p>
    <w:p w14:paraId="5CE5DA90">
      <w:pPr>
        <w:spacing w:after="200"/>
      </w:pPr>
    </w:p>
    <w:p w14:paraId="1F372CAA">
      <w:pPr>
        <w:spacing w:after="200"/>
      </w:pPr>
    </w:p>
    <w:p w14:paraId="6403E3C2">
      <w:pPr>
        <w:spacing w:after="100"/>
        <w:jc w:val="center"/>
        <w:rPr>
          <w:rFonts w:hint="eastAsia" w:eastAsia="Songti SC"/>
          <w:lang w:val="en-US" w:eastAsia="zh-CN"/>
        </w:rPr>
      </w:pPr>
      <w:r>
        <w:rPr>
          <w:rFonts w:hint="eastAsia"/>
          <w:lang w:val="en-US" w:eastAsia="zh-CN"/>
        </w:rPr>
        <w:t>杨锟</w:t>
      </w:r>
    </w:p>
    <w:p w14:paraId="136C9015">
      <w:pPr>
        <w:jc w:val="center"/>
      </w:pPr>
      <w:r>
        <w:rPr>
          <w:rFonts w:ascii="Songti SC" w:hAnsi="Songti SC" w:eastAsia="Songti SC"/>
          <w:b w:val="0"/>
          <w:i w:val="0"/>
          <w:color w:val="666666"/>
          <w:sz w:val="22"/>
        </w:rPr>
        <w:t>2026 年 7 月</w:t>
      </w:r>
    </w:p>
    <w:p w14:paraId="3A582E38">
      <w:r>
        <w:br w:type="page"/>
      </w:r>
    </w:p>
    <w:p w14:paraId="5D8292E6">
      <w:pPr>
        <w:pStyle w:val="2"/>
        <w:pageBreakBefore w:val="0"/>
      </w:pPr>
      <w:r>
        <w:rPr>
          <w:rFonts w:ascii="Songti SC" w:hAnsi="Songti SC" w:eastAsia="Songti SC"/>
          <w:b/>
          <w:i w:val="0"/>
          <w:color w:val="262626"/>
          <w:sz w:val="30"/>
        </w:rPr>
        <w:t>摘要</w:t>
      </w:r>
    </w:p>
    <w:p w14:paraId="5D4920AE">
      <w:pPr>
        <w:spacing w:before="0" w:after="140" w:line="360" w:lineRule="auto"/>
        <w:ind w:firstLine="420"/>
        <w:jc w:val="both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本报告围绕手拉手体系中的协同管理和商机广场展开。研究基于</w:t>
      </w:r>
      <w:bookmarkStart w:id="0" w:name="_GoBack"/>
      <w:bookmarkEnd w:id="0"/>
      <w:r>
        <w:rPr>
          <w:rFonts w:ascii="Songti SC" w:hAnsi="Songti SC" w:eastAsia="Songti SC"/>
          <w:b w:val="0"/>
          <w:i w:val="0"/>
          <w:color w:val="262626"/>
          <w:sz w:val="22"/>
        </w:rPr>
        <w:t xml:space="preserve"> PC 与移动端实操、商机广场 PRD、操作手册及公开行业资料，梳理两类业务能力的使用场景、双端建设现状和审批流转，并结合券商数字化、中国并购市场与四个公开参照产品提出改进建议。报告重点建议将移动端“协同申请”和“协同申请审批”合并为“协同管理”入口，与 PC 端结构对齐；同时逐步接入真实商机数据，统一客户和企业基础信息。</w:t>
      </w:r>
    </w:p>
    <w:p w14:paraId="0C4A22EC">
      <w:pPr>
        <w:spacing w:before="0" w:after="280" w:line="300" w:lineRule="auto"/>
        <w:jc w:val="both"/>
      </w:pPr>
      <w:r>
        <w:rPr>
          <w:rFonts w:ascii="Songti SC" w:hAnsi="Songti SC" w:eastAsia="Songti SC"/>
          <w:b/>
          <w:i w:val="0"/>
          <w:color w:val="262626"/>
          <w:sz w:val="21"/>
        </w:rPr>
        <w:t>关键词：</w:t>
      </w:r>
      <w:r>
        <w:rPr>
          <w:rFonts w:ascii="Songti SC" w:hAnsi="Songti SC" w:eastAsia="Songti SC"/>
          <w:b w:val="0"/>
          <w:i w:val="0"/>
          <w:color w:val="262626"/>
          <w:sz w:val="21"/>
        </w:rPr>
        <w:t>手拉手；协同管理；商机广场；券商数字化；业务协同</w:t>
      </w:r>
    </w:p>
    <w:p w14:paraId="4DC4420B">
      <w:pPr>
        <w:pStyle w:val="2"/>
        <w:pageBreakBefore w:val="0"/>
      </w:pPr>
      <w:r>
        <w:rPr>
          <w:rFonts w:ascii="Songti SC" w:hAnsi="Songti SC" w:eastAsia="Songti SC"/>
          <w:b/>
          <w:i w:val="0"/>
          <w:color w:val="262626"/>
          <w:sz w:val="30"/>
        </w:rPr>
        <w:t>目录</w:t>
      </w:r>
    </w:p>
    <w:p w14:paraId="23044E41">
      <w:pPr>
        <w:tabs>
          <w:tab w:val="right" w:leader="dot" w:pos="8617"/>
        </w:tabs>
        <w:spacing w:after="60" w:line="276" w:lineRule="auto"/>
      </w:pPr>
      <w:r>
        <w:rPr>
          <w:rFonts w:ascii="Songti SC" w:hAnsi="Songti SC" w:eastAsia="Songti SC"/>
          <w:b w:val="0"/>
          <w:i w:val="0"/>
          <w:color w:val="262626"/>
          <w:sz w:val="21"/>
        </w:rPr>
        <w:t>一、结论先行</w:t>
      </w:r>
      <w:r>
        <w:rPr>
          <w:rFonts w:ascii="Songti SC" w:hAnsi="Songti SC" w:eastAsia="Songti SC"/>
          <w:b w:val="0"/>
          <w:i w:val="0"/>
          <w:color w:val="666666"/>
          <w:sz w:val="21"/>
        </w:rPr>
        <w:tab/>
      </w:r>
      <w:r>
        <w:rPr>
          <w:rFonts w:ascii="Songti SC" w:hAnsi="Songti SC" w:eastAsia="Songti SC"/>
          <w:b w:val="0"/>
          <w:i w:val="0"/>
          <w:color w:val="666666"/>
          <w:sz w:val="21"/>
        </w:rPr>
        <w:t>3</w:t>
      </w:r>
    </w:p>
    <w:p w14:paraId="0A155615">
      <w:pPr>
        <w:tabs>
          <w:tab w:val="right" w:leader="dot" w:pos="8617"/>
        </w:tabs>
        <w:spacing w:after="60" w:line="276" w:lineRule="auto"/>
      </w:pPr>
      <w:r>
        <w:rPr>
          <w:rFonts w:ascii="Songti SC" w:hAnsi="Songti SC" w:eastAsia="Songti SC"/>
          <w:b w:val="0"/>
          <w:i w:val="0"/>
          <w:color w:val="262626"/>
          <w:sz w:val="21"/>
        </w:rPr>
        <w:t>二、产品全貌</w:t>
      </w:r>
      <w:r>
        <w:rPr>
          <w:rFonts w:ascii="Songti SC" w:hAnsi="Songti SC" w:eastAsia="Songti SC"/>
          <w:b w:val="0"/>
          <w:i w:val="0"/>
          <w:color w:val="666666"/>
          <w:sz w:val="21"/>
        </w:rPr>
        <w:tab/>
      </w:r>
      <w:r>
        <w:rPr>
          <w:rFonts w:ascii="Songti SC" w:hAnsi="Songti SC" w:eastAsia="Songti SC"/>
          <w:b w:val="0"/>
          <w:i w:val="0"/>
          <w:color w:val="666666"/>
          <w:sz w:val="21"/>
        </w:rPr>
        <w:t>3</w:t>
      </w:r>
    </w:p>
    <w:p w14:paraId="39A65C86">
      <w:pPr>
        <w:tabs>
          <w:tab w:val="right" w:leader="dot" w:pos="8617"/>
        </w:tabs>
        <w:spacing w:after="60" w:line="276" w:lineRule="auto"/>
      </w:pPr>
      <w:r>
        <w:rPr>
          <w:rFonts w:ascii="Songti SC" w:hAnsi="Songti SC" w:eastAsia="Songti SC"/>
          <w:b w:val="0"/>
          <w:i w:val="0"/>
          <w:color w:val="262626"/>
          <w:sz w:val="21"/>
        </w:rPr>
        <w:t>三、协同管理：让专业部门接得住一线需求</w:t>
      </w:r>
      <w:r>
        <w:rPr>
          <w:rFonts w:ascii="Songti SC" w:hAnsi="Songti SC" w:eastAsia="Songti SC"/>
          <w:b w:val="0"/>
          <w:i w:val="0"/>
          <w:color w:val="666666"/>
          <w:sz w:val="21"/>
        </w:rPr>
        <w:tab/>
      </w:r>
      <w:r>
        <w:rPr>
          <w:rFonts w:ascii="Songti SC" w:hAnsi="Songti SC" w:eastAsia="Songti SC"/>
          <w:b w:val="0"/>
          <w:i w:val="0"/>
          <w:color w:val="666666"/>
          <w:sz w:val="21"/>
        </w:rPr>
        <w:t>5</w:t>
      </w:r>
    </w:p>
    <w:p w14:paraId="5CE6AC42">
      <w:pPr>
        <w:tabs>
          <w:tab w:val="right" w:leader="dot" w:pos="8617"/>
        </w:tabs>
        <w:spacing w:after="60" w:line="276" w:lineRule="auto"/>
      </w:pPr>
      <w:r>
        <w:rPr>
          <w:rFonts w:ascii="Songti SC" w:hAnsi="Songti SC" w:eastAsia="Songti SC"/>
          <w:b w:val="0"/>
          <w:i w:val="0"/>
          <w:color w:val="262626"/>
          <w:sz w:val="21"/>
        </w:rPr>
        <w:t>四、商机广场：让零散商机进入公司视野</w:t>
      </w:r>
      <w:r>
        <w:rPr>
          <w:rFonts w:ascii="Songti SC" w:hAnsi="Songti SC" w:eastAsia="Songti SC"/>
          <w:b w:val="0"/>
          <w:i w:val="0"/>
          <w:color w:val="666666"/>
          <w:sz w:val="21"/>
        </w:rPr>
        <w:tab/>
      </w:r>
      <w:r>
        <w:rPr>
          <w:rFonts w:ascii="Songti SC" w:hAnsi="Songti SC" w:eastAsia="Songti SC"/>
          <w:b w:val="0"/>
          <w:i w:val="0"/>
          <w:color w:val="666666"/>
          <w:sz w:val="21"/>
        </w:rPr>
        <w:t>9</w:t>
      </w:r>
    </w:p>
    <w:p w14:paraId="541872BE">
      <w:pPr>
        <w:tabs>
          <w:tab w:val="right" w:leader="dot" w:pos="8617"/>
        </w:tabs>
        <w:spacing w:after="60" w:line="276" w:lineRule="auto"/>
      </w:pPr>
      <w:r>
        <w:rPr>
          <w:rFonts w:ascii="Songti SC" w:hAnsi="Songti SC" w:eastAsia="Songti SC"/>
          <w:b w:val="0"/>
          <w:i w:val="0"/>
          <w:color w:val="262626"/>
          <w:sz w:val="21"/>
        </w:rPr>
        <w:t>五、行业与市场调查</w:t>
      </w:r>
      <w:r>
        <w:rPr>
          <w:rFonts w:ascii="Songti SC" w:hAnsi="Songti SC" w:eastAsia="Songti SC"/>
          <w:b w:val="0"/>
          <w:i w:val="0"/>
          <w:color w:val="666666"/>
          <w:sz w:val="21"/>
        </w:rPr>
        <w:tab/>
      </w:r>
      <w:r>
        <w:rPr>
          <w:rFonts w:ascii="Songti SC" w:hAnsi="Songti SC" w:eastAsia="Songti SC"/>
          <w:b w:val="0"/>
          <w:i w:val="0"/>
          <w:color w:val="666666"/>
          <w:sz w:val="21"/>
        </w:rPr>
        <w:t>11</w:t>
      </w:r>
    </w:p>
    <w:p w14:paraId="36DF7408">
      <w:pPr>
        <w:tabs>
          <w:tab w:val="right" w:leader="dot" w:pos="8617"/>
        </w:tabs>
        <w:spacing w:after="60" w:line="276" w:lineRule="auto"/>
      </w:pPr>
      <w:r>
        <w:rPr>
          <w:rFonts w:ascii="Songti SC" w:hAnsi="Songti SC" w:eastAsia="Songti SC"/>
          <w:b w:val="0"/>
          <w:i w:val="0"/>
          <w:color w:val="262626"/>
          <w:sz w:val="21"/>
        </w:rPr>
        <w:t>六、公开资料调查与同行参照</w:t>
      </w:r>
      <w:r>
        <w:rPr>
          <w:rFonts w:ascii="Songti SC" w:hAnsi="Songti SC" w:eastAsia="Songti SC"/>
          <w:b w:val="0"/>
          <w:i w:val="0"/>
          <w:color w:val="666666"/>
          <w:sz w:val="21"/>
        </w:rPr>
        <w:tab/>
      </w:r>
      <w:r>
        <w:rPr>
          <w:rFonts w:ascii="Songti SC" w:hAnsi="Songti SC" w:eastAsia="Songti SC"/>
          <w:b w:val="0"/>
          <w:i w:val="0"/>
          <w:color w:val="666666"/>
          <w:sz w:val="21"/>
        </w:rPr>
        <w:t>12</w:t>
      </w:r>
    </w:p>
    <w:p w14:paraId="3EC99859">
      <w:pPr>
        <w:tabs>
          <w:tab w:val="right" w:leader="dot" w:pos="8617"/>
        </w:tabs>
        <w:spacing w:after="60" w:line="276" w:lineRule="auto"/>
      </w:pPr>
      <w:r>
        <w:rPr>
          <w:rFonts w:ascii="Songti SC" w:hAnsi="Songti SC" w:eastAsia="Songti SC"/>
          <w:b w:val="0"/>
          <w:i w:val="0"/>
          <w:color w:val="262626"/>
          <w:sz w:val="21"/>
        </w:rPr>
        <w:t>七、当前问题与产品建议</w:t>
      </w:r>
      <w:r>
        <w:rPr>
          <w:rFonts w:ascii="Songti SC" w:hAnsi="Songti SC" w:eastAsia="Songti SC"/>
          <w:b w:val="0"/>
          <w:i w:val="0"/>
          <w:color w:val="666666"/>
          <w:sz w:val="21"/>
        </w:rPr>
        <w:tab/>
      </w:r>
      <w:r>
        <w:rPr>
          <w:rFonts w:ascii="Songti SC" w:hAnsi="Songti SC" w:eastAsia="Songti SC"/>
          <w:b w:val="0"/>
          <w:i w:val="0"/>
          <w:color w:val="666666"/>
          <w:sz w:val="21"/>
        </w:rPr>
        <w:t>13</w:t>
      </w:r>
    </w:p>
    <w:p w14:paraId="0B8898B9">
      <w:pPr>
        <w:tabs>
          <w:tab w:val="right" w:leader="dot" w:pos="8617"/>
        </w:tabs>
        <w:spacing w:after="60" w:line="276" w:lineRule="auto"/>
      </w:pPr>
      <w:r>
        <w:rPr>
          <w:rFonts w:ascii="Songti SC" w:hAnsi="Songti SC" w:eastAsia="Songti SC"/>
          <w:b w:val="0"/>
          <w:i w:val="0"/>
          <w:color w:val="262626"/>
          <w:sz w:val="21"/>
        </w:rPr>
        <w:t>八、后续应关注的数据</w:t>
      </w:r>
      <w:r>
        <w:rPr>
          <w:rFonts w:ascii="Songti SC" w:hAnsi="Songti SC" w:eastAsia="Songti SC"/>
          <w:b w:val="0"/>
          <w:i w:val="0"/>
          <w:color w:val="666666"/>
          <w:sz w:val="21"/>
        </w:rPr>
        <w:tab/>
      </w:r>
      <w:r>
        <w:rPr>
          <w:rFonts w:ascii="Songti SC" w:hAnsi="Songti SC" w:eastAsia="Songti SC"/>
          <w:b w:val="0"/>
          <w:i w:val="0"/>
          <w:color w:val="666666"/>
          <w:sz w:val="21"/>
        </w:rPr>
        <w:t>15</w:t>
      </w:r>
    </w:p>
    <w:p w14:paraId="2663478A">
      <w:pPr>
        <w:tabs>
          <w:tab w:val="right" w:leader="dot" w:pos="8617"/>
        </w:tabs>
        <w:spacing w:after="60" w:line="276" w:lineRule="auto"/>
      </w:pPr>
      <w:r>
        <w:rPr>
          <w:rFonts w:ascii="Songti SC" w:hAnsi="Songti SC" w:eastAsia="Songti SC"/>
          <w:b w:val="0"/>
          <w:i w:val="0"/>
          <w:color w:val="262626"/>
          <w:sz w:val="21"/>
        </w:rPr>
        <w:t>九、结论</w:t>
      </w:r>
      <w:r>
        <w:rPr>
          <w:rFonts w:ascii="Songti SC" w:hAnsi="Songti SC" w:eastAsia="Songti SC"/>
          <w:b w:val="0"/>
          <w:i w:val="0"/>
          <w:color w:val="666666"/>
          <w:sz w:val="21"/>
        </w:rPr>
        <w:tab/>
      </w:r>
      <w:r>
        <w:rPr>
          <w:rFonts w:ascii="Songti SC" w:hAnsi="Songti SC" w:eastAsia="Songti SC"/>
          <w:b w:val="0"/>
          <w:i w:val="0"/>
          <w:color w:val="666666"/>
          <w:sz w:val="21"/>
        </w:rPr>
        <w:t>16</w:t>
      </w:r>
    </w:p>
    <w:p w14:paraId="4A7FF047">
      <w:pPr>
        <w:tabs>
          <w:tab w:val="right" w:leader="dot" w:pos="8617"/>
        </w:tabs>
        <w:spacing w:after="60" w:line="276" w:lineRule="auto"/>
      </w:pPr>
      <w:r>
        <w:rPr>
          <w:rFonts w:ascii="Songti SC" w:hAnsi="Songti SC" w:eastAsia="Songti SC"/>
          <w:b w:val="0"/>
          <w:i w:val="0"/>
          <w:color w:val="262626"/>
          <w:sz w:val="21"/>
        </w:rPr>
        <w:t>附录：资料来源</w:t>
      </w:r>
      <w:r>
        <w:rPr>
          <w:rFonts w:ascii="Songti SC" w:hAnsi="Songti SC" w:eastAsia="Songti SC"/>
          <w:b w:val="0"/>
          <w:i w:val="0"/>
          <w:color w:val="666666"/>
          <w:sz w:val="21"/>
        </w:rPr>
        <w:tab/>
      </w:r>
      <w:r>
        <w:rPr>
          <w:rFonts w:ascii="Songti SC" w:hAnsi="Songti SC" w:eastAsia="Songti SC"/>
          <w:b w:val="0"/>
          <w:i w:val="0"/>
          <w:color w:val="666666"/>
          <w:sz w:val="21"/>
        </w:rPr>
        <w:t>16</w:t>
      </w:r>
    </w:p>
    <w:p w14:paraId="76F27590">
      <w:r>
        <w:br w:type="page"/>
      </w:r>
    </w:p>
    <w:p w14:paraId="5DEABAD0">
      <w:pPr>
        <w:pStyle w:val="2"/>
        <w:pageBreakBefore w:val="0"/>
      </w:pPr>
      <w:r>
        <w:rPr>
          <w:rFonts w:ascii="Songti SC" w:hAnsi="Songti SC" w:eastAsia="Songti SC"/>
          <w:b/>
          <w:i w:val="0"/>
          <w:color w:val="262626"/>
          <w:sz w:val="30"/>
        </w:rPr>
        <w:t>一、结论先行</w:t>
      </w:r>
    </w:p>
    <w:p w14:paraId="2CC74EA8">
      <w:pPr>
        <w:spacing w:before="0" w:after="140" w:line="360" w:lineRule="auto"/>
        <w:ind w:firstLine="420"/>
        <w:jc w:val="both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手拉手目前可以看成一套正在成形的组织业务工作台，里面有两个主要板块：</w:t>
      </w:r>
    </w:p>
    <w:p w14:paraId="01CC90C0">
      <w:pPr>
        <w:pStyle w:val="23"/>
        <w:spacing w:after="80" w:line="300" w:lineRule="auto"/>
      </w:pPr>
      <w:r>
        <w:rPr>
          <w:rFonts w:ascii="Songti SC" w:hAnsi="Songti SC" w:eastAsia="Songti SC"/>
          <w:b/>
          <w:i w:val="0"/>
          <w:color w:val="262626"/>
          <w:sz w:val="22"/>
        </w:rPr>
        <w:t>协同管理</w:t>
      </w:r>
      <w:r>
        <w:rPr>
          <w:rFonts w:ascii="Songti SC" w:hAnsi="Songti SC" w:eastAsia="Songti SC"/>
          <w:b w:val="0"/>
          <w:i w:val="0"/>
          <w:color w:val="262626"/>
          <w:sz w:val="22"/>
        </w:rPr>
        <w:t>承接内部业务协作。客户经理提交投行、研究等专业服务需求，系统根据业务类型交给相应部门审核和处理。</w:t>
      </w:r>
    </w:p>
    <w:p w14:paraId="39D94140">
      <w:pPr>
        <w:pStyle w:val="23"/>
        <w:spacing w:after="80" w:line="300" w:lineRule="auto"/>
      </w:pPr>
      <w:r>
        <w:rPr>
          <w:rFonts w:ascii="Songti SC" w:hAnsi="Songti SC" w:eastAsia="Songti SC"/>
          <w:b/>
          <w:i w:val="0"/>
          <w:color w:val="262626"/>
          <w:sz w:val="22"/>
        </w:rPr>
        <w:t>商机广场</w:t>
      </w:r>
      <w:r>
        <w:rPr>
          <w:rFonts w:ascii="Songti SC" w:hAnsi="Songti SC" w:eastAsia="Songti SC"/>
          <w:b w:val="0"/>
          <w:i w:val="0"/>
          <w:color w:val="262626"/>
          <w:sz w:val="22"/>
        </w:rPr>
        <w:t>承接业务机会对接。用户发布并购、股权交易、融资、投资等商机，经过审核后供其他人浏览、认领和撮合。</w:t>
      </w:r>
    </w:p>
    <w:p w14:paraId="65222BC3">
      <w:pPr>
        <w:spacing w:before="0" w:after="140" w:line="360" w:lineRule="auto"/>
        <w:ind w:firstLine="420"/>
        <w:jc w:val="both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两个板块各有自己的业务记录和处理流程。它们适合共用组织架构、客户企业信息、消息待办和工作台入口，这也是“手拉手”继续往统一系统演进的基础。</w:t>
      </w:r>
    </w:p>
    <w:p w14:paraId="27C58095">
      <w:pPr>
        <w:spacing w:before="0" w:after="140" w:line="360" w:lineRule="auto"/>
        <w:ind w:firstLine="420"/>
        <w:jc w:val="both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当前双端建设进度并不一致。PC 端已经具备较完整的协同管理功能，商机广场只在首页预留了一个展示面板；移动端已经能完整使用商机广场，同时上线了协同申请和协同审批测试入口。下一步最直观的改进，是把移动端的两个协同入口收进一个名为“协同管理”的应用，与 PC 端名称和结构对齐。</w:t>
      </w:r>
    </w:p>
    <w:p w14:paraId="7A6D58E6">
      <w:pPr>
        <w:pStyle w:val="2"/>
        <w:pageBreakBefore w:val="0"/>
      </w:pPr>
      <w:r>
        <w:rPr>
          <w:rFonts w:ascii="Songti SC" w:hAnsi="Songti SC" w:eastAsia="Songti SC"/>
          <w:b/>
          <w:i w:val="0"/>
          <w:color w:val="262626"/>
          <w:sz w:val="30"/>
        </w:rPr>
        <w:t>二、产品全貌</w:t>
      </w:r>
    </w:p>
    <w:p w14:paraId="594229E0">
      <w:pPr>
        <w:pStyle w:val="3"/>
      </w:pPr>
      <w:r>
        <w:rPr>
          <w:rFonts w:ascii="Songti SC" w:hAnsi="Songti SC" w:eastAsia="Songti SC"/>
          <w:b/>
          <w:i w:val="0"/>
          <w:color w:val="262626"/>
          <w:sz w:val="24"/>
        </w:rPr>
        <w:t>2.1 两个业务板块</w:t>
      </w:r>
    </w:p>
    <w:p w14:paraId="3F3DC41A">
      <w:pPr>
        <w:shd w:val="clear" w:fill="F2F2F2"/>
        <w:spacing w:before="80" w:after="180"/>
        <w:ind w:left="255" w:right="255"/>
      </w:pPr>
      <w:r>
        <w:rPr>
          <w:rFonts w:ascii="PingFang SC" w:hAnsi="PingFang SC" w:eastAsia="PingFang SC"/>
          <w:b w:val="0"/>
          <w:i w:val="0"/>
          <w:color w:val="262626"/>
          <w:sz w:val="19"/>
        </w:rPr>
        <w:t>手拉手</w:t>
      </w:r>
      <w:r>
        <w:rPr>
          <w:rFonts w:ascii="PingFang SC" w:hAnsi="PingFang SC" w:eastAsia="PingFang SC"/>
          <w:b w:val="0"/>
          <w:i w:val="0"/>
          <w:color w:val="262626"/>
          <w:sz w:val="19"/>
        </w:rPr>
        <w:br w:type="textWrapping"/>
      </w:r>
      <w:r>
        <w:rPr>
          <w:rFonts w:ascii="PingFang SC" w:hAnsi="PingFang SC" w:eastAsia="PingFang SC"/>
          <w:b w:val="0"/>
          <w:i w:val="0"/>
          <w:color w:val="262626"/>
          <w:sz w:val="19"/>
        </w:rPr>
        <w:t>├── 协同管理</w:t>
      </w:r>
      <w:r>
        <w:rPr>
          <w:rFonts w:ascii="PingFang SC" w:hAnsi="PingFang SC" w:eastAsia="PingFang SC"/>
          <w:b w:val="0"/>
          <w:i w:val="0"/>
          <w:color w:val="262626"/>
          <w:sz w:val="19"/>
        </w:rPr>
        <w:br w:type="textWrapping"/>
      </w:r>
      <w:r>
        <w:rPr>
          <w:rFonts w:ascii="PingFang SC" w:hAnsi="PingFang SC" w:eastAsia="PingFang SC"/>
          <w:b w:val="0"/>
          <w:i w:val="0"/>
          <w:color w:val="262626"/>
          <w:sz w:val="19"/>
        </w:rPr>
        <w:t>│   ├── 协同申请</w:t>
      </w:r>
      <w:r>
        <w:rPr>
          <w:rFonts w:ascii="PingFang SC" w:hAnsi="PingFang SC" w:eastAsia="PingFang SC"/>
          <w:b w:val="0"/>
          <w:i w:val="0"/>
          <w:color w:val="262626"/>
          <w:sz w:val="19"/>
        </w:rPr>
        <w:br w:type="textWrapping"/>
      </w:r>
      <w:r>
        <w:rPr>
          <w:rFonts w:ascii="PingFang SC" w:hAnsi="PingFang SC" w:eastAsia="PingFang SC"/>
          <w:b w:val="0"/>
          <w:i w:val="0"/>
          <w:color w:val="262626"/>
          <w:sz w:val="19"/>
        </w:rPr>
        <w:t>│   ├── 协同审批 / 确认</w:t>
      </w:r>
      <w:r>
        <w:rPr>
          <w:rFonts w:ascii="PingFang SC" w:hAnsi="PingFang SC" w:eastAsia="PingFang SC"/>
          <w:b w:val="0"/>
          <w:i w:val="0"/>
          <w:color w:val="262626"/>
          <w:sz w:val="19"/>
        </w:rPr>
        <w:br w:type="textWrapping"/>
      </w:r>
      <w:r>
        <w:rPr>
          <w:rFonts w:ascii="PingFang SC" w:hAnsi="PingFang SC" w:eastAsia="PingFang SC"/>
          <w:b w:val="0"/>
          <w:i w:val="0"/>
          <w:color w:val="262626"/>
          <w:sz w:val="19"/>
        </w:rPr>
        <w:t>│   └── 跟进、财务确认与留痕</w:t>
      </w:r>
      <w:r>
        <w:rPr>
          <w:rFonts w:ascii="PingFang SC" w:hAnsi="PingFang SC" w:eastAsia="PingFang SC"/>
          <w:b w:val="0"/>
          <w:i w:val="0"/>
          <w:color w:val="262626"/>
          <w:sz w:val="19"/>
        </w:rPr>
        <w:br w:type="textWrapping"/>
      </w:r>
      <w:r>
        <w:rPr>
          <w:rFonts w:ascii="PingFang SC" w:hAnsi="PingFang SC" w:eastAsia="PingFang SC"/>
          <w:b w:val="0"/>
          <w:i w:val="0"/>
          <w:color w:val="262626"/>
          <w:sz w:val="19"/>
        </w:rPr>
        <w:t>└── 商机广场</w:t>
      </w:r>
      <w:r>
        <w:rPr>
          <w:rFonts w:ascii="PingFang SC" w:hAnsi="PingFang SC" w:eastAsia="PingFang SC"/>
          <w:b w:val="0"/>
          <w:i w:val="0"/>
          <w:color w:val="262626"/>
          <w:sz w:val="19"/>
        </w:rPr>
        <w:br w:type="textWrapping"/>
      </w:r>
      <w:r>
        <w:rPr>
          <w:rFonts w:ascii="PingFang SC" w:hAnsi="PingFang SC" w:eastAsia="PingFang SC"/>
          <w:b w:val="0"/>
          <w:i w:val="0"/>
          <w:color w:val="262626"/>
          <w:sz w:val="19"/>
        </w:rPr>
        <w:t xml:space="preserve">    ├── 发布与审核</w:t>
      </w:r>
      <w:r>
        <w:rPr>
          <w:rFonts w:ascii="PingFang SC" w:hAnsi="PingFang SC" w:eastAsia="PingFang SC"/>
          <w:b w:val="0"/>
          <w:i w:val="0"/>
          <w:color w:val="262626"/>
          <w:sz w:val="19"/>
        </w:rPr>
        <w:br w:type="textWrapping"/>
      </w:r>
      <w:r>
        <w:rPr>
          <w:rFonts w:ascii="PingFang SC" w:hAnsi="PingFang SC" w:eastAsia="PingFang SC"/>
          <w:b w:val="0"/>
          <w:i w:val="0"/>
          <w:color w:val="262626"/>
          <w:sz w:val="19"/>
        </w:rPr>
        <w:t xml:space="preserve">    ├── 浏览与认领</w:t>
      </w:r>
      <w:r>
        <w:rPr>
          <w:rFonts w:ascii="PingFang SC" w:hAnsi="PingFang SC" w:eastAsia="PingFang SC"/>
          <w:b w:val="0"/>
          <w:i w:val="0"/>
          <w:color w:val="262626"/>
          <w:sz w:val="19"/>
        </w:rPr>
        <w:br w:type="textWrapping"/>
      </w:r>
      <w:r>
        <w:rPr>
          <w:rFonts w:ascii="PingFang SC" w:hAnsi="PingFang SC" w:eastAsia="PingFang SC"/>
          <w:b w:val="0"/>
          <w:i w:val="0"/>
          <w:color w:val="262626"/>
          <w:sz w:val="19"/>
        </w:rPr>
        <w:t xml:space="preserve">    └── 沟通与撮合</w:t>
      </w:r>
    </w:p>
    <w:p w14:paraId="796E170A">
      <w:pPr>
        <w:spacing w:before="0" w:after="140" w:line="360" w:lineRule="auto"/>
        <w:ind w:firstLine="420"/>
        <w:jc w:val="both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这份结构已经足够说明产品关系：协同申请和协同审批属于协同管理；发布、审核、认领和撮合属于商机广场。PC 和移动端只是承载这些能力的不同终端。</w:t>
      </w:r>
    </w:p>
    <w:p w14:paraId="5A66DAED">
      <w:pPr>
        <w:pStyle w:val="3"/>
      </w:pPr>
      <w:r>
        <w:rPr>
          <w:rFonts w:ascii="Songti SC" w:hAnsi="Songti SC" w:eastAsia="Songti SC"/>
          <w:b/>
          <w:i w:val="0"/>
          <w:color w:val="262626"/>
          <w:sz w:val="24"/>
        </w:rPr>
        <w:t>2.2 PC 与移动端现状</w:t>
      </w:r>
    </w:p>
    <w:tbl>
      <w:tblPr>
        <w:tblStyle w:val="35"/>
        <w:tblW w:w="90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9"/>
        <w:gridCol w:w="3575"/>
        <w:gridCol w:w="3946"/>
      </w:tblGrid>
      <w:tr w14:paraId="18E6A24B">
        <w:trPr>
          <w:tblHeader/>
          <w:jc w:val="center"/>
        </w:trPr>
        <w:tc>
          <w:tcPr>
            <w:tcW w:w="1479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6FA03">
            <w:pPr>
              <w:spacing w:after="0" w:line="276" w:lineRule="auto"/>
              <w:jc w:val="center"/>
            </w:pPr>
            <w:r>
              <w:rPr>
                <w:rFonts w:ascii="Songti SC" w:hAnsi="Songti SC" w:eastAsia="Songti SC"/>
                <w:b/>
                <w:i w:val="0"/>
                <w:color w:val="262626"/>
                <w:sz w:val="19"/>
              </w:rPr>
              <w:t>业务板块</w:t>
            </w:r>
          </w:p>
        </w:tc>
        <w:tc>
          <w:tcPr>
            <w:tcW w:w="3575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C81E03">
            <w:pPr>
              <w:spacing w:after="0" w:line="276" w:lineRule="auto"/>
              <w:jc w:val="center"/>
            </w:pPr>
            <w:r>
              <w:rPr>
                <w:rFonts w:ascii="Songti SC" w:hAnsi="Songti SC" w:eastAsia="Songti SC"/>
                <w:b/>
                <w:i w:val="0"/>
                <w:color w:val="262626"/>
                <w:sz w:val="19"/>
              </w:rPr>
              <w:t>PC 端手拉手协同系统</w:t>
            </w:r>
          </w:p>
        </w:tc>
        <w:tc>
          <w:tcPr>
            <w:tcW w:w="3946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D5C07C">
            <w:pPr>
              <w:spacing w:after="0" w:line="276" w:lineRule="auto"/>
              <w:jc w:val="center"/>
            </w:pPr>
            <w:r>
              <w:rPr>
                <w:rFonts w:ascii="Songti SC" w:hAnsi="Songti SC" w:eastAsia="Songti SC"/>
                <w:b/>
                <w:i w:val="0"/>
                <w:color w:val="262626"/>
                <w:sz w:val="19"/>
              </w:rPr>
              <w:t>长城移动工作台</w:t>
            </w:r>
          </w:p>
        </w:tc>
      </w:tr>
      <w:tr w14:paraId="79CBAA5A">
        <w:trPr>
          <w:jc w:val="center"/>
        </w:trPr>
        <w:tc>
          <w:tcPr>
            <w:tcW w:w="147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F233A">
            <w:pPr>
              <w:spacing w:after="0" w:line="276" w:lineRule="auto"/>
              <w:jc w:val="left"/>
            </w:pPr>
            <w:r>
              <w:rPr>
                <w:rFonts w:ascii="Songti SC" w:hAnsi="Songti SC" w:eastAsia="Songti SC"/>
                <w:b w:val="0"/>
                <w:i w:val="0"/>
                <w:color w:val="262626"/>
                <w:sz w:val="18"/>
              </w:rPr>
              <w:t>协同管理</w:t>
            </w:r>
          </w:p>
        </w:tc>
        <w:tc>
          <w:tcPr>
            <w:tcW w:w="35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CD3ABF">
            <w:pPr>
              <w:spacing w:after="0" w:line="276" w:lineRule="auto"/>
              <w:jc w:val="left"/>
            </w:pPr>
            <w:r>
              <w:rPr>
                <w:rFonts w:ascii="Songti SC" w:hAnsi="Songti SC" w:eastAsia="Songti SC"/>
                <w:b w:val="0"/>
                <w:i w:val="0"/>
                <w:color w:val="262626"/>
                <w:sz w:val="18"/>
              </w:rPr>
              <w:t>已有完整模块，覆盖申请、审批、确认和跟进</w:t>
            </w:r>
          </w:p>
        </w:tc>
        <w:tc>
          <w:tcPr>
            <w:tcW w:w="394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B1DB05">
            <w:pPr>
              <w:spacing w:after="0" w:line="276" w:lineRule="auto"/>
              <w:jc w:val="left"/>
            </w:pPr>
            <w:r>
              <w:rPr>
                <w:rFonts w:ascii="Songti SC" w:hAnsi="Songti SC" w:eastAsia="Songti SC"/>
                <w:b w:val="0"/>
                <w:i w:val="0"/>
                <w:color w:val="262626"/>
                <w:sz w:val="18"/>
              </w:rPr>
              <w:t>当前分为“协同申请”“协同申请审批”两个入口，进入同一套协同流程</w:t>
            </w:r>
          </w:p>
        </w:tc>
      </w:tr>
      <w:tr w14:paraId="29C5D135">
        <w:trPr>
          <w:jc w:val="center"/>
        </w:trPr>
        <w:tc>
          <w:tcPr>
            <w:tcW w:w="147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C17697">
            <w:pPr>
              <w:spacing w:after="0" w:line="276" w:lineRule="auto"/>
              <w:jc w:val="left"/>
            </w:pPr>
            <w:r>
              <w:rPr>
                <w:rFonts w:ascii="Songti SC" w:hAnsi="Songti SC" w:eastAsia="Songti SC"/>
                <w:b w:val="0"/>
                <w:i w:val="0"/>
                <w:color w:val="262626"/>
                <w:sz w:val="18"/>
              </w:rPr>
              <w:t>商机广场</w:t>
            </w:r>
          </w:p>
        </w:tc>
        <w:tc>
          <w:tcPr>
            <w:tcW w:w="35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7936D6">
            <w:pPr>
              <w:spacing w:after="0" w:line="276" w:lineRule="auto"/>
              <w:jc w:val="left"/>
            </w:pPr>
            <w:r>
              <w:rPr>
                <w:rFonts w:ascii="Songti SC" w:hAnsi="Songti SC" w:eastAsia="Songti SC"/>
                <w:b w:val="0"/>
                <w:i w:val="0"/>
                <w:color w:val="262626"/>
                <w:sz w:val="18"/>
              </w:rPr>
              <w:t>首页左下角预留展示面板，尚未同步移动端数据，也无法发布商机</w:t>
            </w:r>
          </w:p>
        </w:tc>
        <w:tc>
          <w:tcPr>
            <w:tcW w:w="394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9C104B">
            <w:pPr>
              <w:spacing w:after="0" w:line="276" w:lineRule="auto"/>
              <w:jc w:val="left"/>
            </w:pPr>
            <w:r>
              <w:rPr>
                <w:rFonts w:ascii="Songti SC" w:hAnsi="Songti SC" w:eastAsia="Songti SC"/>
                <w:b w:val="0"/>
                <w:i w:val="0"/>
                <w:color w:val="262626"/>
                <w:sz w:val="18"/>
              </w:rPr>
              <w:t>已有完整入口，覆盖发布、审核、认领和撮合</w:t>
            </w:r>
          </w:p>
        </w:tc>
      </w:tr>
    </w:tbl>
    <w:p w14:paraId="69241F0D">
      <w:pPr>
        <w:spacing w:after="40"/>
      </w:pPr>
    </w:p>
    <w:p w14:paraId="3A300575">
      <w:pPr>
        <w:keepNext/>
        <w:spacing w:before="120" w:after="60"/>
        <w:jc w:val="center"/>
      </w:pPr>
      <w:r>
        <w:drawing>
          <wp:inline distT="0" distB="0" distL="114300" distR="114300">
            <wp:extent cx="4460875" cy="2338705"/>
            <wp:effectExtent l="0" t="0" r="9525" b="23495"/>
            <wp:docPr id="1" name="Picture 1" descr="Image: 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age: image1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0875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EA7A9">
      <w:pPr>
        <w:spacing w:after="160"/>
        <w:jc w:val="center"/>
      </w:pPr>
      <w:r>
        <w:rPr>
          <w:rFonts w:ascii="Songti SC" w:hAnsi="Songti SC" w:eastAsia="Songti SC"/>
          <w:b w:val="0"/>
          <w:i/>
          <w:color w:val="666666"/>
          <w:sz w:val="18"/>
        </w:rPr>
        <w:t>图 1：PC 首页左下角的商机广场面板。目前展示的是预留内容，移动端数据和发布能力还没有接进来。</w:t>
      </w:r>
    </w:p>
    <w:p w14:paraId="42494268">
      <w:pPr>
        <w:keepNext/>
        <w:spacing w:before="120" w:after="60"/>
        <w:jc w:val="center"/>
      </w:pPr>
      <w:r>
        <w:drawing>
          <wp:inline distT="0" distB="0" distL="114300" distR="114300">
            <wp:extent cx="1686560" cy="3656330"/>
            <wp:effectExtent l="0" t="0" r="15240" b="1270"/>
            <wp:docPr id="2" name="Picture 2" descr="Image: 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: image2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656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CA705">
      <w:pPr>
        <w:spacing w:after="160"/>
        <w:jc w:val="center"/>
      </w:pPr>
      <w:r>
        <w:rPr>
          <w:rFonts w:ascii="Songti SC" w:hAnsi="Songti SC" w:eastAsia="Songti SC"/>
          <w:b w:val="0"/>
          <w:i/>
          <w:color w:val="666666"/>
          <w:sz w:val="18"/>
        </w:rPr>
        <w:t>图 2：移动工作台的手拉手分组。商机广场使用一个完整入口，协同功能被拆成申请和审批两个入口。</w:t>
      </w:r>
    </w:p>
    <w:p w14:paraId="55D472BD">
      <w:pPr>
        <w:pStyle w:val="2"/>
        <w:pageBreakBefore w:val="0"/>
      </w:pPr>
      <w:r>
        <w:rPr>
          <w:rFonts w:ascii="Songti SC" w:hAnsi="Songti SC" w:eastAsia="Songti SC"/>
          <w:b/>
          <w:i w:val="0"/>
          <w:color w:val="262626"/>
          <w:sz w:val="30"/>
        </w:rPr>
        <w:t>三、协同管理：让专业部门接得住一线需求</w:t>
      </w:r>
    </w:p>
    <w:p w14:paraId="253FE327">
      <w:pPr>
        <w:pStyle w:val="3"/>
      </w:pPr>
      <w:r>
        <w:rPr>
          <w:rFonts w:ascii="Songti SC" w:hAnsi="Songti SC" w:eastAsia="Songti SC"/>
          <w:b/>
          <w:i w:val="0"/>
          <w:color w:val="262626"/>
          <w:sz w:val="24"/>
        </w:rPr>
        <w:t>3.1 使用场景</w:t>
      </w:r>
    </w:p>
    <w:p w14:paraId="46F8CD43">
      <w:pPr>
        <w:spacing w:before="0" w:after="140" w:line="360" w:lineRule="auto"/>
        <w:ind w:firstLine="420"/>
        <w:jc w:val="both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一线客户经理最了解客户，但投行、研究等服务需要总部专业人员参与。过去如果主要靠电话、微信和熟人关系寻找对接人，需求容易停在个人手里，管理者也很难了解全公司的协作情况。</w:t>
      </w:r>
    </w:p>
    <w:p w14:paraId="7207217E">
      <w:pPr>
        <w:spacing w:before="0" w:after="140" w:line="360" w:lineRule="auto"/>
        <w:ind w:firstLine="420"/>
        <w:jc w:val="both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协同申请把这件事变成正式记录。发起人填写业务类型、企业、需求内容和建议对接人，系统再把申请送到对应条线。每个审核节点、处理人和时间都留在系统中，后续还能继续记录拜访、确认和分工。</w:t>
      </w:r>
    </w:p>
    <w:p w14:paraId="28B0E116">
      <w:pPr>
        <w:pStyle w:val="3"/>
      </w:pPr>
      <w:r>
        <w:rPr>
          <w:rFonts w:ascii="Songti SC" w:hAnsi="Songti SC" w:eastAsia="Songti SC"/>
          <w:b/>
          <w:i w:val="0"/>
          <w:color w:val="262626"/>
          <w:sz w:val="24"/>
        </w:rPr>
        <w:t>3.2 同一套申请，两个操作终端</w:t>
      </w:r>
    </w:p>
    <w:p w14:paraId="52640B1B">
      <w:pPr>
        <w:spacing w:before="0" w:after="140" w:line="360" w:lineRule="auto"/>
        <w:ind w:firstLine="420"/>
        <w:jc w:val="both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PC 表单包含业务大类、业务类型、企业名称、需求标题、需求描述、附件及人员建议。移动端的主要字段与 PC 一致，提交后进入同一套流程。移动端适合客户拜访后的及时发起，PC 端更适合集中查看和处理记录。</w:t>
      </w:r>
    </w:p>
    <w:p w14:paraId="6F3BD6DA">
      <w:pPr>
        <w:keepNext/>
        <w:spacing w:before="120" w:after="60"/>
        <w:jc w:val="center"/>
      </w:pPr>
      <w:r>
        <w:drawing>
          <wp:inline distT="0" distB="0" distL="114300" distR="114300">
            <wp:extent cx="5394960" cy="2920365"/>
            <wp:effectExtent l="0" t="0" r="15240" b="635"/>
            <wp:docPr id="3" name="Picture 3" descr="Image: 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: image3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20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CEB29">
      <w:pPr>
        <w:keepNext w:val="0"/>
        <w:spacing w:after="180"/>
        <w:jc w:val="center"/>
      </w:pPr>
      <w:r>
        <w:rPr>
          <w:rFonts w:ascii="Songti SC" w:hAnsi="Songti SC" w:eastAsia="Songti SC"/>
          <w:b w:val="0"/>
          <w:i/>
          <w:color w:val="666666"/>
          <w:sz w:val="18"/>
        </w:rPr>
        <w:t>图 3：PC 端新建协同申请</w:t>
      </w:r>
    </w:p>
    <w:p w14:paraId="5176D6EB">
      <w:pPr>
        <w:keepNext/>
        <w:spacing w:before="120" w:after="60"/>
        <w:jc w:val="center"/>
      </w:pPr>
      <w:r>
        <w:drawing>
          <wp:inline distT="0" distB="0" distL="114300" distR="114300">
            <wp:extent cx="2377440" cy="5153660"/>
            <wp:effectExtent l="0" t="0" r="10160" b="2540"/>
            <wp:docPr id="4" name="Picture 4" descr="Image: 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: image4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38B21">
      <w:pPr>
        <w:keepNext w:val="0"/>
        <w:spacing w:after="180"/>
        <w:jc w:val="center"/>
      </w:pPr>
      <w:r>
        <w:rPr>
          <w:rFonts w:ascii="Songti SC" w:hAnsi="Songti SC" w:eastAsia="Songti SC"/>
          <w:b w:val="0"/>
          <w:i/>
          <w:color w:val="666666"/>
          <w:sz w:val="18"/>
        </w:rPr>
        <w:t>图 4：移动端新增协同申请</w:t>
      </w:r>
    </w:p>
    <w:p w14:paraId="0C198B57">
      <w:pPr>
        <w:pStyle w:val="3"/>
      </w:pPr>
      <w:r>
        <w:rPr>
          <w:rFonts w:ascii="Songti SC" w:hAnsi="Songti SC" w:eastAsia="Songti SC"/>
          <w:b/>
          <w:i w:val="0"/>
          <w:color w:val="262626"/>
          <w:sz w:val="24"/>
        </w:rPr>
        <w:t>3.3 业务类型决定审批路线</w:t>
      </w:r>
    </w:p>
    <w:p w14:paraId="1BE6F7F3">
      <w:pPr>
        <w:spacing w:before="0" w:after="140" w:line="360" w:lineRule="auto"/>
        <w:ind w:firstLine="420"/>
        <w:jc w:val="both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现有截图中，投行和研究申请走的是两套审批路线。</w:t>
      </w:r>
    </w:p>
    <w:tbl>
      <w:tblPr>
        <w:tblStyle w:val="35"/>
        <w:tblW w:w="90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1"/>
        <w:gridCol w:w="7259"/>
      </w:tblGrid>
      <w:tr w14:paraId="49BE33A5">
        <w:trPr>
          <w:tblHeader/>
          <w:jc w:val="center"/>
        </w:trPr>
        <w:tc>
          <w:tcPr>
            <w:tcW w:w="1741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4C5FA2">
            <w:pPr>
              <w:spacing w:after="0" w:line="276" w:lineRule="auto"/>
              <w:jc w:val="center"/>
            </w:pPr>
            <w:r>
              <w:rPr>
                <w:rFonts w:ascii="Songti SC" w:hAnsi="Songti SC" w:eastAsia="Songti SC"/>
                <w:b/>
                <w:i w:val="0"/>
                <w:color w:val="262626"/>
                <w:sz w:val="19"/>
              </w:rPr>
              <w:t>业务类别</w:t>
            </w:r>
          </w:p>
        </w:tc>
        <w:tc>
          <w:tcPr>
            <w:tcW w:w="7259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3DD72">
            <w:pPr>
              <w:spacing w:after="0" w:line="276" w:lineRule="auto"/>
              <w:jc w:val="center"/>
            </w:pPr>
            <w:r>
              <w:rPr>
                <w:rFonts w:ascii="Songti SC" w:hAnsi="Songti SC" w:eastAsia="Songti SC"/>
                <w:b/>
                <w:i w:val="0"/>
                <w:color w:val="262626"/>
                <w:sz w:val="19"/>
              </w:rPr>
              <w:t>已观察到的主要节点</w:t>
            </w:r>
          </w:p>
        </w:tc>
      </w:tr>
      <w:tr w14:paraId="784F00F9">
        <w:trPr>
          <w:jc w:val="center"/>
        </w:trPr>
        <w:tc>
          <w:tcPr>
            <w:tcW w:w="174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69BAED">
            <w:pPr>
              <w:spacing w:after="0" w:line="276" w:lineRule="auto"/>
              <w:jc w:val="left"/>
            </w:pPr>
            <w:r>
              <w:rPr>
                <w:rFonts w:ascii="Songti SC" w:hAnsi="Songti SC" w:eastAsia="Songti SC"/>
                <w:b w:val="0"/>
                <w:i w:val="0"/>
                <w:color w:val="262626"/>
                <w:sz w:val="18"/>
              </w:rPr>
              <w:t>投行</w:t>
            </w:r>
          </w:p>
        </w:tc>
        <w:tc>
          <w:tcPr>
            <w:tcW w:w="725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56C28">
            <w:pPr>
              <w:spacing w:after="0" w:line="276" w:lineRule="auto"/>
              <w:jc w:val="left"/>
            </w:pPr>
            <w:r>
              <w:rPr>
                <w:rFonts w:ascii="Songti SC" w:hAnsi="Songti SC" w:eastAsia="Songti SC"/>
                <w:b w:val="0"/>
                <w:i w:val="0"/>
                <w:color w:val="262626"/>
                <w:sz w:val="18"/>
              </w:rPr>
              <w:t>提交 → 本部负责人审核 → 投行综合部审核（抄送投行协同部）→ 投行部门负责人审核 → 完成</w:t>
            </w:r>
          </w:p>
        </w:tc>
      </w:tr>
      <w:tr w14:paraId="4CD3B2F2">
        <w:trPr>
          <w:jc w:val="center"/>
        </w:trPr>
        <w:tc>
          <w:tcPr>
            <w:tcW w:w="174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63CDA3">
            <w:pPr>
              <w:spacing w:after="0" w:line="276" w:lineRule="auto"/>
              <w:jc w:val="left"/>
            </w:pPr>
            <w:r>
              <w:rPr>
                <w:rFonts w:ascii="Songti SC" w:hAnsi="Songti SC" w:eastAsia="Songti SC"/>
                <w:b w:val="0"/>
                <w:i w:val="0"/>
                <w:color w:val="262626"/>
                <w:sz w:val="18"/>
              </w:rPr>
              <w:t>研究</w:t>
            </w:r>
          </w:p>
        </w:tc>
        <w:tc>
          <w:tcPr>
            <w:tcW w:w="725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28928F">
            <w:pPr>
              <w:spacing w:after="0" w:line="276" w:lineRule="auto"/>
              <w:jc w:val="left"/>
            </w:pPr>
            <w:r>
              <w:rPr>
                <w:rFonts w:ascii="Songti SC" w:hAnsi="Songti SC" w:eastAsia="Songti SC"/>
                <w:b w:val="0"/>
                <w:i w:val="0"/>
                <w:color w:val="262626"/>
                <w:sz w:val="18"/>
              </w:rPr>
              <w:t>提交 → 研究系统管理员审核 → 研究院中心主任审核 → 研究院负责人审核 → 客户经理确认 → 完成</w:t>
            </w:r>
          </w:p>
        </w:tc>
      </w:tr>
    </w:tbl>
    <w:p w14:paraId="681C6B4E">
      <w:pPr>
        <w:spacing w:after="40"/>
      </w:pPr>
    </w:p>
    <w:p w14:paraId="64153B3D">
      <w:pPr>
        <w:keepNext/>
        <w:spacing w:before="120" w:after="60"/>
        <w:jc w:val="center"/>
      </w:pPr>
      <w:r>
        <w:drawing>
          <wp:inline distT="0" distB="0" distL="114300" distR="114300">
            <wp:extent cx="5394960" cy="2819400"/>
            <wp:effectExtent l="0" t="0" r="15240" b="0"/>
            <wp:docPr id="5" name="Picture 5" descr="Image: 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: image5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1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BF4DB">
      <w:pPr>
        <w:keepNext w:val="0"/>
        <w:spacing w:after="180"/>
        <w:jc w:val="center"/>
      </w:pPr>
      <w:r>
        <w:rPr>
          <w:rFonts w:ascii="Songti SC" w:hAnsi="Songti SC" w:eastAsia="Songti SC"/>
          <w:b w:val="0"/>
          <w:i/>
          <w:color w:val="666666"/>
          <w:sz w:val="18"/>
        </w:rPr>
        <w:t>图 5：投行业务审批记录</w:t>
      </w:r>
    </w:p>
    <w:p w14:paraId="69081002">
      <w:pPr>
        <w:keepNext/>
        <w:spacing w:before="120" w:after="60"/>
        <w:jc w:val="center"/>
      </w:pPr>
      <w:r>
        <w:drawing>
          <wp:inline distT="0" distB="0" distL="114300" distR="114300">
            <wp:extent cx="5394960" cy="2834005"/>
            <wp:effectExtent l="0" t="0" r="15240" b="10795"/>
            <wp:docPr id="6" name="Picture 6" descr="Image: 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: image6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3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62BA8">
      <w:pPr>
        <w:keepNext w:val="0"/>
        <w:spacing w:after="180"/>
        <w:jc w:val="center"/>
      </w:pPr>
      <w:r>
        <w:rPr>
          <w:rFonts w:ascii="Songti SC" w:hAnsi="Songti SC" w:eastAsia="Songti SC"/>
          <w:b w:val="0"/>
          <w:i/>
          <w:color w:val="666666"/>
          <w:sz w:val="18"/>
        </w:rPr>
        <w:t>图 6：研究业务审批记录</w:t>
      </w:r>
    </w:p>
    <w:p w14:paraId="1AD65548">
      <w:pPr>
        <w:spacing w:before="0" w:after="140" w:line="360" w:lineRule="auto"/>
        <w:ind w:firstLine="420"/>
        <w:jc w:val="both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这组差异说明，协同管理已经把业务分类和组织职责联系起来。投行、研究之外的业务路线还需要继续取样，现阶段不宜根据两个样本推完整规则。</w:t>
      </w:r>
    </w:p>
    <w:p w14:paraId="1BF0381E">
      <w:pPr>
        <w:pStyle w:val="2"/>
        <w:pageBreakBefore w:val="0"/>
      </w:pPr>
      <w:r>
        <w:rPr>
          <w:rFonts w:ascii="Songti SC" w:hAnsi="Songti SC" w:eastAsia="Songti SC"/>
          <w:b/>
          <w:i w:val="0"/>
          <w:color w:val="262626"/>
          <w:sz w:val="30"/>
        </w:rPr>
        <w:t>四、商机广场：让零散商机进入公司视野</w:t>
      </w:r>
    </w:p>
    <w:p w14:paraId="5E81E88F">
      <w:pPr>
        <w:pStyle w:val="3"/>
      </w:pPr>
      <w:r>
        <w:rPr>
          <w:rFonts w:ascii="Songti SC" w:hAnsi="Songti SC" w:eastAsia="Songti SC"/>
          <w:b/>
          <w:i w:val="0"/>
          <w:color w:val="262626"/>
          <w:sz w:val="24"/>
        </w:rPr>
        <w:t>4.1 产品定位</w:t>
      </w:r>
    </w:p>
    <w:p w14:paraId="7282FB23">
      <w:pPr>
        <w:spacing w:before="0" w:after="140" w:line="360" w:lineRule="auto"/>
        <w:ind w:firstLine="420"/>
        <w:jc w:val="both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根据 商机广场 PRD，商机广场是一款移动端投行并购重组商机撮合应用。它连接商机提报方和潜在合作方，通过标准字段、运营审核和认领机制提高匹配效率。</w:t>
      </w:r>
    </w:p>
    <w:p w14:paraId="257EDEA6">
      <w:pPr>
        <w:spacing w:before="0" w:after="140" w:line="360" w:lineRule="auto"/>
        <w:ind w:firstLine="420"/>
        <w:jc w:val="both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普通用户可以发布、浏览和认领商机，也可以处理自己所发商机收到的认领申请；运营人员负责审核和评级。平台里流转的核心记录是一条商机，以及围绕它产生的认领关系。</w:t>
      </w:r>
    </w:p>
    <w:p w14:paraId="53A8C652">
      <w:pPr>
        <w:pStyle w:val="3"/>
      </w:pPr>
      <w:r>
        <w:rPr>
          <w:rFonts w:ascii="Songti SC" w:hAnsi="Songti SC" w:eastAsia="Songti SC"/>
          <w:b/>
          <w:i w:val="0"/>
          <w:color w:val="262626"/>
          <w:sz w:val="24"/>
        </w:rPr>
        <w:t>4.2 商机类型</w:t>
      </w:r>
    </w:p>
    <w:p w14:paraId="5DEB1F97">
      <w:pPr>
        <w:spacing w:before="0" w:after="140" w:line="360" w:lineRule="auto"/>
        <w:ind w:firstLine="420"/>
        <w:jc w:val="both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当前发布页提供七种选择：</w:t>
      </w:r>
    </w:p>
    <w:p w14:paraId="76951D8F">
      <w:pPr>
        <w:pStyle w:val="29"/>
        <w:spacing w:after="80" w:line="300" w:lineRule="auto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出售上市公司控制权；</w:t>
      </w:r>
    </w:p>
    <w:p w14:paraId="53F2D753">
      <w:pPr>
        <w:pStyle w:val="29"/>
        <w:spacing w:after="80" w:line="300" w:lineRule="auto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收购上市公司控制权；</w:t>
      </w:r>
    </w:p>
    <w:p w14:paraId="55B4D7F0">
      <w:pPr>
        <w:pStyle w:val="29"/>
        <w:spacing w:after="80" w:line="300" w:lineRule="auto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标的公司出售；</w:t>
      </w:r>
    </w:p>
    <w:p w14:paraId="0459A915">
      <w:pPr>
        <w:pStyle w:val="29"/>
        <w:spacing w:after="80" w:line="300" w:lineRule="auto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上市公司收购标的公司；</w:t>
      </w:r>
    </w:p>
    <w:p w14:paraId="6B8FA7BA">
      <w:pPr>
        <w:pStyle w:val="29"/>
        <w:spacing w:after="80" w:line="300" w:lineRule="auto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标的公司的融资需求；</w:t>
      </w:r>
    </w:p>
    <w:p w14:paraId="71E6EACF">
      <w:pPr>
        <w:pStyle w:val="29"/>
        <w:spacing w:after="80" w:line="300" w:lineRule="auto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资金方的投资需求；</w:t>
      </w:r>
    </w:p>
    <w:p w14:paraId="47ECBB82">
      <w:pPr>
        <w:pStyle w:val="29"/>
        <w:spacing w:after="80" w:line="300" w:lineRule="auto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其他。</w:t>
      </w:r>
    </w:p>
    <w:p w14:paraId="6AE3C4CD">
      <w:pPr>
        <w:keepNext/>
        <w:spacing w:before="120" w:after="60"/>
        <w:jc w:val="center"/>
      </w:pPr>
      <w:r>
        <w:drawing>
          <wp:inline distT="0" distB="0" distL="114300" distR="114300">
            <wp:extent cx="2377440" cy="5153660"/>
            <wp:effectExtent l="0" t="0" r="10160" b="2540"/>
            <wp:docPr id="7" name="Picture 7" descr="Image: 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: image7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905F3">
      <w:pPr>
        <w:spacing w:after="160"/>
        <w:jc w:val="center"/>
      </w:pPr>
      <w:r>
        <w:rPr>
          <w:rFonts w:ascii="Songti SC" w:hAnsi="Songti SC" w:eastAsia="Songti SC"/>
          <w:b w:val="0"/>
          <w:i/>
          <w:color w:val="666666"/>
          <w:sz w:val="18"/>
        </w:rPr>
        <w:t>图 7：发布商机的第一步。分类集中在控制权交易、标的交易和投融资需求。</w:t>
      </w:r>
    </w:p>
    <w:p w14:paraId="1802C268">
      <w:pPr>
        <w:spacing w:before="0" w:after="140" w:line="360" w:lineRule="auto"/>
        <w:ind w:firstLine="420"/>
        <w:jc w:val="both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这套分类让提报内容从一开始就带有业务含义，后续筛选、审核和匹配都有了统一口径。随着真实数据积累，还可以比较不同类型的供给量、认领速度和撮合成功率。</w:t>
      </w:r>
    </w:p>
    <w:p w14:paraId="697E1025">
      <w:pPr>
        <w:pStyle w:val="3"/>
      </w:pPr>
      <w:r>
        <w:rPr>
          <w:rFonts w:ascii="Songti SC" w:hAnsi="Songti SC" w:eastAsia="Songti SC"/>
          <w:b/>
          <w:i w:val="0"/>
          <w:color w:val="262626"/>
          <w:sz w:val="24"/>
        </w:rPr>
        <w:t>4.3 商机如何流转</w:t>
      </w:r>
    </w:p>
    <w:p w14:paraId="2F6829E4">
      <w:pPr>
        <w:spacing w:before="0" w:after="140" w:line="360" w:lineRule="auto"/>
        <w:ind w:firstLine="420"/>
        <w:jc w:val="both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发布流程分为商机概况、企业信息、详细需求、联系信息和预览提交五步。提交后由运营人员审核，通过后展示在广场；审核驳回时，提报人可以修改后再次提交。</w:t>
      </w:r>
    </w:p>
    <w:p w14:paraId="7FCBF740">
      <w:pPr>
        <w:spacing w:before="0" w:after="140" w:line="360" w:lineRule="auto"/>
        <w:ind w:firstLine="420"/>
        <w:jc w:val="both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上架后的处理顺序为：</w:t>
      </w:r>
    </w:p>
    <w:p w14:paraId="7B311967">
      <w:pPr>
        <w:shd w:val="clear" w:fill="F2F2F2"/>
        <w:spacing w:before="0" w:after="160" w:line="300" w:lineRule="auto"/>
        <w:ind w:left="255" w:right="255"/>
        <w:jc w:val="both"/>
      </w:pPr>
      <w:r>
        <w:rPr>
          <w:rFonts w:ascii="Songti SC" w:hAnsi="Songti SC" w:eastAsia="Songti SC"/>
          <w:b w:val="0"/>
          <w:i w:val="0"/>
          <w:color w:val="262626"/>
          <w:sz w:val="21"/>
        </w:rPr>
        <w:t>浏览与筛选 → 提交认领申请 → 提报人查看申请 → 双方线下沟通 → 确认匹配结果</w:t>
      </w:r>
    </w:p>
    <w:p w14:paraId="23FF2741">
      <w:pPr>
        <w:spacing w:before="0" w:after="140" w:line="360" w:lineRule="auto"/>
        <w:ind w:firstLine="420"/>
        <w:jc w:val="both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PRD 还规定了联系方式脱敏、商机有效期、多条认领申请并存、最终确认一条匹配结果等规则。线索只有得到保护，提报人才愿意把真实机会放进平台；规则越清楚，平台越容易积累稳定供给。</w:t>
      </w:r>
    </w:p>
    <w:p w14:paraId="31F5591C">
      <w:pPr>
        <w:spacing w:before="0" w:after="140" w:line="360" w:lineRule="auto"/>
        <w:ind w:firstLine="420"/>
        <w:jc w:val="both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完整操作证据见 商机广场全流程操作文档 和 分角色操作文档。</w:t>
      </w:r>
    </w:p>
    <w:p w14:paraId="1373B40B">
      <w:pPr>
        <w:pStyle w:val="2"/>
        <w:pageBreakBefore w:val="0"/>
      </w:pPr>
      <w:r>
        <w:rPr>
          <w:rFonts w:ascii="Songti SC" w:hAnsi="Songti SC" w:eastAsia="Songti SC"/>
          <w:b/>
          <w:i w:val="0"/>
          <w:color w:val="262626"/>
          <w:sz w:val="30"/>
        </w:rPr>
        <w:t>五、行业与市场调查</w:t>
      </w:r>
    </w:p>
    <w:p w14:paraId="4F94F854">
      <w:pPr>
        <w:pStyle w:val="3"/>
      </w:pPr>
      <w:r>
        <w:rPr>
          <w:rFonts w:ascii="Songti SC" w:hAnsi="Songti SC" w:eastAsia="Songti SC"/>
          <w:b/>
          <w:i w:val="0"/>
          <w:color w:val="262626"/>
          <w:sz w:val="24"/>
        </w:rPr>
        <w:t>5.1 并购市场重新活跃，商机供给有现实基础</w:t>
      </w:r>
    </w:p>
    <w:p w14:paraId="675095B6">
      <w:pPr>
        <w:spacing w:before="0" w:after="140" w:line="360" w:lineRule="auto"/>
        <w:ind w:firstLine="420"/>
        <w:jc w:val="both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普华永道发布的《2025年中国企业并购市场回顾及展望》显示，2025 年中国企业并购市场披露交易总额超过 4,000 亿美元，同比增长 47%；交易数量超过 12,000 宗，增幅接近 20%。境内战略投资交易额达到 2,390 亿美元，同比增长 83%。高科技、工业品、新能源和生物医药仍是重要交易方向。</w:t>
      </w:r>
      <w:r>
        <w:fldChar w:fldCharType="begin"/>
      </w:r>
      <w:r>
        <w:instrText xml:space="preserve"> HYPERLINK "https://www.pwccn.com/zh/press-room/press-releases/pr-060226.html" \h </w:instrText>
      </w:r>
      <w:r>
        <w:fldChar w:fldCharType="separate"/>
      </w:r>
      <w:r>
        <w:rPr>
          <w:rFonts w:ascii="Songti SC" w:hAnsi="Songti SC" w:eastAsia="Songti SC"/>
          <w:color w:val="3F3F3F"/>
          <w:sz w:val="21"/>
          <w:u w:val="single"/>
        </w:rPr>
        <w:t>来源：普华永道中国</w:t>
      </w:r>
      <w:r>
        <w:rPr>
          <w:rFonts w:ascii="Songti SC" w:hAnsi="Songti SC" w:eastAsia="Songti SC"/>
          <w:color w:val="3F3F3F"/>
          <w:sz w:val="21"/>
          <w:u w:val="single"/>
        </w:rPr>
        <w:fldChar w:fldCharType="end"/>
      </w:r>
    </w:p>
    <w:p w14:paraId="6FE63C85">
      <w:pPr>
        <w:spacing w:before="0" w:after="140" w:line="360" w:lineRule="auto"/>
        <w:ind w:firstLine="420"/>
        <w:jc w:val="both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商机广场当前的七类商机正好覆盖并购交易中常见的买方、卖方、标的和资金需求。市场活跃度上升后，券商内部首先面对的是信息量增加：谁掌握卖方线索、谁认识潜在买方、哪个部门能承接，都会影响机会转化速度。结构化提报和内部撮合有明确的使用空间。</w:t>
      </w:r>
    </w:p>
    <w:p w14:paraId="17798B20">
      <w:pPr>
        <w:pStyle w:val="3"/>
      </w:pPr>
      <w:r>
        <w:rPr>
          <w:rFonts w:ascii="Songti SC" w:hAnsi="Songti SC" w:eastAsia="Songti SC"/>
          <w:b/>
          <w:i w:val="0"/>
          <w:color w:val="262626"/>
          <w:sz w:val="24"/>
        </w:rPr>
        <w:t>5.2 券商数字化开始处理组织和数据问题</w:t>
      </w:r>
    </w:p>
    <w:p w14:paraId="2808965D">
      <w:pPr>
        <w:spacing w:before="0" w:after="140" w:line="360" w:lineRule="auto"/>
        <w:ind w:firstLine="420"/>
        <w:jc w:val="both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中国证监会在关于证券行业数字化转型的公开答复中提到，《证券期货业科技发展“十四五”规划》覆盖一体化基础设施、业务数字化、数据治理、安全可控和科技治理等方向。2017 至 2022 年，证券公司在信息技术领域累计投入接近 1,500 亿元。</w:t>
      </w:r>
      <w:r>
        <w:fldChar w:fldCharType="begin"/>
      </w:r>
      <w:r>
        <w:instrText xml:space="preserve"> HYPERLINK "https://www.csrc.gov.cn/csrc/c101983/c7464240/content.shtml" \h </w:instrText>
      </w:r>
      <w:r>
        <w:fldChar w:fldCharType="separate"/>
      </w:r>
      <w:r>
        <w:rPr>
          <w:rFonts w:ascii="Songti SC" w:hAnsi="Songti SC" w:eastAsia="Songti SC"/>
          <w:color w:val="3F3F3F"/>
          <w:sz w:val="21"/>
          <w:u w:val="single"/>
        </w:rPr>
        <w:t>来源：中国证监会</w:t>
      </w:r>
      <w:r>
        <w:rPr>
          <w:rFonts w:ascii="Songti SC" w:hAnsi="Songti SC" w:eastAsia="Songti SC"/>
          <w:color w:val="3F3F3F"/>
          <w:sz w:val="21"/>
          <w:u w:val="single"/>
        </w:rPr>
        <w:fldChar w:fldCharType="end"/>
      </w:r>
    </w:p>
    <w:p w14:paraId="6A642E7E">
      <w:pPr>
        <w:spacing w:before="0" w:after="140" w:line="360" w:lineRule="auto"/>
        <w:ind w:firstLine="420"/>
        <w:jc w:val="both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中国证券业协会 2022 年发布的数字化转型报告收录了 100 篇证券公司实践案例，71% 的证券公司已经制定数字化转型战略。2025 年公布的财富管理数字化案例继续把“跨部门协同壁垒”和“信息孤岛”列为行业痛点，案例中的解决方向包括总分部权责重构、中台能力模块化和全渠道融合。</w:t>
      </w:r>
      <w:r>
        <w:fldChar w:fldCharType="begin"/>
      </w:r>
      <w:r>
        <w:instrText xml:space="preserve"> HYPERLINK "https://www.sac.net.cn/sjb/hyfw_736/xhdtsj/202211/t20221125_49815.html" \h </w:instrText>
      </w:r>
      <w:r>
        <w:fldChar w:fldCharType="separate"/>
      </w:r>
      <w:r>
        <w:rPr>
          <w:rFonts w:ascii="Songti SC" w:hAnsi="Songti SC" w:eastAsia="Songti SC"/>
          <w:color w:val="3F3F3F"/>
          <w:sz w:val="21"/>
          <w:u w:val="single"/>
        </w:rPr>
        <w:t>2022 年报告介绍</w:t>
      </w:r>
      <w:r>
        <w:rPr>
          <w:rFonts w:ascii="Songti SC" w:hAnsi="Songti SC" w:eastAsia="Songti SC"/>
          <w:color w:val="3F3F3F"/>
          <w:sz w:val="21"/>
          <w:u w:val="single"/>
        </w:rPr>
        <w:fldChar w:fldCharType="end"/>
      </w:r>
      <w:r>
        <w:rPr>
          <w:rFonts w:ascii="Songti SC" w:hAnsi="Songti SC" w:eastAsia="Songti SC"/>
          <w:b w:val="0"/>
          <w:i w:val="0"/>
          <w:color w:val="262626"/>
          <w:sz w:val="22"/>
        </w:rPr>
        <w:t xml:space="preserve"> · </w:t>
      </w:r>
      <w:r>
        <w:fldChar w:fldCharType="begin"/>
      </w:r>
      <w:r>
        <w:instrText xml:space="preserve"> HYPERLINK "https://www.sac.net.cn/sjb/tzzzj_799/zxsdwap/scyw/202508/t20250805_68218.html" \h </w:instrText>
      </w:r>
      <w:r>
        <w:fldChar w:fldCharType="separate"/>
      </w:r>
      <w:r>
        <w:rPr>
          <w:rFonts w:ascii="Songti SC" w:hAnsi="Songti SC" w:eastAsia="Songti SC"/>
          <w:color w:val="3F3F3F"/>
          <w:sz w:val="21"/>
          <w:u w:val="single"/>
        </w:rPr>
        <w:t>2025 年案例介绍</w:t>
      </w:r>
      <w:r>
        <w:rPr>
          <w:rFonts w:ascii="Songti SC" w:hAnsi="Songti SC" w:eastAsia="Songti SC"/>
          <w:color w:val="3F3F3F"/>
          <w:sz w:val="21"/>
          <w:u w:val="single"/>
        </w:rPr>
        <w:fldChar w:fldCharType="end"/>
      </w:r>
    </w:p>
    <w:p w14:paraId="29F99EB6">
      <w:pPr>
        <w:spacing w:before="0" w:after="140" w:line="360" w:lineRule="auto"/>
        <w:ind w:firstLine="420"/>
        <w:jc w:val="both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这些行业动作和手拉手面对的问题很接近：营业部与总部之间需要稳定的协作路径，分散在个人手里的客户和机会信息也需要进入公司级平台。</w:t>
      </w:r>
    </w:p>
    <w:p w14:paraId="4B3C54D5">
      <w:pPr>
        <w:pStyle w:val="3"/>
      </w:pPr>
      <w:r>
        <w:rPr>
          <w:rFonts w:ascii="Songti SC" w:hAnsi="Songti SC" w:eastAsia="Songti SC"/>
          <w:b/>
          <w:i w:val="0"/>
          <w:color w:val="262626"/>
          <w:sz w:val="24"/>
        </w:rPr>
        <w:t>5.3 统一工作台还要服从金融行业的管理要求</w:t>
      </w:r>
    </w:p>
    <w:p w14:paraId="2FFF6B21">
      <w:pPr>
        <w:spacing w:before="0" w:after="140" w:line="360" w:lineRule="auto"/>
        <w:ind w:firstLine="420"/>
        <w:jc w:val="both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《证券基金经营机构信息技术管理办法》要求经营机构加强数据应用，实现同一客户、同类业务统一管理。对手拉手来说，统一入口只是表面，客户、企业、联系人、部门和权限能否使用同一口径更加关键。</w:t>
      </w:r>
      <w:r>
        <w:fldChar w:fldCharType="begin"/>
      </w:r>
      <w:r>
        <w:instrText xml:space="preserve"> HYPERLINK "https://www.csrc.gov.cn/csrc/c106256/c1653896/content.shtml" \h </w:instrText>
      </w:r>
      <w:r>
        <w:fldChar w:fldCharType="separate"/>
      </w:r>
      <w:r>
        <w:rPr>
          <w:rFonts w:ascii="Songti SC" w:hAnsi="Songti SC" w:eastAsia="Songti SC"/>
          <w:color w:val="3F3F3F"/>
          <w:sz w:val="21"/>
          <w:u w:val="single"/>
        </w:rPr>
        <w:t>来源：中国证监会</w:t>
      </w:r>
      <w:r>
        <w:rPr>
          <w:rFonts w:ascii="Songti SC" w:hAnsi="Songti SC" w:eastAsia="Songti SC"/>
          <w:color w:val="3F3F3F"/>
          <w:sz w:val="21"/>
          <w:u w:val="single"/>
        </w:rPr>
        <w:fldChar w:fldCharType="end"/>
      </w:r>
    </w:p>
    <w:p w14:paraId="0D967C9C">
      <w:pPr>
        <w:spacing w:before="0" w:after="140" w:line="360" w:lineRule="auto"/>
        <w:ind w:firstLine="420"/>
        <w:jc w:val="both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因此，这个项目的市场价值更适合用内部经营指标衡量：商机是否更快找到对接方，协同需求是否更快到达专业部门，客户信息是否减少重复录入，管理者是否能够看到真实进度。</w:t>
      </w:r>
    </w:p>
    <w:p w14:paraId="6BCAA51B">
      <w:pPr>
        <w:pStyle w:val="2"/>
        <w:pageBreakBefore w:val="0"/>
      </w:pPr>
      <w:r>
        <w:rPr>
          <w:rFonts w:ascii="Songti SC" w:hAnsi="Songti SC" w:eastAsia="Songti SC"/>
          <w:b/>
          <w:i w:val="0"/>
          <w:color w:val="262626"/>
          <w:sz w:val="30"/>
        </w:rPr>
        <w:t>六、公开资料调查与同行参照</w:t>
      </w:r>
    </w:p>
    <w:p w14:paraId="196E64FC">
      <w:pPr>
        <w:pStyle w:val="3"/>
      </w:pPr>
      <w:r>
        <w:rPr>
          <w:rFonts w:ascii="Songti SC" w:hAnsi="Songti SC" w:eastAsia="Songti SC"/>
          <w:b/>
          <w:i w:val="0"/>
          <w:color w:val="262626"/>
          <w:sz w:val="24"/>
        </w:rPr>
        <w:t>6.1 调查说明</w:t>
      </w:r>
    </w:p>
    <w:p w14:paraId="28C1A3E2">
      <w:pPr>
        <w:spacing w:before="0" w:after="140" w:line="360" w:lineRule="auto"/>
        <w:ind w:firstLine="420"/>
        <w:jc w:val="both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国内券商内部系统很少公开页面和流程，目前没有找到与手拉手功能范围完全重合的公开产品。本节只根据年报、产品官网和官方帮助文档进行桌面调研，用于了解行业建设方向，不对外部产品的页面、使用体验和实际效果作出判断。</w:t>
      </w:r>
    </w:p>
    <w:p w14:paraId="1F0C0432">
      <w:pPr>
        <w:pStyle w:val="3"/>
      </w:pPr>
      <w:r>
        <w:rPr>
          <w:rFonts w:ascii="Songti SC" w:hAnsi="Songti SC" w:eastAsia="Songti SC"/>
          <w:b/>
          <w:i w:val="0"/>
          <w:color w:val="262626"/>
          <w:sz w:val="24"/>
        </w:rPr>
        <w:t>6.2 华泰证券：国内同行建设案例</w:t>
      </w:r>
    </w:p>
    <w:p w14:paraId="618651C1">
      <w:pPr>
        <w:spacing w:before="0" w:after="140" w:line="360" w:lineRule="auto"/>
        <w:ind w:firstLine="420"/>
        <w:jc w:val="both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华泰证券 2024 年度报告披露了“行知”“青云”“投行云”等平台，并提到对内“一个客户”、对外“一个华泰”、内外“一体运营”的建设思路。这是国内券商的内部平台建设案例，可以帮助我们理解客户数据、专业业务系统和员工工作入口如何逐步整合。</w:t>
      </w:r>
    </w:p>
    <w:p w14:paraId="13AF0C30">
      <w:pPr>
        <w:spacing w:before="0" w:after="140" w:line="360" w:lineRule="auto"/>
        <w:ind w:firstLine="420"/>
        <w:jc w:val="both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年报没有披露详细页面和完整操作流程，因此本报告只参考其平台化和统一客户口径的建设方向，不将具体功能与手拉手直接对比。</w:t>
      </w:r>
    </w:p>
    <w:p w14:paraId="59960338">
      <w:pPr>
        <w:pStyle w:val="3"/>
      </w:pPr>
      <w:r>
        <w:rPr>
          <w:rFonts w:ascii="Songti SC" w:hAnsi="Songti SC" w:eastAsia="Songti SC"/>
          <w:b/>
          <w:i w:val="0"/>
          <w:color w:val="262626"/>
          <w:sz w:val="24"/>
        </w:rPr>
        <w:t>6.3 Intapp DealCloud：海外投行软件的公开资料</w:t>
      </w:r>
    </w:p>
    <w:p w14:paraId="11714FBC">
      <w:pPr>
        <w:spacing w:before="0" w:after="140" w:line="360" w:lineRule="auto"/>
        <w:ind w:firstLine="420"/>
        <w:jc w:val="both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Intapp 官方将 DealCloud 定位为面向投资银行和顾问机构的 CRM 与交易管理平台。官方资料展示的能力包括客户与机构关系管理、业务机会与项目管道、交易执行、权限和合规控制。</w:t>
      </w:r>
    </w:p>
    <w:p w14:paraId="2BD4FE35">
      <w:pPr>
        <w:spacing w:before="0" w:after="140" w:line="360" w:lineRule="auto"/>
        <w:ind w:firstLine="420"/>
        <w:jc w:val="both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这些公开信息可以说明，在投行场景中集中管理企业、联系人、历史沟通和项目进展，是一种已有商业化产品实践的方向。但由于本次没有登录或试用该产品，报告不评价其界面设计和使用效果，也不假定它具有与商机广场或协同审批完全相同的流程。</w:t>
      </w:r>
    </w:p>
    <w:p w14:paraId="3E70FC71">
      <w:pPr>
        <w:pStyle w:val="3"/>
      </w:pPr>
      <w:r>
        <w:rPr>
          <w:rFonts w:ascii="Songti SC" w:hAnsi="Songti SC" w:eastAsia="Songti SC"/>
          <w:b/>
          <w:i w:val="0"/>
          <w:color w:val="262626"/>
          <w:sz w:val="24"/>
        </w:rPr>
        <w:t>6.4 本次调查可以支持的结论</w:t>
      </w:r>
    </w:p>
    <w:p w14:paraId="00211209">
      <w:pPr>
        <w:spacing w:before="0" w:after="140" w:line="360" w:lineRule="auto"/>
        <w:ind w:firstLine="420"/>
        <w:jc w:val="both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结合国内同行年报和 DealCloud 官方资料，可以保留一个较为稳妥的判断：当商机、协同和客户管理都涉及同一家企业时，统一企业、联系人和项目基础数据，有助于减少重复建档和信息分散。</w:t>
      </w:r>
    </w:p>
    <w:p w14:paraId="1A34080B">
      <w:pPr>
        <w:spacing w:before="0" w:after="140" w:line="360" w:lineRule="auto"/>
        <w:ind w:firstLine="420"/>
        <w:jc w:val="both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本报告后续对移动端入口、PC 商机面板和协同进度展示的建议，均来自手拉手当前页面、实际流程和内部材料，不以外部软件作为直接依据。</w:t>
      </w:r>
    </w:p>
    <w:p w14:paraId="14CA6D59">
      <w:pPr>
        <w:spacing w:before="0" w:after="60" w:line="300" w:lineRule="auto"/>
        <w:jc w:val="both"/>
      </w:pPr>
      <w:r>
        <w:rPr>
          <w:rFonts w:ascii="Songti SC" w:hAnsi="Songti SC" w:eastAsia="Songti SC"/>
          <w:b/>
          <w:i w:val="0"/>
          <w:color w:val="3F3F3F"/>
          <w:sz w:val="20"/>
        </w:rPr>
        <w:t>资料来源：</w:t>
      </w:r>
      <w:r>
        <w:fldChar w:fldCharType="begin"/>
      </w:r>
      <w:r>
        <w:instrText xml:space="preserve"> HYPERLINK "https://crm.htsc.com.cn/pdf_finchina/CNSESH_STOCK/2025/2025-3/2025-03-29/10827725.pdf" \h </w:instrText>
      </w:r>
      <w:r>
        <w:fldChar w:fldCharType="separate"/>
      </w:r>
      <w:r>
        <w:rPr>
          <w:rFonts w:ascii="Songti SC" w:hAnsi="Songti SC" w:eastAsia="Songti SC"/>
          <w:b/>
          <w:i w:val="0"/>
          <w:color w:val="3F3F3F"/>
          <w:sz w:val="20"/>
          <w:u w:val="single"/>
        </w:rPr>
        <w:t>华泰证券 2024 年度报告</w:t>
      </w:r>
      <w:r>
        <w:rPr>
          <w:rFonts w:ascii="Songti SC" w:hAnsi="Songti SC" w:eastAsia="Songti SC"/>
          <w:b/>
          <w:i w:val="0"/>
          <w:color w:val="3F3F3F"/>
          <w:sz w:val="20"/>
          <w:u w:val="single"/>
        </w:rPr>
        <w:fldChar w:fldCharType="end"/>
      </w:r>
      <w:r>
        <w:rPr>
          <w:rFonts w:ascii="Songti SC" w:hAnsi="Songti SC" w:eastAsia="Songti SC"/>
          <w:b/>
          <w:i w:val="0"/>
          <w:color w:val="3F3F3F"/>
          <w:sz w:val="20"/>
        </w:rPr>
        <w:t xml:space="preserve"> · </w:t>
      </w:r>
      <w:r>
        <w:fldChar w:fldCharType="begin"/>
      </w:r>
      <w:r>
        <w:instrText xml:space="preserve"> HYPERLINK "https://www.intapp.com/crm-deal-management-software-investment-banking/" \h </w:instrText>
      </w:r>
      <w:r>
        <w:fldChar w:fldCharType="separate"/>
      </w:r>
      <w:r>
        <w:rPr>
          <w:rFonts w:ascii="Songti SC" w:hAnsi="Songti SC" w:eastAsia="Songti SC"/>
          <w:b/>
          <w:i w:val="0"/>
          <w:color w:val="3F3F3F"/>
          <w:sz w:val="20"/>
          <w:u w:val="single"/>
        </w:rPr>
        <w:t>Intapp DealCloud 投资银行解决方案</w:t>
      </w:r>
      <w:r>
        <w:rPr>
          <w:rFonts w:ascii="Songti SC" w:hAnsi="Songti SC" w:eastAsia="Songti SC"/>
          <w:b/>
          <w:i w:val="0"/>
          <w:color w:val="3F3F3F"/>
          <w:sz w:val="20"/>
          <w:u w:val="single"/>
        </w:rPr>
        <w:fldChar w:fldCharType="end"/>
      </w:r>
    </w:p>
    <w:p w14:paraId="7FB98BC9">
      <w:pPr>
        <w:pStyle w:val="2"/>
        <w:pageBreakBefore w:val="0"/>
      </w:pPr>
      <w:r>
        <w:rPr>
          <w:rFonts w:ascii="Songti SC" w:hAnsi="Songti SC" w:eastAsia="Songti SC"/>
          <w:b/>
          <w:i w:val="0"/>
          <w:color w:val="262626"/>
          <w:sz w:val="30"/>
        </w:rPr>
        <w:t>七、当前问题与产品建议</w:t>
      </w:r>
    </w:p>
    <w:p w14:paraId="37712FA0">
      <w:pPr>
        <w:pStyle w:val="3"/>
      </w:pPr>
      <w:r>
        <w:rPr>
          <w:rFonts w:ascii="Songti SC" w:hAnsi="Songti SC" w:eastAsia="Songti SC"/>
          <w:b/>
          <w:i w:val="0"/>
          <w:color w:val="262626"/>
          <w:sz w:val="24"/>
        </w:rPr>
        <w:t>7.1 移动端协同入口需要收拢</w:t>
      </w:r>
    </w:p>
    <w:p w14:paraId="2C35EA19">
      <w:pPr>
        <w:spacing w:before="0" w:after="140" w:line="360" w:lineRule="auto"/>
        <w:ind w:firstLine="420"/>
        <w:jc w:val="both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目前移动工作台把“协同申请”和“协同申请审批”做成两个并列入口，而商机广场使用一个完整入口。这个差异会带来三个问题：</w:t>
      </w:r>
    </w:p>
    <w:p w14:paraId="333C937A">
      <w:pPr>
        <w:pStyle w:val="23"/>
        <w:spacing w:after="80" w:line="300" w:lineRule="auto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移动端和 PC 端的名称对不上。PC 用户熟悉的是“协同管理”，到了手机上需要重新理解两个入口；</w:t>
      </w:r>
    </w:p>
    <w:p w14:paraId="729FBB2A">
      <w:pPr>
        <w:pStyle w:val="23"/>
        <w:spacing w:after="80" w:line="300" w:lineRule="auto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“申请”和“审批”是同一条协同记录上的不同动作，拆开后看不到完整上下文；</w:t>
      </w:r>
    </w:p>
    <w:p w14:paraId="7EB4F183">
      <w:pPr>
        <w:pStyle w:val="23"/>
        <w:spacing w:after="80" w:line="300" w:lineRule="auto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普通用户与审批人权限不同，入口长期并列会占用工作台位置，也增加判断成本。</w:t>
      </w:r>
    </w:p>
    <w:p w14:paraId="1A9195D0">
      <w:pPr>
        <w:spacing w:before="0" w:after="140" w:line="360" w:lineRule="auto"/>
        <w:ind w:firstLine="420"/>
        <w:jc w:val="both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测试环境为了分别验收申请和审批，暂时拆开入口可以理解。正式上线时建议合并为一个“协同管理”。</w:t>
      </w:r>
    </w:p>
    <w:tbl>
      <w:tblPr>
        <w:tblStyle w:val="35"/>
        <w:tblW w:w="90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0"/>
        <w:gridCol w:w="6750"/>
      </w:tblGrid>
      <w:tr w14:paraId="7EBF644C">
        <w:trPr>
          <w:tblHeader/>
          <w:jc w:val="center"/>
        </w:trPr>
        <w:tc>
          <w:tcPr>
            <w:tcW w:w="225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00E4D4">
            <w:pPr>
              <w:spacing w:after="0" w:line="276" w:lineRule="auto"/>
              <w:jc w:val="center"/>
            </w:pPr>
            <w:r>
              <w:rPr>
                <w:rFonts w:ascii="Songti SC" w:hAnsi="Songti SC" w:eastAsia="Songti SC"/>
                <w:b/>
                <w:i w:val="0"/>
                <w:color w:val="262626"/>
                <w:sz w:val="19"/>
              </w:rPr>
              <w:t>层级</w:t>
            </w:r>
          </w:p>
        </w:tc>
        <w:tc>
          <w:tcPr>
            <w:tcW w:w="675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3FB49E">
            <w:pPr>
              <w:spacing w:after="0" w:line="276" w:lineRule="auto"/>
              <w:jc w:val="center"/>
            </w:pPr>
            <w:r>
              <w:rPr>
                <w:rFonts w:ascii="Songti SC" w:hAnsi="Songti SC" w:eastAsia="Songti SC"/>
                <w:b/>
                <w:i w:val="0"/>
                <w:color w:val="262626"/>
                <w:sz w:val="19"/>
              </w:rPr>
              <w:t>建议结构</w:t>
            </w:r>
          </w:p>
        </w:tc>
      </w:tr>
      <w:tr w14:paraId="2922E68A">
        <w:trPr>
          <w:jc w:val="center"/>
        </w:trPr>
        <w:tc>
          <w:tcPr>
            <w:tcW w:w="2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49ABF5">
            <w:pPr>
              <w:spacing w:after="0" w:line="276" w:lineRule="auto"/>
              <w:jc w:val="left"/>
            </w:pPr>
            <w:r>
              <w:rPr>
                <w:rFonts w:ascii="Songti SC" w:hAnsi="Songti SC" w:eastAsia="Songti SC"/>
                <w:b w:val="0"/>
                <w:i w:val="0"/>
                <w:color w:val="262626"/>
                <w:sz w:val="18"/>
              </w:rPr>
              <w:t>长城工作台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CB3B3">
            <w:pPr>
              <w:spacing w:after="0" w:line="276" w:lineRule="auto"/>
              <w:jc w:val="left"/>
            </w:pPr>
            <w:r>
              <w:rPr>
                <w:rFonts w:ascii="Songti SC" w:hAnsi="Songti SC" w:eastAsia="Songti SC"/>
                <w:b w:val="0"/>
                <w:i w:val="0"/>
                <w:color w:val="262626"/>
                <w:sz w:val="18"/>
              </w:rPr>
              <w:t>保留一个“协同管理”入口，与 PC 端名称一致；角标展示待办数量</w:t>
            </w:r>
          </w:p>
        </w:tc>
      </w:tr>
      <w:tr w14:paraId="764A2AA1">
        <w:trPr>
          <w:jc w:val="center"/>
        </w:trPr>
        <w:tc>
          <w:tcPr>
            <w:tcW w:w="2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6FF44">
            <w:pPr>
              <w:spacing w:after="0" w:line="276" w:lineRule="auto"/>
              <w:jc w:val="left"/>
            </w:pPr>
            <w:r>
              <w:rPr>
                <w:rFonts w:ascii="Songti SC" w:hAnsi="Songti SC" w:eastAsia="Songti SC"/>
                <w:b w:val="0"/>
                <w:i w:val="0"/>
                <w:color w:val="262626"/>
                <w:sz w:val="18"/>
              </w:rPr>
              <w:t>协同管理首页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AB2C2F">
            <w:pPr>
              <w:spacing w:after="0" w:line="276" w:lineRule="auto"/>
              <w:jc w:val="left"/>
            </w:pPr>
            <w:r>
              <w:rPr>
                <w:rFonts w:ascii="Songti SC" w:hAnsi="Songti SC" w:eastAsia="Songti SC"/>
                <w:b w:val="0"/>
                <w:i w:val="0"/>
                <w:color w:val="262626"/>
                <w:sz w:val="18"/>
              </w:rPr>
              <w:t>顶部显示“待我处理”，下方使用“我发起的 / 我对接的 / 已完成”标签</w:t>
            </w:r>
          </w:p>
        </w:tc>
      </w:tr>
      <w:tr w14:paraId="6538581A">
        <w:trPr>
          <w:jc w:val="center"/>
        </w:trPr>
        <w:tc>
          <w:tcPr>
            <w:tcW w:w="2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53E85">
            <w:pPr>
              <w:spacing w:after="0" w:line="276" w:lineRule="auto"/>
              <w:jc w:val="left"/>
            </w:pPr>
            <w:r>
              <w:rPr>
                <w:rFonts w:ascii="Songti SC" w:hAnsi="Songti SC" w:eastAsia="Songti SC"/>
                <w:b w:val="0"/>
                <w:i w:val="0"/>
                <w:color w:val="262626"/>
                <w:sz w:val="18"/>
              </w:rPr>
              <w:t>发起动作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F8139E">
            <w:pPr>
              <w:spacing w:after="0" w:line="276" w:lineRule="auto"/>
              <w:jc w:val="left"/>
            </w:pPr>
            <w:r>
              <w:rPr>
                <w:rFonts w:ascii="Songti SC" w:hAnsi="Songti SC" w:eastAsia="Songti SC"/>
                <w:b w:val="0"/>
                <w:i w:val="0"/>
                <w:color w:val="262626"/>
                <w:sz w:val="18"/>
              </w:rPr>
              <w:t>使用清晰的“新建协同申请”按钮，普通用户打开后能直接发起</w:t>
            </w:r>
          </w:p>
        </w:tc>
      </w:tr>
      <w:tr w14:paraId="3F5F9469">
        <w:trPr>
          <w:jc w:val="center"/>
        </w:trPr>
        <w:tc>
          <w:tcPr>
            <w:tcW w:w="2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A72E64">
            <w:pPr>
              <w:spacing w:after="0" w:line="276" w:lineRule="auto"/>
              <w:jc w:val="left"/>
            </w:pPr>
            <w:r>
              <w:rPr>
                <w:rFonts w:ascii="Songti SC" w:hAnsi="Songti SC" w:eastAsia="Songti SC"/>
                <w:b w:val="0"/>
                <w:i w:val="0"/>
                <w:color w:val="262626"/>
                <w:sz w:val="18"/>
              </w:rPr>
              <w:t>审批动作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EC0395">
            <w:pPr>
              <w:spacing w:after="0" w:line="276" w:lineRule="auto"/>
              <w:jc w:val="left"/>
            </w:pPr>
            <w:r>
              <w:rPr>
                <w:rFonts w:ascii="Songti SC" w:hAnsi="Songti SC" w:eastAsia="Songti SC"/>
                <w:b w:val="0"/>
                <w:i w:val="0"/>
                <w:color w:val="262626"/>
                <w:sz w:val="18"/>
              </w:rPr>
              <w:t>只向有审批权限的人展示“待我审批”，进入后查看申请详情和审批记录</w:t>
            </w:r>
          </w:p>
        </w:tc>
      </w:tr>
    </w:tbl>
    <w:p w14:paraId="17BC21A3">
      <w:pPr>
        <w:spacing w:after="40"/>
      </w:pPr>
    </w:p>
    <w:p w14:paraId="61EF5E3C">
      <w:pPr>
        <w:spacing w:before="0" w:after="140" w:line="360" w:lineRule="auto"/>
        <w:ind w:firstLine="420"/>
        <w:jc w:val="both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这样处理后，用户先进入协同管理，再处理自己的任务。申请人、审批人和对接人看到的首页可以不同，产品名称和业务概念保持一致。</w:t>
      </w:r>
    </w:p>
    <w:p w14:paraId="14356549">
      <w:pPr>
        <w:pStyle w:val="3"/>
      </w:pPr>
      <w:r>
        <w:rPr>
          <w:rFonts w:ascii="Songti SC" w:hAnsi="Songti SC" w:eastAsia="Songti SC"/>
          <w:b/>
          <w:i w:val="0"/>
          <w:color w:val="262626"/>
          <w:sz w:val="24"/>
        </w:rPr>
        <w:t>7.2 PC 商机广场要说明当前状态</w:t>
      </w:r>
    </w:p>
    <w:p w14:paraId="19A3565F">
      <w:pPr>
        <w:spacing w:before="0" w:after="140" w:line="360" w:lineRule="auto"/>
        <w:ind w:firstLine="420"/>
        <w:jc w:val="both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PC 首页已经展示商机卡片，但数据还没有与移动端同步，页面也没有发布能力。若测试用户不清楚背景，容易把它当成已经上线的 PC 商机广场。</w:t>
      </w:r>
    </w:p>
    <w:p w14:paraId="3D1A0DD6">
      <w:pPr>
        <w:spacing w:before="0" w:after="140" w:line="360" w:lineRule="auto"/>
        <w:ind w:firstLine="420"/>
        <w:jc w:val="both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接入完成前，可以在面板标题旁标注“建设中”或只向测试角色开放。正式接入时需要先确定三个问题：卡片数据是否来自移动端同一商机库、PC 是否支持发布、点击“更多”后进入完整列表还是跳转移动端。</w:t>
      </w:r>
    </w:p>
    <w:p w14:paraId="29EDA22D">
      <w:pPr>
        <w:pStyle w:val="3"/>
      </w:pPr>
      <w:r>
        <w:rPr>
          <w:rFonts w:ascii="Songti SC" w:hAnsi="Songti SC" w:eastAsia="Songti SC"/>
          <w:b/>
          <w:i w:val="0"/>
          <w:color w:val="262626"/>
          <w:sz w:val="24"/>
        </w:rPr>
        <w:t>7.3 协同进度应给发起人更清楚的反馈</w:t>
      </w:r>
    </w:p>
    <w:p w14:paraId="213B5A74">
      <w:pPr>
        <w:spacing w:before="0" w:after="140" w:line="360" w:lineRule="auto"/>
        <w:ind w:firstLine="420"/>
        <w:jc w:val="both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投行和研究审批节点较多，发起人更关心“现在到谁了、停了多久、下一步是什么”。PC 和移动端都可以在详情页固定显示当前节点、当前责任角色和最近更新时间；超时后再通过待办或消息提醒处理人。</w:t>
      </w:r>
    </w:p>
    <w:p w14:paraId="0416E652">
      <w:pPr>
        <w:pStyle w:val="3"/>
      </w:pPr>
      <w:r>
        <w:rPr>
          <w:rFonts w:ascii="Songti SC" w:hAnsi="Songti SC" w:eastAsia="Songti SC"/>
          <w:b/>
          <w:i w:val="0"/>
          <w:color w:val="262626"/>
          <w:sz w:val="24"/>
        </w:rPr>
        <w:t>7.4 基础数据逐步打通</w:t>
      </w:r>
    </w:p>
    <w:p w14:paraId="34084B8B">
      <w:pPr>
        <w:spacing w:before="0" w:after="140" w:line="360" w:lineRule="auto"/>
        <w:ind w:firstLine="420"/>
        <w:jc w:val="both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商机广场、协同管理、客户管理里都会出现企业和联系人。建议先确定企业主数据和客户归属规则，再做跨模块引用。用户选择已有企业时自动带出基础资料，仍允许为本次商机或协同补充专属信息。这样既能减少重复录入，也能避免一次修改影响其他业务记录。</w:t>
      </w:r>
    </w:p>
    <w:p w14:paraId="18D9F46C">
      <w:pPr>
        <w:pStyle w:val="2"/>
        <w:pageBreakBefore w:val="0"/>
      </w:pPr>
      <w:r>
        <w:rPr>
          <w:rFonts w:ascii="Songti SC" w:hAnsi="Songti SC" w:eastAsia="Songti SC"/>
          <w:b/>
          <w:i w:val="0"/>
          <w:color w:val="262626"/>
          <w:sz w:val="30"/>
        </w:rPr>
        <w:t>八、后续应关注的数据</w:t>
      </w:r>
    </w:p>
    <w:p w14:paraId="723BAB2F">
      <w:pPr>
        <w:pStyle w:val="3"/>
      </w:pPr>
      <w:r>
        <w:rPr>
          <w:rFonts w:ascii="Songti SC" w:hAnsi="Songti SC" w:eastAsia="Songti SC"/>
          <w:b/>
          <w:i w:val="0"/>
          <w:color w:val="262626"/>
          <w:sz w:val="24"/>
        </w:rPr>
        <w:t>8.1 协同管理</w:t>
      </w:r>
    </w:p>
    <w:p w14:paraId="6738BB3C">
      <w:pPr>
        <w:pStyle w:val="23"/>
        <w:spacing w:after="80" w:line="300" w:lineRule="auto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各业务大类的申请量、审核通过率和退回原因；</w:t>
      </w:r>
    </w:p>
    <w:p w14:paraId="40D01766">
      <w:pPr>
        <w:pStyle w:val="23"/>
        <w:spacing w:after="80" w:line="300" w:lineRule="auto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从提交到首次处理、从审批到确认的平均时长；</w:t>
      </w:r>
    </w:p>
    <w:p w14:paraId="74F3181B">
      <w:pPr>
        <w:pStyle w:val="23"/>
        <w:spacing w:after="80" w:line="300" w:lineRule="auto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各节点积压数量及超时数量；</w:t>
      </w:r>
    </w:p>
    <w:p w14:paraId="24CAD3E8">
      <w:pPr>
        <w:pStyle w:val="23"/>
        <w:spacing w:after="80" w:line="300" w:lineRule="auto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协同确认后的跟进率、完成率和收入分配确认情况。</w:t>
      </w:r>
    </w:p>
    <w:p w14:paraId="55B25698">
      <w:pPr>
        <w:pStyle w:val="3"/>
      </w:pPr>
      <w:r>
        <w:rPr>
          <w:rFonts w:ascii="Songti SC" w:hAnsi="Songti SC" w:eastAsia="Songti SC"/>
          <w:b/>
          <w:i w:val="0"/>
          <w:color w:val="262626"/>
          <w:sz w:val="24"/>
        </w:rPr>
        <w:t>8.2 商机广场</w:t>
      </w:r>
    </w:p>
    <w:p w14:paraId="604F89F8">
      <w:pPr>
        <w:pStyle w:val="23"/>
        <w:spacing w:after="80" w:line="300" w:lineRule="auto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各商机类型的发布量和审核通过率；</w:t>
      </w:r>
    </w:p>
    <w:p w14:paraId="63F3E183">
      <w:pPr>
        <w:pStyle w:val="23"/>
        <w:spacing w:after="80" w:line="300" w:lineRule="auto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发布到首次认领、认领到确认撮合的时间；</w:t>
      </w:r>
    </w:p>
    <w:p w14:paraId="5F7C52D2">
      <w:pPr>
        <w:pStyle w:val="23"/>
        <w:spacing w:after="80" w:line="300" w:lineRule="auto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有效期内获得认领的商机比例；</w:t>
      </w:r>
    </w:p>
    <w:p w14:paraId="7029110A">
      <w:pPr>
        <w:pStyle w:val="23"/>
        <w:spacing w:after="80" w:line="300" w:lineRule="auto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多条认领申请的分布和最终撮合成功率；</w:t>
      </w:r>
    </w:p>
    <w:p w14:paraId="522D03CD">
      <w:pPr>
        <w:pStyle w:val="23"/>
        <w:spacing w:after="80" w:line="300" w:lineRule="auto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驳回、过期和下架的主要原因。</w:t>
      </w:r>
    </w:p>
    <w:p w14:paraId="4214E0D4">
      <w:pPr>
        <w:pStyle w:val="3"/>
      </w:pPr>
      <w:r>
        <w:rPr>
          <w:rFonts w:ascii="Songti SC" w:hAnsi="Songti SC" w:eastAsia="Songti SC"/>
          <w:b/>
          <w:i w:val="0"/>
          <w:color w:val="262626"/>
          <w:sz w:val="24"/>
        </w:rPr>
        <w:t>8.3 统一工作台</w:t>
      </w:r>
    </w:p>
    <w:p w14:paraId="1D170197">
      <w:pPr>
        <w:pStyle w:val="23"/>
        <w:spacing w:after="80" w:line="300" w:lineRule="auto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PC 与移动端的用户覆盖、月活和任务处理占比；</w:t>
      </w:r>
    </w:p>
    <w:p w14:paraId="52BFF317">
      <w:pPr>
        <w:pStyle w:val="23"/>
        <w:spacing w:after="80" w:line="300" w:lineRule="auto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从移动端发起、在 PC 端继续处理的协同数量；</w:t>
      </w:r>
    </w:p>
    <w:p w14:paraId="79661EF9">
      <w:pPr>
        <w:pStyle w:val="23"/>
        <w:spacing w:after="80" w:line="300" w:lineRule="auto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企业和联系人重复记录率；</w:t>
      </w:r>
    </w:p>
    <w:p w14:paraId="7A7F37F1">
      <w:pPr>
        <w:pStyle w:val="23"/>
        <w:spacing w:after="80" w:line="300" w:lineRule="auto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统一待办上线前后的平均处理时间变化。</w:t>
      </w:r>
    </w:p>
    <w:p w14:paraId="12043E90">
      <w:pPr>
        <w:pStyle w:val="2"/>
        <w:pageBreakBefore w:val="0"/>
      </w:pPr>
      <w:r>
        <w:rPr>
          <w:rFonts w:ascii="Songti SC" w:hAnsi="Songti SC" w:eastAsia="Songti SC"/>
          <w:b/>
          <w:i w:val="0"/>
          <w:color w:val="262626"/>
          <w:sz w:val="30"/>
        </w:rPr>
        <w:t>九、结论</w:t>
      </w:r>
    </w:p>
    <w:p w14:paraId="1D24059F">
      <w:pPr>
        <w:spacing w:before="0" w:after="140" w:line="360" w:lineRule="auto"/>
        <w:ind w:firstLine="420"/>
        <w:jc w:val="both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手拉手已经具备两块有实际业务内容的能力。商机广场让并购、股权交易和投融资需求在公司内部流动；协同管理让一线客户需求找到投行、研究等专业部门，并留下清楚的审批和跟进记录。</w:t>
      </w:r>
    </w:p>
    <w:p w14:paraId="5E209E84">
      <w:pPr>
        <w:spacing w:before="0" w:after="140" w:line="360" w:lineRule="auto"/>
        <w:ind w:firstLine="420"/>
        <w:jc w:val="both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接下来的建设重点可以放在三个地方：移动端用“协同管理”统一入口，PC 端逐步接入真实商机数据，客户和企业基础信息在各模块之间使用同一口径。入口清楚、数据一致、任务到人之后，手拉手才会真正成为每天愿意打开的业务工作台。</w:t>
      </w:r>
    </w:p>
    <w:p w14:paraId="73281CF3">
      <w:pPr>
        <w:pStyle w:val="2"/>
        <w:pageBreakBefore w:val="0"/>
      </w:pPr>
      <w:r>
        <w:rPr>
          <w:rFonts w:ascii="Songti SC" w:hAnsi="Songti SC" w:eastAsia="Songti SC"/>
          <w:b/>
          <w:i w:val="0"/>
          <w:color w:val="262626"/>
          <w:sz w:val="30"/>
        </w:rPr>
        <w:t>附录：资料来源</w:t>
      </w:r>
    </w:p>
    <w:p w14:paraId="1549B537">
      <w:pPr>
        <w:pStyle w:val="3"/>
      </w:pPr>
      <w:r>
        <w:rPr>
          <w:rFonts w:ascii="Songti SC" w:hAnsi="Songti SC" w:eastAsia="Songti SC"/>
          <w:b/>
          <w:i w:val="0"/>
          <w:color w:val="262626"/>
          <w:sz w:val="24"/>
        </w:rPr>
        <w:t>内部材料</w:t>
      </w:r>
    </w:p>
    <w:p w14:paraId="761AA7B3">
      <w:pPr>
        <w:pStyle w:val="23"/>
        <w:spacing w:after="80" w:line="300" w:lineRule="auto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产品地图</w:t>
      </w:r>
    </w:p>
    <w:p w14:paraId="45852BA3">
      <w:pPr>
        <w:pStyle w:val="23"/>
        <w:spacing w:after="80" w:line="300" w:lineRule="auto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商机广场 PRD</w:t>
      </w:r>
    </w:p>
    <w:p w14:paraId="317C2B04">
      <w:pPr>
        <w:pStyle w:val="23"/>
        <w:spacing w:after="80" w:line="300" w:lineRule="auto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商机广场全流程操作文档</w:t>
      </w:r>
    </w:p>
    <w:p w14:paraId="4E6DD24C">
      <w:pPr>
        <w:pStyle w:val="23"/>
        <w:spacing w:after="80" w:line="300" w:lineRule="auto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商机广场分角色操作文档</w:t>
      </w:r>
    </w:p>
    <w:p w14:paraId="54432AB4">
      <w:pPr>
        <w:pStyle w:val="23"/>
        <w:spacing w:after="80" w:line="300" w:lineRule="auto"/>
      </w:pPr>
      <w:r>
        <w:rPr>
          <w:rFonts w:ascii="Songti SC" w:hAnsi="Songti SC" w:eastAsia="Songti SC"/>
          <w:b w:val="0"/>
          <w:i w:val="0"/>
          <w:color w:val="262626"/>
          <w:sz w:val="22"/>
        </w:rPr>
        <w:t>手拉手协同系统新人教学文档</w:t>
      </w:r>
    </w:p>
    <w:p w14:paraId="715FF78A">
      <w:pPr>
        <w:pStyle w:val="3"/>
      </w:pPr>
      <w:r>
        <w:rPr>
          <w:rFonts w:ascii="Songti SC" w:hAnsi="Songti SC" w:eastAsia="Songti SC"/>
          <w:b/>
          <w:i w:val="0"/>
          <w:color w:val="262626"/>
          <w:sz w:val="24"/>
        </w:rPr>
        <w:t>外部材料</w:t>
      </w:r>
    </w:p>
    <w:p w14:paraId="7B3DF03F">
      <w:pPr>
        <w:pStyle w:val="23"/>
        <w:spacing w:after="80" w:line="300" w:lineRule="auto"/>
      </w:pPr>
      <w:r>
        <w:fldChar w:fldCharType="begin"/>
      </w:r>
      <w:r>
        <w:instrText xml:space="preserve"> HYPERLINK "https://www.csrc.gov.cn/csrc/c101983/c7464240/content.shtml" \h </w:instrText>
      </w:r>
      <w:r>
        <w:fldChar w:fldCharType="separate"/>
      </w:r>
      <w:r>
        <w:rPr>
          <w:rFonts w:ascii="Songti SC" w:hAnsi="Songti SC" w:eastAsia="Songti SC"/>
          <w:color w:val="3F3F3F"/>
          <w:sz w:val="21"/>
          <w:u w:val="single"/>
        </w:rPr>
        <w:t>中国证监会：关于进一步推进证券行业数字化转型建议的答复</w:t>
      </w:r>
      <w:r>
        <w:rPr>
          <w:rFonts w:ascii="Songti SC" w:hAnsi="Songti SC" w:eastAsia="Songti SC"/>
          <w:color w:val="3F3F3F"/>
          <w:sz w:val="21"/>
          <w:u w:val="single"/>
        </w:rPr>
        <w:fldChar w:fldCharType="end"/>
      </w:r>
    </w:p>
    <w:p w14:paraId="4E673E83">
      <w:pPr>
        <w:pStyle w:val="23"/>
        <w:spacing w:after="80" w:line="300" w:lineRule="auto"/>
      </w:pPr>
      <w:r>
        <w:fldChar w:fldCharType="begin"/>
      </w:r>
      <w:r>
        <w:instrText xml:space="preserve"> HYPERLINK "https://www.csrc.gov.cn/csrc/c106256/c1653896/content.shtml" \h </w:instrText>
      </w:r>
      <w:r>
        <w:fldChar w:fldCharType="separate"/>
      </w:r>
      <w:r>
        <w:rPr>
          <w:rFonts w:ascii="Songti SC" w:hAnsi="Songti SC" w:eastAsia="Songti SC"/>
          <w:color w:val="3F3F3F"/>
          <w:sz w:val="21"/>
          <w:u w:val="single"/>
        </w:rPr>
        <w:t>中国证监会：证券基金经营机构信息技术管理办法</w:t>
      </w:r>
      <w:r>
        <w:rPr>
          <w:rFonts w:ascii="Songti SC" w:hAnsi="Songti SC" w:eastAsia="Songti SC"/>
          <w:color w:val="3F3F3F"/>
          <w:sz w:val="21"/>
          <w:u w:val="single"/>
        </w:rPr>
        <w:fldChar w:fldCharType="end"/>
      </w:r>
    </w:p>
    <w:p w14:paraId="02E548E8">
      <w:pPr>
        <w:pStyle w:val="23"/>
        <w:spacing w:after="80" w:line="300" w:lineRule="auto"/>
      </w:pPr>
      <w:r>
        <w:fldChar w:fldCharType="begin"/>
      </w:r>
      <w:r>
        <w:instrText xml:space="preserve"> HYPERLINK "https://www.sac.net.cn/sjb/hyfw_736/xhdtsj/202211/t20221125_49815.html" \h </w:instrText>
      </w:r>
      <w:r>
        <w:fldChar w:fldCharType="separate"/>
      </w:r>
      <w:r>
        <w:rPr>
          <w:rFonts w:ascii="Songti SC" w:hAnsi="Songti SC" w:eastAsia="Songti SC"/>
          <w:color w:val="3F3F3F"/>
          <w:sz w:val="21"/>
          <w:u w:val="single"/>
        </w:rPr>
        <w:t>中国证券业协会：证券公司数字化转型实践报告及案例汇编（2022）介绍</w:t>
      </w:r>
      <w:r>
        <w:rPr>
          <w:rFonts w:ascii="Songti SC" w:hAnsi="Songti SC" w:eastAsia="Songti SC"/>
          <w:color w:val="3F3F3F"/>
          <w:sz w:val="21"/>
          <w:u w:val="single"/>
        </w:rPr>
        <w:fldChar w:fldCharType="end"/>
      </w:r>
    </w:p>
    <w:p w14:paraId="67B89DDD">
      <w:pPr>
        <w:pStyle w:val="23"/>
        <w:spacing w:after="80" w:line="300" w:lineRule="auto"/>
      </w:pPr>
      <w:r>
        <w:fldChar w:fldCharType="begin"/>
      </w:r>
      <w:r>
        <w:instrText xml:space="preserve"> HYPERLINK "https://www.sac.net.cn/sjb/tzzzj_799/zxsdwap/scyw/202508/t20250805_68218.html" \h </w:instrText>
      </w:r>
      <w:r>
        <w:fldChar w:fldCharType="separate"/>
      </w:r>
      <w:r>
        <w:rPr>
          <w:rFonts w:ascii="Songti SC" w:hAnsi="Songti SC" w:eastAsia="Songti SC"/>
          <w:color w:val="3F3F3F"/>
          <w:sz w:val="21"/>
          <w:u w:val="single"/>
        </w:rPr>
        <w:t>中国证券业协会：2025 年券商数字化实践案例介绍</w:t>
      </w:r>
      <w:r>
        <w:rPr>
          <w:rFonts w:ascii="Songti SC" w:hAnsi="Songti SC" w:eastAsia="Songti SC"/>
          <w:color w:val="3F3F3F"/>
          <w:sz w:val="21"/>
          <w:u w:val="single"/>
        </w:rPr>
        <w:fldChar w:fldCharType="end"/>
      </w:r>
    </w:p>
    <w:p w14:paraId="71EA44BC">
      <w:pPr>
        <w:pStyle w:val="23"/>
        <w:spacing w:after="80" w:line="300" w:lineRule="auto"/>
      </w:pPr>
      <w:r>
        <w:fldChar w:fldCharType="begin"/>
      </w:r>
      <w:r>
        <w:instrText xml:space="preserve"> HYPERLINK "https://www.pwccn.com/zh/press-room/press-releases/pr-060226.html" \h </w:instrText>
      </w:r>
      <w:r>
        <w:fldChar w:fldCharType="separate"/>
      </w:r>
      <w:r>
        <w:rPr>
          <w:rFonts w:ascii="Songti SC" w:hAnsi="Songti SC" w:eastAsia="Songti SC"/>
          <w:color w:val="3F3F3F"/>
          <w:sz w:val="21"/>
          <w:u w:val="single"/>
        </w:rPr>
        <w:t>普华永道：2025 年中国企业并购市场回顾及展望</w:t>
      </w:r>
      <w:r>
        <w:rPr>
          <w:rFonts w:ascii="Songti SC" w:hAnsi="Songti SC" w:eastAsia="Songti SC"/>
          <w:color w:val="3F3F3F"/>
          <w:sz w:val="21"/>
          <w:u w:val="single"/>
        </w:rPr>
        <w:fldChar w:fldCharType="end"/>
      </w:r>
    </w:p>
    <w:p w14:paraId="7142FE4C">
      <w:pPr>
        <w:pStyle w:val="23"/>
        <w:spacing w:after="80" w:line="300" w:lineRule="auto"/>
      </w:pPr>
      <w:r>
        <w:fldChar w:fldCharType="begin"/>
      </w:r>
      <w:r>
        <w:instrText xml:space="preserve"> HYPERLINK "https://crm.htsc.com.cn/pdf_finchina/CNSESH_STOCK/2025/2025-3/2025-03-29/10827725.pdf" \h </w:instrText>
      </w:r>
      <w:r>
        <w:fldChar w:fldCharType="separate"/>
      </w:r>
      <w:r>
        <w:rPr>
          <w:rFonts w:ascii="Songti SC" w:hAnsi="Songti SC" w:eastAsia="Songti SC"/>
          <w:color w:val="3F3F3F"/>
          <w:sz w:val="21"/>
          <w:u w:val="single"/>
        </w:rPr>
        <w:t>华泰证券 2024 年度报告</w:t>
      </w:r>
      <w:r>
        <w:rPr>
          <w:rFonts w:ascii="Songti SC" w:hAnsi="Songti SC" w:eastAsia="Songti SC"/>
          <w:color w:val="3F3F3F"/>
          <w:sz w:val="21"/>
          <w:u w:val="single"/>
        </w:rPr>
        <w:fldChar w:fldCharType="end"/>
      </w:r>
    </w:p>
    <w:p w14:paraId="495B4232">
      <w:pPr>
        <w:pStyle w:val="23"/>
        <w:spacing w:after="80" w:line="300" w:lineRule="auto"/>
      </w:pPr>
      <w:r>
        <w:fldChar w:fldCharType="begin"/>
      </w:r>
      <w:r>
        <w:instrText xml:space="preserve"> HYPERLINK "https://www.intapp.com/crm-deal-management-software-investment-banking/" \h </w:instrText>
      </w:r>
      <w:r>
        <w:fldChar w:fldCharType="separate"/>
      </w:r>
      <w:r>
        <w:rPr>
          <w:color w:val="3F3F3F"/>
          <w:u w:val="single"/>
        </w:rPr>
        <w:t>Intapp DealCloud 投资银行解决方案</w:t>
      </w:r>
      <w:r>
        <w:rPr>
          <w:color w:val="3F3F3F"/>
          <w:u w:val="single"/>
        </w:rPr>
        <w:fldChar w:fldCharType="end"/>
      </w:r>
    </w:p>
    <w:sectPr>
      <w:headerReference r:id="rId5" w:type="default"/>
      <w:footerReference r:id="rId6" w:type="default"/>
      <w:pgSz w:w="11906" w:h="16838"/>
      <w:pgMar w:top="1440" w:right="1440" w:bottom="1361" w:left="1440" w:header="709" w:footer="709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Heiti SC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EF08B5">
    <w:pPr>
      <w:pStyle w:val="18"/>
      <w:spacing w:before="0"/>
      <w:jc w:val="center"/>
    </w:pPr>
    <w:r>
      <w:rPr>
        <w:rFonts w:ascii="Songti SC" w:hAnsi="Songti SC" w:eastAsia="Songti SC"/>
        <w:b w:val="0"/>
        <w:i w:val="0"/>
        <w:color w:val="666666"/>
        <w:sz w:val="18"/>
      </w:rPr>
      <w:t xml:space="preserve">—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Songti SC" w:hAnsi="Songti SC" w:eastAsia="Songti SC"/>
        <w:b w:val="0"/>
        <w:i w:val="0"/>
        <w:color w:val="666666"/>
        <w:sz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9EBFDF">
    <w:pPr>
      <w:pStyle w:val="19"/>
      <w:spacing w:after="0"/>
      <w:jc w:val="right"/>
    </w:pPr>
    <w:r>
      <w:rPr>
        <w:rFonts w:ascii="Songti SC" w:hAnsi="Songti SC" w:eastAsia="Songti SC"/>
        <w:b w:val="0"/>
        <w:i w:val="0"/>
        <w:color w:val="666666"/>
        <w:sz w:val="17"/>
      </w:rPr>
      <w:t>手拉手统一系统产品研究报告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EEE79D0"/>
    <w:rsid w:val="DD9B9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40" w:line="360" w:lineRule="auto"/>
    </w:pPr>
    <w:rPr>
      <w:rFonts w:ascii="Songti SC" w:hAnsi="Songti SC" w:eastAsia="Songti SC" w:cstheme="minorBidi"/>
      <w:color w:val="262626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62626"/>
      <w:sz w:val="30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62626"/>
      <w:sz w:val="24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262626"/>
      <w:sz w:val="22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ind w:left="420" w:hanging="210"/>
      <w:contextualSpacing/>
    </w:pPr>
    <w:rPr>
      <w:rFonts w:ascii="Songti SC" w:hAnsi="Songti SC" w:eastAsia="Songti SC"/>
      <w:sz w:val="22"/>
    </w:r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ind w:left="420" w:hanging="210"/>
      <w:contextualSpacing/>
    </w:pPr>
    <w:rPr>
      <w:rFonts w:ascii="Songti SC" w:hAnsi="Songti SC" w:eastAsia="Songti SC"/>
      <w:sz w:val="22"/>
    </w:r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杨锟</dc:creator>
  <dc:description>generated by python-docx</dc:description>
  <cp:keywords>手拉手, 协同管理, 商机广场, 产品研究</cp:keywords>
  <cp:lastModifiedBy>杨锟</cp:lastModifiedBy>
  <dcterms:modified xsi:type="dcterms:W3CDTF">2026-07-17T17:10:20Z</dcterms:modified>
  <dc:subject>协同管理与商机广场的产品、市场及竞品研究</dc:subject>
  <dc:title>手拉手统一系统产品研究报告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1033-12.1.26016.26016</vt:lpwstr>
  </property>
  <property fmtid="{D5CDD505-2E9C-101B-9397-08002B2CF9AE}" pid="3" name="ICV">
    <vt:lpwstr>98C802C691922E4DF7EF596A21670107_42</vt:lpwstr>
  </property>
</Properties>
</file>