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32EF6">
      <w:pPr>
        <w:rPr>
          <w:rFonts w:hint="eastAsia"/>
          <w:sz w:val="36"/>
          <w:szCs w:val="36"/>
        </w:rPr>
      </w:pPr>
    </w:p>
    <w:p w14:paraId="5EA974D7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drawing>
          <wp:inline distT="0" distB="0" distL="114300" distR="114300">
            <wp:extent cx="4059555" cy="1068070"/>
            <wp:effectExtent l="0" t="0" r="4445" b="24130"/>
            <wp:docPr id="1" name="图片 1" descr="毕业设计(论文)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毕业设计(论文)图标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9555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E3F58">
      <w:pPr>
        <w:ind w:firstLine="900" w:firstLineChars="100"/>
        <w:jc w:val="both"/>
        <w:rPr>
          <w:rFonts w:hint="eastAsia" w:ascii="黑体" w:hAnsi="华文楷体" w:eastAsia="黑体"/>
          <w:kern w:val="0"/>
          <w:sz w:val="90"/>
          <w:szCs w:val="90"/>
          <w:lang w:val="en-US" w:eastAsia="zh-CN"/>
        </w:rPr>
      </w:pPr>
      <w:r>
        <w:rPr>
          <w:rFonts w:hint="eastAsia" w:ascii="黑体" w:hAnsi="华文楷体" w:eastAsia="黑体"/>
          <w:kern w:val="0"/>
          <w:sz w:val="90"/>
          <w:szCs w:val="90"/>
          <w:lang w:val="en-US" w:eastAsia="zh-CN"/>
        </w:rPr>
        <w:t>信息安全综合实践</w:t>
      </w:r>
    </w:p>
    <w:p w14:paraId="7B26FDED">
      <w:pPr>
        <w:jc w:val="center"/>
        <w:rPr>
          <w:rFonts w:hint="eastAsia"/>
          <w:sz w:val="24"/>
        </w:rPr>
      </w:pPr>
      <w:r>
        <w:rPr>
          <w:rFonts w:hint="eastAsia" w:ascii="黑体" w:hAnsi="华文楷体" w:eastAsia="黑体"/>
          <w:kern w:val="0"/>
          <w:sz w:val="90"/>
          <w:szCs w:val="90"/>
        </w:rPr>
        <w:t>报</w:t>
      </w:r>
      <w:r>
        <w:rPr>
          <w:rFonts w:hint="eastAsia" w:ascii="黑体" w:hAnsi="华文楷体" w:eastAsia="黑体"/>
          <w:kern w:val="0"/>
          <w:sz w:val="90"/>
          <w:szCs w:val="90"/>
          <w:lang w:val="en-US" w:eastAsia="zh-CN"/>
        </w:rPr>
        <w:t>告</w:t>
      </w:r>
    </w:p>
    <w:p w14:paraId="74066EB8">
      <w:pPr>
        <w:rPr>
          <w:rFonts w:hint="eastAsia"/>
          <w:sz w:val="24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4"/>
        <w:gridCol w:w="4151"/>
      </w:tblGrid>
      <w:tr w14:paraId="15E5A529">
        <w:trPr>
          <w:trHeight w:val="737" w:hRule="atLeast"/>
          <w:jc w:val="center"/>
        </w:trPr>
        <w:tc>
          <w:tcPr>
            <w:tcW w:w="2204" w:type="dxa"/>
            <w:noWrap w:val="0"/>
            <w:vAlign w:val="center"/>
          </w:tcPr>
          <w:p w14:paraId="1C3FE9EA">
            <w:pPr>
              <w:adjustRightInd w:val="0"/>
              <w:snapToGrid w:val="0"/>
              <w:spacing w:line="400" w:lineRule="atLeast"/>
              <w:jc w:val="both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  <w:lang w:val="en-US" w:eastAsia="zh-CN"/>
              </w:rPr>
              <w:t>学</w:t>
            </w:r>
            <w:r>
              <w:rPr>
                <w:rFonts w:hint="eastAsia" w:ascii="黑体" w:eastAsia="黑体"/>
                <w:sz w:val="36"/>
                <w:szCs w:val="36"/>
              </w:rPr>
              <w:t>院：</w:t>
            </w:r>
          </w:p>
        </w:tc>
        <w:tc>
          <w:tcPr>
            <w:tcW w:w="4151" w:type="dxa"/>
            <w:tcBorders>
              <w:bottom w:val="single" w:color="auto" w:sz="4" w:space="0"/>
            </w:tcBorders>
            <w:noWrap w:val="0"/>
            <w:vAlign w:val="center"/>
          </w:tcPr>
          <w:p w14:paraId="0A718F35">
            <w:pPr>
              <w:adjustRightInd w:val="0"/>
              <w:snapToGrid w:val="0"/>
              <w:spacing w:line="400" w:lineRule="atLeast"/>
              <w:jc w:val="center"/>
              <w:rPr>
                <w:rFonts w:hint="default" w:ascii="华文楷体" w:hAnsi="华文楷体" w:eastAsia="华文楷体"/>
                <w:sz w:val="36"/>
                <w:szCs w:val="36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  <w:lang w:val="en-US" w:eastAsia="zh-CN"/>
              </w:rPr>
              <w:t>计算机学院</w:t>
            </w:r>
          </w:p>
        </w:tc>
      </w:tr>
      <w:tr w14:paraId="64903670">
        <w:trPr>
          <w:trHeight w:val="737" w:hRule="atLeast"/>
          <w:jc w:val="center"/>
        </w:trPr>
        <w:tc>
          <w:tcPr>
            <w:tcW w:w="2204" w:type="dxa"/>
            <w:noWrap w:val="0"/>
            <w:vAlign w:val="center"/>
          </w:tcPr>
          <w:p w14:paraId="6022C957">
            <w:pPr>
              <w:adjustRightInd w:val="0"/>
              <w:snapToGrid w:val="0"/>
              <w:spacing w:line="400" w:lineRule="atLeast"/>
              <w:jc w:val="both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专业</w:t>
            </w:r>
            <w:r>
              <w:rPr>
                <w:rFonts w:hint="eastAsia" w:ascii="黑体" w:eastAsia="黑体"/>
                <w:sz w:val="36"/>
                <w:szCs w:val="36"/>
                <w:lang w:val="en-US" w:eastAsia="zh-CN"/>
              </w:rPr>
              <w:t>班</w:t>
            </w:r>
            <w:r>
              <w:rPr>
                <w:rFonts w:hint="eastAsia" w:ascii="黑体" w:eastAsia="黑体"/>
                <w:sz w:val="36"/>
                <w:szCs w:val="36"/>
              </w:rPr>
              <w:t>级：</w:t>
            </w:r>
          </w:p>
        </w:tc>
        <w:tc>
          <w:tcPr>
            <w:tcW w:w="41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AD233E">
            <w:pPr>
              <w:adjustRightInd w:val="0"/>
              <w:snapToGrid w:val="0"/>
              <w:spacing w:line="400" w:lineRule="atLeast"/>
              <w:jc w:val="center"/>
              <w:rPr>
                <w:rFonts w:hint="default" w:ascii="华文楷体" w:hAnsi="华文楷体" w:eastAsia="华文楷体"/>
                <w:sz w:val="36"/>
                <w:szCs w:val="36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  <w:lang w:val="en-US" w:eastAsia="zh-CN"/>
              </w:rPr>
              <w:t>信息安全2304</w:t>
            </w:r>
          </w:p>
        </w:tc>
      </w:tr>
      <w:tr w14:paraId="36FD7ABE">
        <w:trPr>
          <w:trHeight w:val="737" w:hRule="atLeast"/>
          <w:jc w:val="center"/>
        </w:trPr>
        <w:tc>
          <w:tcPr>
            <w:tcW w:w="2204" w:type="dxa"/>
            <w:noWrap w:val="0"/>
            <w:vAlign w:val="center"/>
          </w:tcPr>
          <w:p w14:paraId="308A8A5D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指导教师：</w:t>
            </w:r>
          </w:p>
        </w:tc>
        <w:tc>
          <w:tcPr>
            <w:tcW w:w="41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97DFBE">
            <w:pPr>
              <w:adjustRightInd w:val="0"/>
              <w:snapToGrid w:val="0"/>
              <w:spacing w:line="400" w:lineRule="atLeast"/>
              <w:jc w:val="center"/>
              <w:rPr>
                <w:rFonts w:hint="default" w:ascii="华文楷体" w:hAnsi="华文楷体" w:eastAsia="华文楷体"/>
                <w:sz w:val="36"/>
                <w:szCs w:val="36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  <w:lang w:val="en-US" w:eastAsia="zh-CN"/>
              </w:rPr>
              <w:t>宋虹</w:t>
            </w:r>
          </w:p>
        </w:tc>
      </w:tr>
      <w:tr w14:paraId="40A31C1D">
        <w:trPr>
          <w:trHeight w:val="737" w:hRule="atLeast"/>
          <w:jc w:val="center"/>
        </w:trPr>
        <w:tc>
          <w:tcPr>
            <w:tcW w:w="2204" w:type="dxa"/>
            <w:noWrap w:val="0"/>
            <w:vAlign w:val="center"/>
          </w:tcPr>
          <w:p w14:paraId="1A4158AD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学   号：</w:t>
            </w:r>
          </w:p>
        </w:tc>
        <w:tc>
          <w:tcPr>
            <w:tcW w:w="41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EE7B61">
            <w:pPr>
              <w:adjustRightInd w:val="0"/>
              <w:snapToGrid w:val="0"/>
              <w:spacing w:line="400" w:lineRule="atLeast"/>
              <w:jc w:val="center"/>
              <w:rPr>
                <w:rFonts w:hint="default" w:ascii="华文楷体" w:hAnsi="华文楷体" w:eastAsia="华文楷体"/>
                <w:sz w:val="36"/>
                <w:szCs w:val="36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  <w:lang w:val="en-US" w:eastAsia="zh-CN"/>
              </w:rPr>
              <w:t>8208230320</w:t>
            </w:r>
          </w:p>
        </w:tc>
      </w:tr>
      <w:tr w14:paraId="0401CFD7">
        <w:trPr>
          <w:trHeight w:val="737" w:hRule="atLeast"/>
          <w:jc w:val="center"/>
        </w:trPr>
        <w:tc>
          <w:tcPr>
            <w:tcW w:w="2204" w:type="dxa"/>
            <w:noWrap w:val="0"/>
            <w:vAlign w:val="center"/>
          </w:tcPr>
          <w:p w14:paraId="27FFDA5F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学生姓名：</w:t>
            </w:r>
          </w:p>
        </w:tc>
        <w:tc>
          <w:tcPr>
            <w:tcW w:w="41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2946AD">
            <w:pPr>
              <w:adjustRightInd w:val="0"/>
              <w:snapToGrid w:val="0"/>
              <w:spacing w:line="400" w:lineRule="atLeast"/>
              <w:jc w:val="center"/>
              <w:rPr>
                <w:rFonts w:hint="eastAsia" w:ascii="华文楷体" w:hAnsi="华文楷体" w:eastAsia="华文楷体"/>
                <w:sz w:val="36"/>
                <w:szCs w:val="36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  <w:lang w:val="en-US" w:eastAsia="zh-CN"/>
              </w:rPr>
              <w:t>杨锟</w:t>
            </w:r>
          </w:p>
        </w:tc>
      </w:tr>
    </w:tbl>
    <w:p w14:paraId="1C1E076B">
      <w:pPr>
        <w:rPr>
          <w:rFonts w:hint="eastAsia"/>
          <w:sz w:val="24"/>
        </w:rPr>
      </w:pPr>
    </w:p>
    <w:p w14:paraId="3F18E973">
      <w:pPr>
        <w:rPr>
          <w:rFonts w:hint="eastAsia"/>
          <w:sz w:val="24"/>
        </w:rPr>
      </w:pPr>
    </w:p>
    <w:p w14:paraId="7A5E46EA">
      <w:pPr>
        <w:rPr>
          <w:rFonts w:hint="eastAsia"/>
          <w:sz w:val="24"/>
        </w:rPr>
      </w:pPr>
    </w:p>
    <w:p w14:paraId="2021CE40">
      <w:pPr>
        <w:jc w:val="center"/>
        <w:rPr>
          <w:rFonts w:hint="eastAsia" w:ascii="黑体" w:eastAsia="黑体"/>
          <w:sz w:val="36"/>
          <w:szCs w:val="36"/>
        </w:rPr>
      </w:pPr>
    </w:p>
    <w:p w14:paraId="332702C0">
      <w:pPr>
        <w:jc w:val="center"/>
        <w:rPr>
          <w:rFonts w:hint="eastAsia"/>
          <w:sz w:val="24"/>
        </w:rPr>
      </w:pPr>
      <w:r>
        <w:rPr>
          <w:rFonts w:hint="eastAsia" w:ascii="黑体" w:eastAsia="黑体"/>
          <w:sz w:val="36"/>
          <w:szCs w:val="36"/>
        </w:rPr>
        <w:t>20</w:t>
      </w:r>
      <w:r>
        <w:rPr>
          <w:rFonts w:hint="eastAsia" w:ascii="黑体" w:eastAsia="黑体"/>
          <w:sz w:val="36"/>
          <w:szCs w:val="36"/>
          <w:lang w:val="en-US" w:eastAsia="zh-CN"/>
        </w:rPr>
        <w:t>26</w:t>
      </w:r>
      <w:r>
        <w:rPr>
          <w:rFonts w:hint="eastAsia" w:ascii="黑体" w:eastAsia="黑体"/>
          <w:sz w:val="36"/>
          <w:szCs w:val="36"/>
        </w:rPr>
        <w:t>年</w:t>
      </w:r>
      <w:r>
        <w:rPr>
          <w:rFonts w:hint="eastAsia" w:ascii="黑体" w:eastAsia="黑体"/>
          <w:sz w:val="36"/>
          <w:szCs w:val="36"/>
          <w:lang w:val="en-US" w:eastAsia="zh-CN"/>
        </w:rPr>
        <w:t>07</w:t>
      </w:r>
      <w:r>
        <w:rPr>
          <w:rFonts w:hint="eastAsia" w:ascii="黑体" w:eastAsia="黑体"/>
          <w:sz w:val="36"/>
          <w:szCs w:val="36"/>
        </w:rPr>
        <w:t>月</w:t>
      </w:r>
    </w:p>
    <w:p w14:paraId="733D0430">
      <w:pPr>
        <w:rPr>
          <w:sz w:val="24"/>
        </w:rPr>
        <w:sectPr>
          <w:headerReference r:id="rId5" w:type="first"/>
          <w:footerReference r:id="rId6" w:type="default"/>
          <w:footerReference r:id="rId7" w:type="even"/>
          <w:pgSz w:w="11906" w:h="16838"/>
          <w:pgMar w:top="1418" w:right="1134" w:bottom="1418" w:left="1701" w:header="851" w:footer="992" w:gutter="0"/>
          <w:pgNumType w:fmt="upperRoman" w:start="1"/>
          <w:cols w:space="720" w:num="1"/>
          <w:titlePg/>
          <w:docGrid w:type="lines" w:linePitch="312" w:charSpace="0"/>
        </w:sectPr>
      </w:pPr>
    </w:p>
    <w:p w14:paraId="50D30065">
      <w:pPr>
        <w:spacing w:before="400" w:after="400" w:line="400" w:lineRule="exact"/>
        <w:ind w:firstLine="0"/>
        <w:jc w:val="center"/>
      </w:pPr>
      <w:r>
        <w:rPr>
          <w:rFonts w:ascii="黑体" w:hAnsi="黑体" w:eastAsia="黑体"/>
          <w:b/>
          <w:sz w:val="32"/>
        </w:rPr>
        <w:t>目录</w:t>
      </w:r>
    </w:p>
    <w:p w14:paraId="3D370AA6">
      <w:pPr>
        <w:spacing w:before="0" w:after="80" w:line="400" w:lineRule="exact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第1章 概述</w:t>
      </w:r>
    </w:p>
    <w:p w14:paraId="0C9A69F3">
      <w:pPr>
        <w:spacing w:before="0" w:after="40" w:line="400" w:lineRule="exact"/>
        <w:ind w:firstLine="480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1.1 综合实践目的</w:t>
      </w:r>
    </w:p>
    <w:p w14:paraId="1126F537">
      <w:pPr>
        <w:spacing w:before="0" w:after="40" w:line="400" w:lineRule="exact"/>
        <w:ind w:firstLine="480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1.2 实习基本情况</w:t>
      </w:r>
    </w:p>
    <w:p w14:paraId="7A44ABBC">
      <w:pPr>
        <w:spacing w:before="0" w:after="40" w:line="400" w:lineRule="exact"/>
        <w:ind w:firstLine="480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1.3 主要完成的任务</w:t>
      </w:r>
    </w:p>
    <w:p w14:paraId="3C258D4A">
      <w:pPr>
        <w:spacing w:before="0" w:after="40" w:line="400" w:lineRule="exact"/>
        <w:ind w:firstLine="480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1.4 解决的主要问题</w:t>
      </w:r>
    </w:p>
    <w:p w14:paraId="5DD6B097">
      <w:pPr>
        <w:spacing w:before="0" w:after="80" w:line="400" w:lineRule="exact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第2章 设计的基本概念和原理</w:t>
      </w:r>
    </w:p>
    <w:p w14:paraId="5A47153E">
      <w:pPr>
        <w:spacing w:before="0" w:after="40" w:line="400" w:lineRule="exact"/>
        <w:ind w:firstLine="480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2.1 身份认证与私有化部署</w:t>
      </w:r>
    </w:p>
    <w:p w14:paraId="63F79371">
      <w:pPr>
        <w:spacing w:before="0" w:after="40" w:line="400" w:lineRule="exact"/>
        <w:ind w:firstLine="480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2.2 权限控制与最小权限</w:t>
      </w:r>
    </w:p>
    <w:p w14:paraId="721A87EE">
      <w:pPr>
        <w:spacing w:before="0" w:after="40" w:line="400" w:lineRule="exact"/>
        <w:ind w:firstLine="480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2.3 数据脱敏与内容安全</w:t>
      </w:r>
    </w:p>
    <w:p w14:paraId="0CA72E2D">
      <w:pPr>
        <w:spacing w:before="0" w:after="40" w:line="400" w:lineRule="exact"/>
        <w:ind w:firstLine="480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2.4 操作审计与职责分离</w:t>
      </w:r>
    </w:p>
    <w:p w14:paraId="6CF4EF48">
      <w:pPr>
        <w:spacing w:before="0" w:after="40" w:line="400" w:lineRule="exact"/>
        <w:ind w:firstLine="480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2.5 数据生命周期与终端安全</w:t>
      </w:r>
    </w:p>
    <w:p w14:paraId="56128F34">
      <w:pPr>
        <w:spacing w:before="0" w:after="80" w:line="400" w:lineRule="exact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第3章 总体设计</w:t>
      </w:r>
    </w:p>
    <w:p w14:paraId="3C6F4746">
      <w:pPr>
        <w:spacing w:before="0" w:after="40" w:line="400" w:lineRule="exact"/>
        <w:ind w:firstLine="480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3.1 实现方法</w:t>
      </w:r>
    </w:p>
    <w:p w14:paraId="6384FBDA">
      <w:pPr>
        <w:spacing w:before="0" w:after="40" w:line="400" w:lineRule="exact"/>
        <w:ind w:firstLine="480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3.2 技术路线</w:t>
      </w:r>
    </w:p>
    <w:p w14:paraId="393CF601">
      <w:pPr>
        <w:spacing w:before="0" w:after="40" w:line="400" w:lineRule="exact"/>
        <w:ind w:firstLine="480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3.3 工具链</w:t>
      </w:r>
    </w:p>
    <w:p w14:paraId="4428E99F">
      <w:pPr>
        <w:spacing w:before="0" w:after="80" w:line="400" w:lineRule="exact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第4章 详细设计</w:t>
      </w:r>
    </w:p>
    <w:p w14:paraId="704A2596">
      <w:pPr>
        <w:spacing w:before="0" w:after="40" w:line="400" w:lineRule="exact"/>
        <w:ind w:firstLine="480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4.1 主要交付物的内容与结构</w:t>
      </w:r>
    </w:p>
    <w:p w14:paraId="37637898">
      <w:pPr>
        <w:spacing w:before="0" w:after="40" w:line="400" w:lineRule="exact"/>
        <w:ind w:firstLine="480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4.2 交付物里顺带做的安全视角观察</w:t>
      </w:r>
    </w:p>
    <w:p w14:paraId="46B80BFA">
      <w:pPr>
        <w:spacing w:before="0" w:after="80" w:line="400" w:lineRule="exact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第5章 完成的情况</w:t>
      </w:r>
    </w:p>
    <w:p w14:paraId="60AA5CA5">
      <w:pPr>
        <w:spacing w:before="0" w:after="40" w:line="400" w:lineRule="exact"/>
        <w:ind w:firstLine="480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5.1 交付物清单</w:t>
      </w:r>
    </w:p>
    <w:p w14:paraId="4B28D29A">
      <w:pPr>
        <w:spacing w:before="0" w:after="40" w:line="400" w:lineRule="exact"/>
        <w:ind w:firstLine="480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5.2 完成情况对照</w:t>
      </w:r>
    </w:p>
    <w:p w14:paraId="42F714F9">
      <w:pPr>
        <w:spacing w:before="0" w:after="80" w:line="400" w:lineRule="exact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第6章 简要的使用说明</w:t>
      </w:r>
    </w:p>
    <w:p w14:paraId="10FE7991">
      <w:pPr>
        <w:spacing w:before="0" w:after="40" w:line="400" w:lineRule="exact"/>
        <w:ind w:firstLine="480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6.1 操作文档怎么用</w:t>
      </w:r>
    </w:p>
    <w:p w14:paraId="2DCE5168">
      <w:pPr>
        <w:spacing w:before="0" w:after="40" w:line="400" w:lineRule="exact"/>
        <w:ind w:firstLine="480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6.2 协同平台与商机广场的基本路径</w:t>
      </w:r>
    </w:p>
    <w:p w14:paraId="3776C883">
      <w:pPr>
        <w:spacing w:before="0" w:after="40" w:line="400" w:lineRule="exact"/>
        <w:ind w:firstLine="480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6.3 研究报告与建议清单怎么用</w:t>
      </w:r>
    </w:p>
    <w:p w14:paraId="6673C4F0">
      <w:pPr>
        <w:spacing w:before="0" w:after="80" w:line="400" w:lineRule="exact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第7章 总结</w:t>
      </w:r>
    </w:p>
    <w:p w14:paraId="2D313D0C">
      <w:pPr>
        <w:spacing w:before="0" w:after="40" w:line="400" w:lineRule="exact"/>
        <w:ind w:firstLine="480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7.1 特色</w:t>
      </w:r>
    </w:p>
    <w:p w14:paraId="5442B21D">
      <w:pPr>
        <w:spacing w:before="0" w:after="40" w:line="400" w:lineRule="exact"/>
        <w:ind w:firstLine="480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7.2 经验</w:t>
      </w:r>
    </w:p>
    <w:p w14:paraId="63D04BF1">
      <w:pPr>
        <w:spacing w:before="0" w:after="40" w:line="400" w:lineRule="exact"/>
        <w:ind w:firstLine="480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7.3 教训</w:t>
      </w:r>
    </w:p>
    <w:p w14:paraId="51EDC2BB">
      <w:pPr>
        <w:spacing w:before="0" w:after="40" w:line="400" w:lineRule="exact"/>
        <w:ind w:firstLine="480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7.4 感受</w:t>
      </w:r>
    </w:p>
    <w:p w14:paraId="2E60215B">
      <w:pPr>
        <w:spacing w:before="0" w:after="80" w:line="400" w:lineRule="exact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第8章 参考文献</w:t>
      </w:r>
    </w:p>
    <w:p w14:paraId="45EEC30C">
      <w:r>
        <w:br w:type="page"/>
      </w:r>
    </w:p>
    <w:p w14:paraId="4F9BA5DE">
      <w:pPr>
        <w:spacing w:before="400" w:after="400" w:line="400" w:lineRule="exact"/>
        <w:ind w:firstLine="0"/>
        <w:jc w:val="center"/>
      </w:pPr>
      <w:r>
        <w:rPr>
          <w:rFonts w:ascii="黑体" w:hAnsi="黑体" w:eastAsia="黑体"/>
          <w:b/>
          <w:sz w:val="32"/>
        </w:rPr>
        <w:t>摘要</w:t>
      </w:r>
    </w:p>
    <w:p w14:paraId="12D0095C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本次信息安全综合实践以自主实习的形式，在长城证券金融科技研发中心开展，实习内容主要是金融科技产品的产品研究、操作文档编写与产品运营支持。我本人的专业是信息安全，因此在完成产品与运营工作的同时，也习惯性地从专业角度去观察业务里的一些安全细节。三周里我产出的东西包括：协同平台五个面板的产品介绍视频、商机广场的三版操作文档、一份手拉手统一系统产品研究报告，以及产品地图、知识库和一份产品优化建议清单。因为是信息安全专业的学生，我在写文档和做研究时，会比纯产品视角多留意一些事情，比如敏感信息什么时候该脱敏、不同角色该看到什么、审批流程怎么留痕——但这些是我在实习中"顺带"的思考，我实际做的还是产品和运营的事。所用工具主要有 Markdown、Remotion、PowerPoint、Word、Obsidian、Git 和企业微信微盘。</w:t>
      </w:r>
    </w:p>
    <w:p w14:paraId="75DA5ACD">
      <w:pPr>
        <w:spacing w:before="0" w:after="80" w:line="400" w:lineRule="exact"/>
        <w:ind w:firstLine="480"/>
      </w:pPr>
      <w:r>
        <w:rPr>
          <w:rFonts w:ascii="宋体" w:hAnsi="宋体" w:eastAsia="宋体"/>
          <w:b/>
          <w:sz w:val="24"/>
        </w:rPr>
        <w:t>关键词：</w:t>
      </w:r>
      <w:r>
        <w:rPr>
          <w:rFonts w:ascii="宋体" w:hAnsi="宋体" w:eastAsia="宋体"/>
          <w:b w:val="0"/>
          <w:sz w:val="24"/>
        </w:rPr>
        <w:t xml:space="preserve"> 信息安全；金融科技；产品研究；操作文档；数据脱敏；权限控制</w:t>
      </w:r>
    </w:p>
    <w:p w14:paraId="7C7CC7D2">
      <w:pPr>
        <w:spacing w:before="400" w:after="400" w:line="400" w:lineRule="exact"/>
        <w:ind w:firstLine="0"/>
        <w:jc w:val="center"/>
        <w:rPr>
          <w:rFonts w:ascii="黑体" w:hAnsi="黑体" w:eastAsia="黑体"/>
          <w:b/>
          <w:sz w:val="32"/>
        </w:rPr>
      </w:pPr>
    </w:p>
    <w:p w14:paraId="6A184396">
      <w:pPr>
        <w:spacing w:before="400" w:after="400" w:line="400" w:lineRule="exact"/>
        <w:ind w:firstLine="0"/>
        <w:jc w:val="center"/>
        <w:rPr>
          <w:rFonts w:ascii="黑体" w:hAnsi="黑体" w:eastAsia="黑体"/>
          <w:b/>
          <w:sz w:val="32"/>
        </w:rPr>
      </w:pPr>
    </w:p>
    <w:p w14:paraId="16CAF600">
      <w:pPr>
        <w:spacing w:before="400" w:after="400" w:line="400" w:lineRule="exact"/>
        <w:ind w:firstLine="0"/>
        <w:jc w:val="center"/>
        <w:rPr>
          <w:rFonts w:ascii="黑体" w:hAnsi="黑体" w:eastAsia="黑体"/>
          <w:b/>
          <w:sz w:val="32"/>
        </w:rPr>
      </w:pPr>
    </w:p>
    <w:p w14:paraId="1AD22174">
      <w:pPr>
        <w:spacing w:before="400" w:after="400" w:line="400" w:lineRule="exact"/>
        <w:ind w:firstLine="0"/>
        <w:jc w:val="center"/>
        <w:rPr>
          <w:rFonts w:ascii="黑体" w:hAnsi="黑体" w:eastAsia="黑体"/>
          <w:b/>
          <w:sz w:val="32"/>
        </w:rPr>
      </w:pPr>
    </w:p>
    <w:p w14:paraId="34D167C1">
      <w:pPr>
        <w:spacing w:before="400" w:after="400" w:line="400" w:lineRule="exact"/>
        <w:ind w:firstLine="0"/>
        <w:jc w:val="center"/>
        <w:rPr>
          <w:rFonts w:ascii="黑体" w:hAnsi="黑体" w:eastAsia="黑体"/>
          <w:b/>
          <w:sz w:val="32"/>
        </w:rPr>
      </w:pPr>
    </w:p>
    <w:p w14:paraId="5BDF9A36">
      <w:pPr>
        <w:spacing w:before="400" w:after="400" w:line="400" w:lineRule="exact"/>
        <w:ind w:firstLine="0"/>
        <w:jc w:val="center"/>
        <w:rPr>
          <w:rFonts w:ascii="黑体" w:hAnsi="黑体" w:eastAsia="黑体"/>
          <w:b/>
          <w:sz w:val="32"/>
        </w:rPr>
      </w:pPr>
    </w:p>
    <w:p w14:paraId="0206E85B">
      <w:pPr>
        <w:spacing w:before="400" w:after="400" w:line="400" w:lineRule="exact"/>
        <w:ind w:firstLine="0"/>
        <w:jc w:val="center"/>
        <w:rPr>
          <w:rFonts w:ascii="黑体" w:hAnsi="黑体" w:eastAsia="黑体"/>
          <w:b/>
          <w:sz w:val="32"/>
        </w:rPr>
      </w:pPr>
    </w:p>
    <w:p w14:paraId="37516775">
      <w:pPr>
        <w:spacing w:before="400" w:after="400" w:line="400" w:lineRule="exact"/>
        <w:ind w:firstLine="0"/>
        <w:jc w:val="center"/>
        <w:rPr>
          <w:rFonts w:ascii="黑体" w:hAnsi="黑体" w:eastAsia="黑体"/>
          <w:b/>
          <w:sz w:val="32"/>
        </w:rPr>
      </w:pPr>
    </w:p>
    <w:p w14:paraId="57BCDD41">
      <w:pPr>
        <w:spacing w:before="400" w:after="400" w:line="400" w:lineRule="exact"/>
        <w:ind w:firstLine="0"/>
        <w:jc w:val="center"/>
        <w:rPr>
          <w:rFonts w:ascii="黑体" w:hAnsi="黑体" w:eastAsia="黑体"/>
          <w:b/>
          <w:sz w:val="32"/>
        </w:rPr>
      </w:pPr>
    </w:p>
    <w:p w14:paraId="6EF54607">
      <w:pPr>
        <w:spacing w:before="400" w:after="400" w:line="400" w:lineRule="exact"/>
        <w:ind w:firstLine="0"/>
        <w:jc w:val="center"/>
      </w:pPr>
      <w:bookmarkStart w:id="0" w:name="_GoBack"/>
      <w:bookmarkEnd w:id="0"/>
      <w:r>
        <w:rPr>
          <w:rFonts w:ascii="黑体" w:hAnsi="黑体" w:eastAsia="黑体"/>
          <w:b/>
          <w:sz w:val="32"/>
        </w:rPr>
        <w:t>第1章 概述</w:t>
      </w:r>
    </w:p>
    <w:p w14:paraId="7213A6CC">
      <w:pPr>
        <w:spacing w:before="240" w:after="120" w:line="400" w:lineRule="exact"/>
        <w:ind w:firstLine="480"/>
      </w:pPr>
      <w:r>
        <w:rPr>
          <w:rFonts w:ascii="黑体" w:hAnsi="黑体" w:eastAsia="黑体"/>
          <w:b/>
          <w:sz w:val="24"/>
        </w:rPr>
        <w:t>1.1 综合实践目的</w:t>
      </w:r>
    </w:p>
    <w:p w14:paraId="315B09AD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按课程要求，这次综合实践要把课堂学的信息安全原理用到真实场景里，建立比较完整的安全框架认识。我选了自主实习、进长城证券金融科技研发中心，主要是因为证券行业对数据安全和合规要求高，而我要做的正好是面向公司内部的产品和运营工作——这种环境很适合一个信息安全专业的学生去"对照着看"：课本上的那些原则，在真实业务里到底长什么样。需要说清楚的是，我实习的岗位是产品与运营方向，不是安全岗，信息安全在这里是我带进去的专业视角，不是我的工作内容。</w:t>
      </w:r>
    </w:p>
    <w:p w14:paraId="5BF19987">
      <w:pPr>
        <w:spacing w:before="240" w:after="120" w:line="400" w:lineRule="exact"/>
        <w:ind w:firstLine="480"/>
      </w:pPr>
      <w:r>
        <w:rPr>
          <w:rFonts w:ascii="黑体" w:hAnsi="黑体" w:eastAsia="黑体"/>
          <w:b/>
          <w:sz w:val="24"/>
        </w:rPr>
        <w:t>1.2 实习基本情况</w:t>
      </w:r>
    </w:p>
    <w:p w14:paraId="09D38ED0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实习单位长城证券金融科技研发中心，自主实习，2026 年 7 月 5 日到 24 日，共三周。第一天完成单位和学院备案，了解了终端备案、内外网隔离这些基本规范。之后工作围绕三块：对手拉手协同平台和商机广场做产品研究；为商机广场写操作文档；结合研究整理一份产品优化建议。带教导师徐亚琴（雅琴姐），团队长杨一骢（一聪哥）。</w:t>
      </w:r>
    </w:p>
    <w:p w14:paraId="6E9D508E">
      <w:pPr>
        <w:spacing w:before="240" w:after="120" w:line="400" w:lineRule="exact"/>
        <w:ind w:firstLine="480"/>
      </w:pPr>
      <w:r>
        <w:rPr>
          <w:rFonts w:ascii="黑体" w:hAnsi="黑体" w:eastAsia="黑体"/>
          <w:b/>
          <w:sz w:val="24"/>
        </w:rPr>
        <w:t>1.3 主要完成的任务</w:t>
      </w:r>
    </w:p>
    <w:p w14:paraId="795A4EE6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三周里我具体做了这些事：</w:t>
      </w:r>
    </w:p>
    <w:p w14:paraId="3DE8D326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（1）做了手拉手协同平台五个面板（首页、商机挖掘、协同管理、客户管理、AI 助理）的产品介绍短视频，Remotion 代码驱动，作新人培训物料。</w:t>
      </w:r>
    </w:p>
    <w:p w14:paraId="4EA8EAF0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（2）编写并迭代商机广场操作文档，出了全流程版、分角色版、补强版三版 PowerPoint，每版按导师反馈改。</w:t>
      </w:r>
    </w:p>
    <w:p w14:paraId="7DA1A0A9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（3）完成一份手拉手统一系统产品研究报告，从内部产品逻辑写起，补了行业背景和公开资料调研，最后排成十六页 Word 正式版交导师。</w:t>
      </w:r>
    </w:p>
    <w:p w14:paraId="1657CED1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（4）整理一份产品优化建议清单，几条都带页面或流程依据，发给导师。</w:t>
      </w:r>
    </w:p>
    <w:p w14:paraId="3808E1C7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（5）维护产品地图和知识库，把长城长、手拉手协同平台、商机广场三个概念的关系理清楚。</w:t>
      </w:r>
    </w:p>
    <w:p w14:paraId="6BAA3FB7">
      <w:pPr>
        <w:spacing w:before="240" w:after="120" w:line="400" w:lineRule="exact"/>
        <w:ind w:firstLine="480"/>
      </w:pPr>
      <w:r>
        <w:rPr>
          <w:rFonts w:ascii="黑体" w:hAnsi="黑体" w:eastAsia="黑体"/>
          <w:b/>
          <w:sz w:val="24"/>
        </w:rPr>
        <w:t>1.4 解决的主要问题</w:t>
      </w:r>
    </w:p>
    <w:p w14:paraId="033959EB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一是把产品关系搞明白了。一开始我分不清商机广场和协同平台谁先谁后，反复看截图和流程后才确认它们是两类并列的业务入口，长期可能收敛到同一系统。这个认识直接决定了研究报告的写法，也避免了文档前后矛盾。二是摸到了导师对文档的要求：框架要先想深、拿不准先对框架。前两周返工基本都栽在这上面。三是作为信息安全专业学生，我在做文档时多留了个心眼，比如敏感信息展示时机、有效期状态这些容易被忽略的细节——这算是我专业背景带来的额外收获，但不是实习的主要任务。</w:t>
      </w:r>
    </w:p>
    <w:p w14:paraId="1EED5B2F">
      <w:pPr>
        <w:spacing w:before="400" w:after="400" w:line="400" w:lineRule="exact"/>
        <w:ind w:firstLine="0"/>
        <w:jc w:val="center"/>
      </w:pPr>
      <w:r>
        <w:rPr>
          <w:rFonts w:ascii="黑体" w:hAnsi="黑体" w:eastAsia="黑体"/>
          <w:b/>
          <w:sz w:val="32"/>
        </w:rPr>
        <w:t>第2章 设计的基本概念和原理</w:t>
      </w:r>
    </w:p>
    <w:p w14:paraId="78FB3DF0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说明一下：这一章写的不是我"设计"了什么安全机制，而是我在做产品研究和写文档的过程中，反复用到的信息安全基础知识。正因为我是这个专业，看业务时会自然往这些原理上靠。</w:t>
      </w:r>
    </w:p>
    <w:p w14:paraId="239C85D4">
      <w:pPr>
        <w:spacing w:before="240" w:after="120" w:line="400" w:lineRule="exact"/>
        <w:ind w:firstLine="480"/>
      </w:pPr>
      <w:r>
        <w:rPr>
          <w:rFonts w:ascii="黑体" w:hAnsi="黑体" w:eastAsia="黑体"/>
          <w:b/>
          <w:sz w:val="24"/>
        </w:rPr>
        <w:t>2.1 身份认证与私有化部署</w:t>
      </w:r>
    </w:p>
    <w:p w14:paraId="2FB3B10E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平台建在企业微信私有版上。私有化部署意味着组织的通讯录、身份和聊天数据留在企业自己的环境，而不是公有云——这对金融这类强监管行业是基本要求。做产品研究时我理解到，企微私有版在这里其实是"身份底座"：谁能登录、看到哪个组织，由这套私有身份体系决定。这让我联想到课堂讲的身份认证：先确认"你是谁"，再谈后面能干什么。</w:t>
      </w:r>
    </w:p>
    <w:p w14:paraId="4297E102">
      <w:pPr>
        <w:spacing w:before="240" w:after="120" w:line="400" w:lineRule="exact"/>
        <w:ind w:firstLine="480"/>
      </w:pPr>
      <w:r>
        <w:rPr>
          <w:rFonts w:ascii="黑体" w:hAnsi="黑体" w:eastAsia="黑体"/>
          <w:b/>
          <w:sz w:val="24"/>
        </w:rPr>
        <w:t>2.2 权限控制与最小权限</w:t>
      </w:r>
    </w:p>
    <w:p w14:paraId="3CA1E02A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平台按角色展示不同任务和数据。商机广场里提报人、认领人、审核员看到的不一样。这种"按角色给不同视图"的做法，本质上就是基于角色的访问控制（RBAC），也是最小权限原则——每个人只看到自己职责范围内、当前确实需要的那部分信息。我在写分角色操作文档时，就是按这个逻辑把三类角色的视图分开写的。</w:t>
      </w:r>
    </w:p>
    <w:p w14:paraId="5F966161">
      <w:pPr>
        <w:spacing w:before="240" w:after="120" w:line="400" w:lineRule="exact"/>
        <w:ind w:firstLine="480"/>
      </w:pPr>
      <w:r>
        <w:rPr>
          <w:rFonts w:ascii="黑体" w:hAnsi="黑体" w:eastAsia="黑体"/>
          <w:b/>
          <w:sz w:val="24"/>
        </w:rPr>
        <w:t>2.3 数据脱敏与内容安全</w:t>
      </w:r>
    </w:p>
    <w:p w14:paraId="19C90153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商机广场里的商机常涉及并购、撮合这类高敏感商业信息，联系方式和标的细节不能随便露。产品的做法是列表和卡片上默认只显示部分信息，一方申请对接且对方同意后才展示完整联系方式，也就是"默认脱敏 + 显式授权后披露"。导师审文档时专门点出，撮合确认后联系方式就对对方可见，这一步必须给提示。我在文档里把"部分脱敏 → 同意后看完整"这步写清楚，也是因为专业背景让我对这类细节比较敏感。</w:t>
      </w:r>
    </w:p>
    <w:p w14:paraId="062D5DE9">
      <w:pPr>
        <w:spacing w:before="240" w:after="120" w:line="400" w:lineRule="exact"/>
        <w:ind w:firstLine="480"/>
      </w:pPr>
      <w:r>
        <w:rPr>
          <w:rFonts w:ascii="黑体" w:hAnsi="黑体" w:eastAsia="黑体"/>
          <w:b/>
          <w:sz w:val="24"/>
        </w:rPr>
        <w:t>2.4 操作审计与职责分离</w:t>
      </w:r>
    </w:p>
    <w:p w14:paraId="1D41DE39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协同申请走多级审批：提交后依次经本部负责人、投行综合部、投行部门负责人审核，最后完成。多级审批对应职责分离——关键操作不能一人拍板，要多方确认。从安全治理看，这条链也是一条审计轨迹：谁何时做了什么决定，系统有记录，出问题能回溯。这和课程里讲的日志与审计对得上。</w:t>
      </w:r>
    </w:p>
    <w:p w14:paraId="5743A41E">
      <w:pPr>
        <w:spacing w:before="240" w:after="120" w:line="400" w:lineRule="exact"/>
        <w:ind w:firstLine="480"/>
      </w:pPr>
      <w:r>
        <w:rPr>
          <w:rFonts w:ascii="黑体" w:hAnsi="黑体" w:eastAsia="黑体"/>
          <w:b/>
          <w:sz w:val="24"/>
        </w:rPr>
        <w:t>2.5 数据生命周期与终端安全</w:t>
      </w:r>
    </w:p>
    <w:p w14:paraId="1F811464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商机发布可选有效期（30、60、90 天），到期前七天提醒，期满自动下架。这是数据生命周期里"留存期限"的体现。另外入职配电脑时我碰到终端安全：内网机器走软件白名单、最小化安装，连不进内网的只能做外网查阅。换下来的机器带毒，先重装基线再纳入管控。这些在日志里只是"设备问题"，但放到安全框架下看，就是标准的主机加固。</w:t>
      </w:r>
    </w:p>
    <w:p w14:paraId="624345DE">
      <w:pPr>
        <w:spacing w:before="400" w:after="400" w:line="400" w:lineRule="exact"/>
        <w:ind w:firstLine="0"/>
        <w:jc w:val="center"/>
      </w:pPr>
      <w:r>
        <w:rPr>
          <w:rFonts w:ascii="黑体" w:hAnsi="黑体" w:eastAsia="黑体"/>
          <w:b/>
          <w:sz w:val="32"/>
        </w:rPr>
        <w:t>第3章 总体设计</w:t>
      </w:r>
    </w:p>
    <w:p w14:paraId="37C890D3">
      <w:pPr>
        <w:spacing w:before="240" w:after="120" w:line="400" w:lineRule="exact"/>
        <w:ind w:firstLine="480"/>
      </w:pPr>
      <w:r>
        <w:rPr>
          <w:rFonts w:ascii="黑体" w:hAnsi="黑体" w:eastAsia="黑体"/>
          <w:b/>
          <w:sz w:val="24"/>
        </w:rPr>
        <w:t>3.1 实现方法</w:t>
      </w:r>
    </w:p>
    <w:p w14:paraId="0CA7C0AA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我这次实习以产品研究和运营支持为主线，具体就是"产品研究 → 操作文档 → 优化建议"这条线。信息安全不是我的工作任务，而是我带进去的视角：每做到一处，我会顺手对照一下课堂原理，看看这个地方在真实业务里是怎么落地的。对一个信息安全学生来说，能这样从头跟一套真实系统，比单点做个小工具收获更大。</w:t>
      </w:r>
    </w:p>
    <w:p w14:paraId="2BE0C50D">
      <w:pPr>
        <w:spacing w:before="240" w:after="120" w:line="400" w:lineRule="exact"/>
        <w:ind w:firstLine="480"/>
      </w:pPr>
      <w:r>
        <w:rPr>
          <w:rFonts w:ascii="黑体" w:hAnsi="黑体" w:eastAsia="黑体"/>
          <w:b/>
          <w:sz w:val="24"/>
        </w:rPr>
        <w:t>3.2 技术路线</w:t>
      </w:r>
    </w:p>
    <w:p w14:paraId="56AD3131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整体路线分五步：</w:t>
      </w:r>
    </w:p>
    <w:p w14:paraId="7491DD78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（1）建立产品认知：搞清楚平台建在企微私有版上，身份和通讯由私有化部署保证，内外网隔离。</w:t>
      </w:r>
    </w:p>
    <w:p w14:paraId="7CB5C395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（2）做产品研究与文档：跑通商机广场发布、审核、认领、撮合全流程，自截图标，写出操作文档和研究报告。</w:t>
      </w:r>
    </w:p>
    <w:p w14:paraId="248ACE85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（3）对照安全原理：在看流程和写文档时，把遇到的脱敏、权限、审批、有效期这些点，和课堂概念对上号。</w:t>
      </w:r>
    </w:p>
    <w:p w14:paraId="0C27D047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（4）整理优化建议：把研究和文档里发现的、可改进的点汇总成清单。</w:t>
      </w:r>
    </w:p>
    <w:p w14:paraId="14E2FCE6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（5）沉淀知识库：用产品地图和图谱把概念关系固定下来。</w:t>
      </w:r>
    </w:p>
    <w:p w14:paraId="1D893B24">
      <w:pPr>
        <w:spacing w:before="240" w:after="120" w:line="400" w:lineRule="exact"/>
        <w:ind w:firstLine="480"/>
      </w:pPr>
      <w:r>
        <w:rPr>
          <w:rFonts w:ascii="黑体" w:hAnsi="黑体" w:eastAsia="黑体"/>
          <w:b/>
          <w:sz w:val="24"/>
        </w:rPr>
        <w:t>3.3 工具链</w:t>
      </w:r>
    </w:p>
    <w:p w14:paraId="6306FF34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文档用 Markdown 写，用 Obsidian 维护产品地图和知识库的关系图谱，用 Git 做版本控制，用企业微信微盘在内部传文件（不走明文外发）。视频用 Remotion 渲染，操作文档和报告用 PowerPoint 与 Word。AI 智能体只在公司允许范围内辅助资料归纳和排版，源码和内部数据严格遵守权限管理。</w:t>
      </w:r>
    </w:p>
    <w:p w14:paraId="01B94291">
      <w:pPr>
        <w:spacing w:before="400" w:after="400" w:line="400" w:lineRule="exact"/>
        <w:ind w:firstLine="0"/>
        <w:jc w:val="center"/>
      </w:pPr>
      <w:r>
        <w:rPr>
          <w:rFonts w:ascii="黑体" w:hAnsi="黑体" w:eastAsia="黑体"/>
          <w:b/>
          <w:sz w:val="32"/>
        </w:rPr>
        <w:t>第4章 详细设计</w:t>
      </w:r>
    </w:p>
    <w:p w14:paraId="7AC14CE0">
      <w:pPr>
        <w:spacing w:before="240" w:after="120" w:line="400" w:lineRule="exact"/>
        <w:ind w:firstLine="480"/>
      </w:pPr>
      <w:r>
        <w:rPr>
          <w:rFonts w:ascii="黑体" w:hAnsi="黑体" w:eastAsia="黑体"/>
          <w:b/>
          <w:sz w:val="24"/>
        </w:rPr>
        <w:t>4.1 主要交付物的内容与结构</w:t>
      </w:r>
    </w:p>
    <w:p w14:paraId="7E6B993F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这一节说清楚我实际做出来的东西长什么样。</w:t>
      </w:r>
    </w:p>
    <w:p w14:paraId="6C9F1D6D">
      <w:pPr>
        <w:spacing w:before="120" w:after="60" w:line="400" w:lineRule="exact"/>
        <w:ind w:firstLine="480"/>
      </w:pPr>
      <w:r>
        <w:rPr>
          <w:rFonts w:ascii="楷体" w:hAnsi="楷体" w:eastAsia="楷体"/>
          <w:b w:val="0"/>
          <w:sz w:val="24"/>
        </w:rPr>
        <w:t>4.1.1 协同平台产品介绍视频</w:t>
      </w:r>
    </w:p>
    <w:p w14:paraId="7186B039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五个面板各一段口播视频，约四十秒，用 Remotion 以代码方式定义文案与节奏，渲染成超宽屏 mp4。首页讲平台定位，商机挖掘讲发现企业，协同管理讲协同申请与分润，客户管理讲客户视图，AI 助理讲智能助手。视频面向新人，把"入口在哪、每步点哪"讲清楚。</w:t>
      </w:r>
    </w:p>
    <w:p w14:paraId="26BFCB26">
      <w:pPr>
        <w:spacing w:before="120" w:after="60" w:line="400" w:lineRule="exact"/>
        <w:ind w:firstLine="480"/>
      </w:pPr>
      <w:r>
        <w:rPr>
          <w:rFonts w:ascii="楷体" w:hAnsi="楷体" w:eastAsia="楷体"/>
          <w:b w:val="0"/>
          <w:sz w:val="24"/>
        </w:rPr>
        <w:t>4.1.2 商机广场操作文档</w:t>
      </w:r>
    </w:p>
    <w:p w14:paraId="679EC5DB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三版，结构不同：全流程版按"发布 → 审核 → 认领 → 撮合"环节讲；分角色版按提报人 / 认领人 / 审核员三种角色讲；补强版十七页，含场景、角色视角和术语收口。每步除了"点哪里"，还补了"填什么、状态什么意思"，并配自截实操图（截图前对敏感字段脱敏）。</w:t>
      </w:r>
    </w:p>
    <w:p w14:paraId="5010C5C9">
      <w:pPr>
        <w:spacing w:before="120" w:after="60" w:line="400" w:lineRule="exact"/>
        <w:ind w:firstLine="480"/>
      </w:pPr>
      <w:r>
        <w:rPr>
          <w:rFonts w:ascii="楷体" w:hAnsi="楷体" w:eastAsia="楷体"/>
          <w:b w:val="0"/>
          <w:sz w:val="24"/>
        </w:rPr>
        <w:t>4.1.3 手拉手统一系统产品研究报告</w:t>
      </w:r>
    </w:p>
    <w:p w14:paraId="755971F3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先写 Markdown 研究稿，讲内部产品逻辑、两类能力、双端布局、统一工作台判断、产品建议；再排成二十一张 Word 正式版，最后精简成十六页最终发送版。公开资料部分只引用年报和官网口径，没登录也没试用外部系统。</w:t>
      </w:r>
    </w:p>
    <w:p w14:paraId="75D521E8">
      <w:pPr>
        <w:spacing w:before="120" w:after="60" w:line="400" w:lineRule="exact"/>
        <w:ind w:firstLine="480"/>
      </w:pPr>
      <w:r>
        <w:rPr>
          <w:rFonts w:ascii="楷体" w:hAnsi="楷体" w:eastAsia="楷体"/>
          <w:b w:val="0"/>
          <w:sz w:val="24"/>
        </w:rPr>
        <w:t>4.1.4 产品优化建议清单</w:t>
      </w:r>
    </w:p>
    <w:p w14:paraId="1E42AA44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四条，都带页面或流程依据：移动端入口收敛、敏感信息展示时机、有效期提醒、PC 首页商机广场面板说明。发给导师评估优先级。</w:t>
      </w:r>
    </w:p>
    <w:p w14:paraId="0C2C12D9">
      <w:pPr>
        <w:spacing w:before="240" w:after="120" w:line="400" w:lineRule="exact"/>
        <w:ind w:firstLine="480"/>
      </w:pPr>
      <w:r>
        <w:rPr>
          <w:rFonts w:ascii="黑体" w:hAnsi="黑体" w:eastAsia="黑体"/>
          <w:b/>
          <w:sz w:val="24"/>
        </w:rPr>
        <w:t>4.2 交付物里顺带做的安全视角观察</w:t>
      </w:r>
    </w:p>
    <w:p w14:paraId="2476EBA5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这里列的不是我"设计"的安全功能，而是我在做上面这些交付物时，作为信息安全学生多留意到的几点。它们帮我把手头的文档写得更严谨，但不是我的工作岗位要求。</w:t>
      </w:r>
    </w:p>
    <w:p w14:paraId="1028786C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（1）脱敏与披露时机：商机联系方式默认脱敏、同意对接后才完整显示。我在文档里把这步写清楚，并建议撮合披露时给明确提示——这是内容安全和告知同意的体现。</w:t>
      </w:r>
    </w:p>
    <w:p w14:paraId="0BE2C032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（2）角色与权限视图：三类角色看到不同内容，对应 RBAC 和最小权限。分角色文档就是按这个逻辑组织的。</w:t>
      </w:r>
    </w:p>
    <w:p w14:paraId="480DCB34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（3）审批与审计链：协同申请多级审批，对应职责分离，也形成审计轨迹。</w:t>
      </w:r>
    </w:p>
    <w:p w14:paraId="21B26DCF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（4）有效期与留存：发布选有效期、到期自动下架，对应数据生命周期的留存控制。我在文档里补了"到期前七天提醒、期满下架"的说明。</w:t>
      </w:r>
    </w:p>
    <w:p w14:paraId="772A4731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（5）入口收敛：移动端把"协同申请"和"协同申请审批"收进一个"协同管理"入口、按权限展示，等于收窄功能暴露面。这一点我写进了优化建议。</w:t>
      </w:r>
    </w:p>
    <w:p w14:paraId="0AF43431">
      <w:pPr>
        <w:spacing w:before="400" w:after="400" w:line="400" w:lineRule="exact"/>
        <w:ind w:firstLine="0"/>
        <w:jc w:val="center"/>
      </w:pPr>
      <w:r>
        <w:rPr>
          <w:rFonts w:ascii="黑体" w:hAnsi="黑体" w:eastAsia="黑体"/>
          <w:b/>
          <w:sz w:val="32"/>
        </w:rPr>
        <w:t>第5章 完成的情况</w:t>
      </w:r>
    </w:p>
    <w:p w14:paraId="4C74B774">
      <w:pPr>
        <w:spacing w:before="240" w:after="120" w:line="400" w:lineRule="exact"/>
        <w:ind w:firstLine="480"/>
      </w:pPr>
      <w:r>
        <w:rPr>
          <w:rFonts w:ascii="黑体" w:hAnsi="黑体" w:eastAsia="黑体"/>
          <w:b/>
          <w:sz w:val="24"/>
        </w:rPr>
        <w:t>5.1 交付物清单</w:t>
      </w:r>
    </w:p>
    <w:p w14:paraId="67D88F53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三周下来，我产出了以下成果：</w:t>
      </w:r>
    </w:p>
    <w:p w14:paraId="3D44E87F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（1）手拉手协同平台五个面板的产品介绍视频，共五段，每段约四十秒。</w:t>
      </w:r>
    </w:p>
    <w:p w14:paraId="4E4981BF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（2）商机广场操作文档三版：全流程版（按环节讲）、分角色版（按角色讲）、补强版（十七页，含场景、角色视角和术语收口）。</w:t>
      </w:r>
    </w:p>
    <w:p w14:paraId="4266D9F4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（3）《手拉手统一系统产品研究报告》一份，先写 Markdown 研究稿，再排版成二十一张的 Word 正式版，最后精简为十六页的最终发送版。</w:t>
      </w:r>
    </w:p>
    <w:p w14:paraId="4D232861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（4）产品地图与知识库入口各一份，把三个核心概念和它们的关系固定下来。</w:t>
      </w:r>
    </w:p>
    <w:p w14:paraId="1F8DB6BE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（5）产品优化建议清单一份，四条建议都带页面或流程依据。</w:t>
      </w:r>
    </w:p>
    <w:p w14:paraId="457CAC00">
      <w:pPr>
        <w:spacing w:before="240" w:after="120" w:line="400" w:lineRule="exact"/>
        <w:ind w:firstLine="480"/>
      </w:pPr>
      <w:r>
        <w:rPr>
          <w:rFonts w:ascii="黑体" w:hAnsi="黑体" w:eastAsia="黑体"/>
          <w:b/>
          <w:sz w:val="24"/>
        </w:rPr>
        <w:t>5.2 完成情况对照</w:t>
      </w:r>
    </w:p>
    <w:p w14:paraId="66CB45BA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计划里的三块任务（产品研究、操作文档、优化建议）都完成了。其中操作文档返工最多，原因一开始是框架想得不够深，后来按导师要求改成"从操作文档做起"、先把基础打扎实，质量才上来。研究报告经历了 v1 到 v2 再到最终版，行业背景和公开资料调研是后面补的。优化建议目前导师认可方向，入口收敛和有效期提醒这两条让我先细化，还没展开成正式文档。安全相关的那几点观察，是我在写文档过程中顺带补进去的，不算独立任务。</w:t>
      </w:r>
    </w:p>
    <w:p w14:paraId="006D9113">
      <w:pPr>
        <w:spacing w:before="400" w:after="400" w:line="400" w:lineRule="exact"/>
        <w:ind w:firstLine="0"/>
        <w:jc w:val="center"/>
      </w:pPr>
      <w:r>
        <w:rPr>
          <w:rFonts w:ascii="黑体" w:hAnsi="黑体" w:eastAsia="黑体"/>
          <w:b/>
          <w:sz w:val="32"/>
        </w:rPr>
        <w:t>第6章 简要的使用说明</w:t>
      </w:r>
    </w:p>
    <w:p w14:paraId="76AF69EB">
      <w:pPr>
        <w:spacing w:before="240" w:after="120" w:line="400" w:lineRule="exact"/>
        <w:ind w:firstLine="480"/>
      </w:pPr>
      <w:r>
        <w:rPr>
          <w:rFonts w:ascii="黑体" w:hAnsi="黑体" w:eastAsia="黑体"/>
          <w:b/>
          <w:sz w:val="24"/>
        </w:rPr>
        <w:t>6.1 操作文档怎么用</w:t>
      </w:r>
    </w:p>
    <w:p w14:paraId="72D56EEF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商机广场操作文档是给新人和相关业务同事看的。全流程版适合第一次接触的人，按"发布 → 审核 → 认领 → 撮合"的顺序走一遍；分角色版适合已经知道自己是哪类角色的人，直接看自己的操作路径；补强版是给导师和老员工做核对用的，内容最全。看的时候注意每步旁边的状态说明，比如审核有通过、驳回、待审核，对接有同意、拒绝，别只盯着主路径。</w:t>
      </w:r>
    </w:p>
    <w:p w14:paraId="2681176E">
      <w:pPr>
        <w:spacing w:before="240" w:after="120" w:line="400" w:lineRule="exact"/>
        <w:ind w:firstLine="480"/>
      </w:pPr>
      <w:r>
        <w:rPr>
          <w:rFonts w:ascii="黑体" w:hAnsi="黑体" w:eastAsia="黑体"/>
          <w:b/>
          <w:sz w:val="24"/>
        </w:rPr>
        <w:t>6.2 协同平台与商机广场的基本路径</w:t>
      </w:r>
    </w:p>
    <w:p w14:paraId="5E02E388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协同平台（PC 端）的核心是协同申请与分润：在系统里发起协同、总部接单、按规则分润。商机广场（手机端）的核心是发布和认领商机：业务人员在外面发现并购或撮合需求，发到广场，专业同事认领，撮合成功后回到 PC 端发起协同。两者目前是两类入口，长期可能收敛到手拉手统一系统。报告里对这些路径都画了图，对照着看不容易混。</w:t>
      </w:r>
    </w:p>
    <w:p w14:paraId="267C8E2A">
      <w:pPr>
        <w:spacing w:before="240" w:after="120" w:line="400" w:lineRule="exact"/>
        <w:ind w:firstLine="480"/>
      </w:pPr>
      <w:r>
        <w:rPr>
          <w:rFonts w:ascii="黑体" w:hAnsi="黑体" w:eastAsia="黑体"/>
          <w:b/>
          <w:sz w:val="24"/>
        </w:rPr>
        <w:t>6.3 研究报告与建议清单怎么用</w:t>
      </w:r>
    </w:p>
    <w:p w14:paraId="5D45089E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研究报告是给团队内部理解产品和做后续规划用的，公开资料部分只引用年报和官网口径，没有登录或试用外部系统。优化建议清单是给导师评估改进优先级的，每一条都写了依据和影响范围，后续如果要落地，会再写成正式的 PRD。</w:t>
      </w:r>
    </w:p>
    <w:p w14:paraId="4447AEE6">
      <w:pPr>
        <w:spacing w:before="400" w:after="400" w:line="400" w:lineRule="exact"/>
        <w:ind w:firstLine="0"/>
        <w:jc w:val="center"/>
      </w:pPr>
      <w:r>
        <w:rPr>
          <w:rFonts w:ascii="黑体" w:hAnsi="黑体" w:eastAsia="黑体"/>
          <w:b/>
          <w:sz w:val="32"/>
        </w:rPr>
        <w:t>第7章 总结</w:t>
      </w:r>
    </w:p>
    <w:p w14:paraId="710CD299">
      <w:pPr>
        <w:spacing w:before="240" w:after="120" w:line="400" w:lineRule="exact"/>
        <w:ind w:firstLine="480"/>
      </w:pPr>
      <w:r>
        <w:rPr>
          <w:rFonts w:ascii="黑体" w:hAnsi="黑体" w:eastAsia="黑体"/>
          <w:b/>
          <w:sz w:val="24"/>
        </w:rPr>
        <w:t>7.1 特色</w:t>
      </w:r>
    </w:p>
    <w:p w14:paraId="2BDD6418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这次实践的特色不在"做了安全"，而在我把信息安全专业的眼睛带进了产品与运营实习。同样看一个"联系方式什么时候显示"，产品同学只看体验，我会先想到内容安全和最小权限。这种视角叠加，让我写的文档比纯产品视角多了安全这一层考量——但它始终是我专业背景带来的附加值，不是我的岗位职责。</w:t>
      </w:r>
    </w:p>
    <w:p w14:paraId="133F47AD">
      <w:pPr>
        <w:spacing w:before="240" w:after="120" w:line="400" w:lineRule="exact"/>
        <w:ind w:firstLine="480"/>
      </w:pPr>
      <w:r>
        <w:rPr>
          <w:rFonts w:ascii="黑体" w:hAnsi="黑体" w:eastAsia="黑体"/>
          <w:b/>
          <w:sz w:val="24"/>
        </w:rPr>
        <w:t>7.2 经验</w:t>
      </w:r>
    </w:p>
    <w:p w14:paraId="37B9D1F5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第一，框架先行。前两周反复返工，根子都在"框架没想清楚就动手"。后来养成习惯，动手前先把结构想全，拿不准就先和导师对框架，返工明显少了。第二，ToB 产品要站在"让读的人理解、会用"的角度组织内容，不能只堆操作步骤，要考虑角色和业务闭环。第三，带专业视角看业务确实有帮助，但得摆在合适的位置，不能喧宾夺主。</w:t>
      </w:r>
    </w:p>
    <w:p w14:paraId="39154E7E">
      <w:pPr>
        <w:spacing w:before="240" w:after="120" w:line="400" w:lineRule="exact"/>
        <w:ind w:firstLine="480"/>
      </w:pPr>
      <w:r>
        <w:rPr>
          <w:rFonts w:ascii="黑体" w:hAnsi="黑体" w:eastAsia="黑体"/>
          <w:b/>
          <w:sz w:val="24"/>
        </w:rPr>
        <w:t>7.3 教训</w:t>
      </w:r>
    </w:p>
    <w:p w14:paraId="296E0628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教训也有。一是前期对产品关系理解偏差，把商机广场当成协同平台的前置环节，写了半天发现不对，又返工重来，浪费了不少时间。二是安全细节容易被忽略，像敏感信息展示时机、有效期到期后的状态，都是导师审到第三遍才点出的，说明我对"安全要落到每个字段、每个状态"还不够敏感——尽管我自己就是学这个的。</w:t>
      </w:r>
    </w:p>
    <w:p w14:paraId="6665F5ED">
      <w:pPr>
        <w:spacing w:before="240" w:after="120" w:line="400" w:lineRule="exact"/>
        <w:ind w:firstLine="480"/>
      </w:pPr>
      <w:r>
        <w:rPr>
          <w:rFonts w:ascii="黑体" w:hAnsi="黑体" w:eastAsia="黑体"/>
          <w:b/>
          <w:sz w:val="24"/>
        </w:rPr>
        <w:t>7.4 感受</w:t>
      </w:r>
    </w:p>
    <w:p w14:paraId="7DC81F3E">
      <w:pPr>
        <w:spacing w:before="0" w:after="80" w:line="400" w:lineRule="exact"/>
        <w:ind w:firstLine="480"/>
      </w:pPr>
      <w:r>
        <w:rPr>
          <w:rFonts w:ascii="宋体" w:hAnsi="宋体" w:eastAsia="宋体"/>
          <w:b w:val="0"/>
          <w:sz w:val="24"/>
        </w:rPr>
        <w:t>三周前入职时，我连产品长什么样都看不到；三周后，我已经能独立写出一份产品研究报告，还能从专业角度提几点观察。最大的感受是，课本上那些抽象的原则——私有化、脱敏、最小权限、职责分离——在真实业务里都不是名词解释，而是每天在做的具体决定。能看到它们怎么落地，是这次实习最值的地方；而我自己的本职工作，始终是把产品和运营的事做好。</w:t>
      </w:r>
    </w:p>
    <w:p w14:paraId="1AEF67A5">
      <w:pPr>
        <w:spacing w:before="400" w:after="400" w:line="400" w:lineRule="exact"/>
        <w:ind w:firstLine="0"/>
        <w:jc w:val="center"/>
      </w:pPr>
      <w:r>
        <w:rPr>
          <w:rFonts w:ascii="黑体" w:hAnsi="黑体" w:eastAsia="黑体"/>
          <w:b/>
          <w:sz w:val="32"/>
        </w:rPr>
        <w:t>第8章 参考文献</w:t>
      </w:r>
    </w:p>
    <w:p w14:paraId="1FD19032">
      <w:pPr>
        <w:spacing w:before="0" w:after="80" w:line="360" w:lineRule="exact"/>
      </w:pPr>
      <w:r>
        <w:rPr>
          <w:rFonts w:ascii="楷体" w:hAnsi="楷体" w:eastAsia="楷体"/>
          <w:b w:val="0"/>
          <w:sz w:val="21"/>
        </w:rPr>
        <w:t>[1] 国家市场监督管理总局，国家标准化管理委员会. GB/T 22239-2019 信息安全技术 网络安全等级保护基本要求[S]. 北京：中国标准出版社，2019.</w:t>
      </w:r>
    </w:p>
    <w:p w14:paraId="0F03DF35">
      <w:pPr>
        <w:spacing w:before="0" w:after="80" w:line="360" w:lineRule="exact"/>
      </w:pPr>
      <w:r>
        <w:rPr>
          <w:rFonts w:ascii="楷体" w:hAnsi="楷体" w:eastAsia="楷体"/>
          <w:b w:val="0"/>
          <w:sz w:val="21"/>
        </w:rPr>
        <w:t>[2] 国家市场监督管理总局，国家标准化管理委员会. GB/T 37988-2019 信息安全技术 数据安全能力成熟度模型[S]. 北京：中国标准出版社，2019.</w:t>
      </w:r>
    </w:p>
    <w:p w14:paraId="1814970C">
      <w:pPr>
        <w:spacing w:before="0" w:after="80" w:line="360" w:lineRule="exact"/>
      </w:pPr>
      <w:r>
        <w:rPr>
          <w:rFonts w:ascii="楷体" w:hAnsi="楷体" w:eastAsia="楷体"/>
          <w:b w:val="0"/>
          <w:sz w:val="21"/>
        </w:rPr>
        <w:t>[3] 国家市场监督管理总局，国家标准化管理委员会. GB/T 35273-2020 信息安全技术 个人信息安全规范[S]. 北京：中国标准出版社，2020.</w:t>
      </w:r>
    </w:p>
    <w:p w14:paraId="0C324544">
      <w:pPr>
        <w:spacing w:before="0" w:after="80" w:line="360" w:lineRule="exact"/>
      </w:pPr>
      <w:r>
        <w:rPr>
          <w:rFonts w:ascii="楷体" w:hAnsi="楷体" w:eastAsia="楷体"/>
          <w:b w:val="0"/>
          <w:sz w:val="21"/>
        </w:rPr>
        <w:t>[4] Sandhu R S, Coyne E J, Feinstein H L, et al. Role-Based Access Control Models[J]. IEEE Computer, 1996, 29(2): 38-47.</w:t>
      </w:r>
    </w:p>
    <w:p w14:paraId="734ECD2A">
      <w:pPr>
        <w:spacing w:before="0" w:after="80" w:line="360" w:lineRule="exact"/>
      </w:pPr>
      <w:r>
        <w:rPr>
          <w:rFonts w:ascii="楷体" w:hAnsi="楷体" w:eastAsia="楷体"/>
          <w:b w:val="0"/>
          <w:sz w:val="21"/>
        </w:rPr>
        <w:t>[5] 中国人民银行. JR/T 0197-2020 金融数据安全 数据安全分级指南[S]. 北京：中国金融出版社，2020.</w:t>
      </w:r>
    </w:p>
    <w:p w14:paraId="4D22BB70">
      <w:pPr>
        <w:spacing w:before="0" w:after="80" w:line="360" w:lineRule="exact"/>
      </w:pPr>
      <w:r>
        <w:rPr>
          <w:rFonts w:ascii="楷体" w:hAnsi="楷体" w:eastAsia="楷体"/>
          <w:b w:val="0"/>
          <w:sz w:val="21"/>
        </w:rPr>
        <w:t>[6] 腾讯公司. 企业微信私有化部署白皮书[EB/OL]. https://work.weixin.qq.com/, 2023.</w:t>
      </w:r>
    </w:p>
    <w:p w14:paraId="31062F95">
      <w:pPr>
        <w:spacing w:before="0" w:after="80" w:line="360" w:lineRule="exact"/>
      </w:pPr>
      <w:r>
        <w:rPr>
          <w:rFonts w:ascii="楷体" w:hAnsi="楷体" w:eastAsia="楷体"/>
          <w:b w:val="0"/>
          <w:sz w:val="21"/>
        </w:rPr>
        <w:t>[7] 中国信息通信研究院. 金融科技安全发展报告[R]. 北京：中国信通院，2024.</w:t>
      </w:r>
    </w:p>
    <w:p w14:paraId="2DD49DBC">
      <w:pPr>
        <w:spacing w:before="0" w:after="80" w:line="360" w:lineRule="exact"/>
      </w:pPr>
      <w:r>
        <w:rPr>
          <w:rFonts w:ascii="楷体" w:hAnsi="楷体" w:eastAsia="楷体"/>
          <w:b w:val="0"/>
          <w:sz w:val="21"/>
        </w:rPr>
        <w:t>[8] 国家标准化管理委员会. GB/T 25069-2022 信息安全技术 术语[S]. 北京：中国标准出版社，2022.</w:t>
      </w:r>
    </w:p>
    <w:p w14:paraId="01739764">
      <w:pPr>
        <w:spacing w:before="0" w:after="80" w:line="360" w:lineRule="exact"/>
      </w:pPr>
      <w:r>
        <w:rPr>
          <w:rFonts w:ascii="楷体" w:hAnsi="楷体" w:eastAsia="楷体"/>
          <w:b w:val="0"/>
          <w:sz w:val="21"/>
        </w:rPr>
        <w:t>[9] NIST. SP 800-53 Security and Privacy Controls for Information Systems and Organizations[S]. NIST, 2020.</w:t>
      </w:r>
    </w:p>
    <w:p w14:paraId="784159D0">
      <w:pPr>
        <w:spacing w:before="0" w:after="80" w:line="360" w:lineRule="exact"/>
      </w:pPr>
      <w:r>
        <w:rPr>
          <w:rFonts w:ascii="楷体" w:hAnsi="楷体" w:eastAsia="楷体"/>
          <w:b w:val="0"/>
          <w:sz w:val="21"/>
        </w:rPr>
        <w:t>[10] 杨波. 现代密码学及应用[M]. 北京：清华大学出版社，2015.</w:t>
      </w:r>
    </w:p>
    <w:sectPr>
      <w:headerReference r:id="rId8" w:type="default"/>
      <w:footerReference r:id="rId9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2C903">
    <w:pPr>
      <w:pStyle w:val="24"/>
      <w:framePr w:wrap="around" w:vAnchor="text" w:hAnchor="margin" w:xAlign="center" w:y="1"/>
      <w:tabs>
        <w:tab w:val="center" w:pos="4153"/>
        <w:tab w:val="right" w:pos="8306"/>
        <w:tab w:val="clear" w:pos="4680"/>
        <w:tab w:val="clear" w:pos="9360"/>
      </w:tabs>
      <w:rPr>
        <w:rStyle w:val="134"/>
      </w:rPr>
    </w:pPr>
    <w:r>
      <w:rPr>
        <w:rStyle w:val="134"/>
      </w:rPr>
      <w:fldChar w:fldCharType="begin"/>
    </w:r>
    <w:r>
      <w:rPr>
        <w:rStyle w:val="134"/>
      </w:rPr>
      <w:instrText xml:space="preserve">PAGE  </w:instrText>
    </w:r>
    <w:r>
      <w:rPr>
        <w:rStyle w:val="134"/>
      </w:rPr>
      <w:fldChar w:fldCharType="separate"/>
    </w:r>
    <w:r>
      <w:rPr>
        <w:rStyle w:val="134"/>
      </w:rPr>
      <w:t>II</w:t>
    </w:r>
    <w:r>
      <w:rPr>
        <w:rStyle w:val="134"/>
      </w:rPr>
      <w:fldChar w:fldCharType="end"/>
    </w:r>
  </w:p>
  <w:p w14:paraId="44F3D30E">
    <w:pPr>
      <w:pStyle w:val="24"/>
      <w:tabs>
        <w:tab w:val="center" w:pos="4153"/>
        <w:tab w:val="right" w:pos="8306"/>
        <w:tab w:val="clear" w:pos="4680"/>
        <w:tab w:val="clear" w:pos="9360"/>
      </w:tabs>
      <w:jc w:val="center"/>
    </w:pPr>
  </w:p>
  <w:p w14:paraId="389A7663">
    <w:pPr>
      <w:pStyle w:val="24"/>
      <w:tabs>
        <w:tab w:val="center" w:pos="4153"/>
        <w:tab w:val="right" w:pos="8306"/>
        <w:tab w:val="clear" w:pos="4680"/>
        <w:tab w:val="clear" w:pos="936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DAB19">
    <w:pPr>
      <w:pStyle w:val="24"/>
      <w:framePr w:wrap="around" w:vAnchor="text" w:hAnchor="margin" w:xAlign="center" w:y="1"/>
      <w:tabs>
        <w:tab w:val="center" w:pos="4153"/>
        <w:tab w:val="right" w:pos="8306"/>
        <w:tab w:val="clear" w:pos="4680"/>
        <w:tab w:val="clear" w:pos="9360"/>
      </w:tabs>
      <w:rPr>
        <w:rStyle w:val="134"/>
      </w:rPr>
    </w:pPr>
    <w:r>
      <w:rPr>
        <w:rStyle w:val="134"/>
      </w:rPr>
      <w:fldChar w:fldCharType="begin"/>
    </w:r>
    <w:r>
      <w:rPr>
        <w:rStyle w:val="134"/>
      </w:rPr>
      <w:instrText xml:space="preserve">PAGE  </w:instrText>
    </w:r>
    <w:r>
      <w:rPr>
        <w:rStyle w:val="134"/>
      </w:rPr>
      <w:fldChar w:fldCharType="end"/>
    </w:r>
  </w:p>
  <w:p w14:paraId="292E2439">
    <w:pPr>
      <w:pStyle w:val="24"/>
      <w:tabs>
        <w:tab w:val="center" w:pos="4153"/>
        <w:tab w:val="right" w:pos="8306"/>
        <w:tab w:val="clear" w:pos="4680"/>
        <w:tab w:val="clear" w:pos="9360"/>
      </w:tabs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E1C61">
    <w:pPr>
      <w:pStyle w:val="24"/>
      <w:tabs>
        <w:tab w:val="center" w:pos="4153"/>
        <w:tab w:val="right" w:pos="8306"/>
        <w:tab w:val="clear" w:pos="4680"/>
        <w:tab w:val="clear" w:pos="9360"/>
      </w:tabs>
      <w:jc w:val="center"/>
      <w:rPr>
        <w:rFonts w:hint="eastAsia"/>
        <w:lang w:eastAsia="zh-CN"/>
      </w:rPr>
    </w:pPr>
    <w:r>
      <w:rPr>
        <w:rFonts w:hint="eastAsia"/>
        <w:lang w:eastAsia="zh-CN"/>
      </w:rPr>
      <w:t>Ⅰ</w:t>
    </w:r>
  </w:p>
  <w:p w14:paraId="1B8CAADE">
    <w:pPr>
      <w:pStyle w:val="24"/>
      <w:tabs>
        <w:tab w:val="center" w:pos="4153"/>
        <w:tab w:val="right" w:pos="8306"/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7D82A0">
    <w:pPr>
      <w:pStyle w:val="25"/>
      <w:pBdr>
        <w:bottom w:val="none" w:color="auto" w:sz="0" w:space="0"/>
      </w:pBdr>
      <w:tabs>
        <w:tab w:val="center" w:pos="4153"/>
        <w:tab w:val="right" w:pos="8306"/>
        <w:tab w:val="clear" w:pos="4680"/>
        <w:tab w:val="clear" w:pos="9360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F9786F">
    <w:pPr>
      <w:pBdr>
        <w:bottom w:val="single" w:color="auto" w:sz="6" w:space="0"/>
      </w:pBdr>
      <w:tabs>
        <w:tab w:val="left" w:pos="1485"/>
        <w:tab w:val="center" w:pos="4153"/>
        <w:tab w:val="right" w:pos="8306"/>
      </w:tabs>
      <w:snapToGrid w:val="0"/>
      <w:jc w:val="distribute"/>
      <w:rPr>
        <w:rFonts w:ascii="黑体" w:eastAsia="黑体"/>
        <w:sz w:val="18"/>
        <w:szCs w:val="18"/>
      </w:rPr>
    </w:pPr>
    <w:r>
      <w:rPr>
        <w:rFonts w:ascii="华文楷体" w:hAnsi="华文楷体" w:eastAsia="华文楷体"/>
        <w:b/>
        <w:bCs/>
        <w:kern w:val="0"/>
        <w:sz w:val="72"/>
        <w:szCs w:val="72"/>
      </w:rPr>
      <w:drawing>
        <wp:inline distT="0" distB="0" distL="114300" distR="114300">
          <wp:extent cx="1093470" cy="285115"/>
          <wp:effectExtent l="0" t="0" r="24130" b="19685"/>
          <wp:docPr id="2" name="图片 2" descr="毕业设计(论文)图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毕业设计(论文)图标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3470" cy="285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</w:t>
    </w:r>
    <w:r>
      <w:rPr>
        <w:rFonts w:hint="eastAsia" w:ascii="黑体" w:eastAsia="黑体"/>
        <w:szCs w:val="21"/>
      </w:rPr>
      <w:t xml:space="preserve">                           </w:t>
    </w:r>
    <w:r>
      <w:rPr>
        <w:rFonts w:hint="eastAsia" w:ascii="黑体" w:eastAsia="黑体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5F78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page number"/>
    <w:uiPriority w:val="0"/>
    <w:rPr>
      <w:rFonts w:cs="Times New Roman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1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杨锟</cp:lastModifiedBy>
  <dcterms:modified xsi:type="dcterms:W3CDTF">2026-07-24T11:26:23Z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D6E48B92F234BE675FDB626A80CD84A2_42</vt:lpwstr>
  </property>
</Properties>
</file>