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sz w:val="32"/>
        </w:rPr>
        <w:t>实习生成长故事</w:t>
      </w:r>
    </w:p>
    <w:p>
      <w:r>
        <w:rPr>
          <w:rFonts w:ascii="宋体" w:hAnsi="宋体" w:eastAsia="宋体"/>
          <w:sz w:val="24"/>
        </w:rPr>
        <w:t>入职前两天，我连产品长什么样都看不到。</w:t>
      </w:r>
    </w:p>
    <w:p>
      <w:r>
        <w:rPr>
          <w:rFonts w:ascii="宋体" w:hAnsi="宋体" w:eastAsia="宋体"/>
          <w:sz w:val="24"/>
        </w:rPr>
        <w:t>七月初到长城证券金融科技研发中心报到，本以为能立刻上手做产品的事，结果前两天都在配环境——内网电脑要重装、软件有白名单、MacBook 连不上内网。导师给我布置了第一个活：写协同平台的推文和视频。</w:t>
      </w:r>
    </w:p>
    <w:p>
      <w:r>
        <w:rPr>
          <w:rFonts w:ascii="宋体" w:hAnsi="宋体" w:eastAsia="宋体"/>
          <w:sz w:val="24"/>
        </w:rPr>
        <w:t>我按自己的思路写完交上去，被驳回了。不是格式问题，是思考方向完全跑偏了，导师让我先回到脚本，把"讲给同事听"这件事想清楚。我重写再交，方向还是不对。导师干脆说："别自己琢磨了，从我的操作文档做起。"我放下预设，把商机广场"发布—审核—认领—撮合"全流程跑通，截了二十几张图，按角色拆成三条线，这版过了。</w:t>
      </w:r>
    </w:p>
    <w:p>
      <w:r>
        <w:rPr>
          <w:rFonts w:ascii="宋体" w:hAnsi="宋体" w:eastAsia="宋体"/>
          <w:sz w:val="24"/>
        </w:rPr>
        <w:t>那次之后我记住了一句话：框架没想清楚就动手，后面全是返工。团队长一骢哥在实习生会上也点过我：导师看重的不是你多快交活，而是思考的过程、怎么解决问题、沟通的主动性；每一次沟通后要同频共振，多去了解别的业务部门，在业务里找能智能化的痛点。</w:t>
      </w:r>
    </w:p>
    <w:p>
      <w:r>
        <w:rPr>
          <w:rFonts w:ascii="宋体" w:hAnsi="宋体" w:eastAsia="宋体"/>
          <w:sz w:val="24"/>
        </w:rPr>
        <w:t>现在实习还在继续。业务和金融知识我还在补，从理解和运营工作到能担任产品迭代，这条路我还在往前走。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