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A7F6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  <w:r w:rsidRPr="003804E1">
        <w:rPr>
          <w:rFonts w:ascii="Calibri" w:hAnsi="Calibri" w:cs="Times New Roman" w:hint="eastAsia"/>
          <w:kern w:val="2"/>
          <w:szCs w:val="24"/>
          <w:lang w:eastAsia="zh-CN"/>
        </w:rPr>
        <w:t xml:space="preserve">      </w:t>
      </w:r>
    </w:p>
    <w:p w14:paraId="5AA164E7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CA8D844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47DAD8C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1477D603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cs="Times New Roman"/>
          <w:b/>
          <w:kern w:val="2"/>
          <w:sz w:val="44"/>
          <w:szCs w:val="44"/>
          <w:lang w:eastAsia="zh-CN"/>
        </w:rPr>
      </w:pPr>
    </w:p>
    <w:p w14:paraId="5459F832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cs="Times New Roman"/>
          <w:b/>
          <w:kern w:val="2"/>
          <w:sz w:val="44"/>
          <w:szCs w:val="44"/>
          <w:lang w:eastAsia="zh-CN"/>
        </w:rPr>
      </w:pPr>
      <w:r w:rsidRPr="003804E1">
        <w:rPr>
          <w:rFonts w:cs="Times New Roman" w:hint="eastAsia"/>
          <w:b/>
          <w:kern w:val="2"/>
          <w:sz w:val="44"/>
          <w:szCs w:val="44"/>
          <w:lang w:eastAsia="zh-CN"/>
        </w:rPr>
        <w:t>2025</w:t>
      </w:r>
      <w:r w:rsidRPr="003804E1">
        <w:rPr>
          <w:rFonts w:cs="Times New Roman" w:hint="eastAsia"/>
          <w:b/>
          <w:kern w:val="2"/>
          <w:sz w:val="44"/>
          <w:szCs w:val="44"/>
          <w:lang w:eastAsia="zh-CN"/>
        </w:rPr>
        <w:t>级机械工程研究生</w:t>
      </w:r>
    </w:p>
    <w:p w14:paraId="1A937E78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 w:val="44"/>
          <w:szCs w:val="44"/>
          <w:lang w:eastAsia="zh-CN"/>
        </w:rPr>
      </w:pPr>
      <w:r w:rsidRPr="003804E1">
        <w:rPr>
          <w:rFonts w:cs="Times New Roman" w:hint="eastAsia"/>
          <w:b/>
          <w:kern w:val="2"/>
          <w:sz w:val="44"/>
          <w:szCs w:val="44"/>
          <w:lang w:eastAsia="zh-CN"/>
        </w:rPr>
        <w:t>《先进制造加工技术》结课论文</w:t>
      </w:r>
    </w:p>
    <w:p w14:paraId="27676F14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461D0F8F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63EAAAC0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3CA584BB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34E1D2E0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5663A627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47EA0AA6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8A74C08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451CC4EB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BBB4881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5AD97499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635AF59C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338D4E52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4F0261CD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296ED04A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1B39600E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0326C345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011DDACE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15FAECF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EC21ED8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82647F7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6FA3C68A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904870D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3DBE05B8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3DEE3165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5E9C974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24E25836" w14:textId="4D384A55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 w:val="28"/>
          <w:szCs w:val="28"/>
          <w:lang w:eastAsia="zh-CN"/>
        </w:rPr>
      </w:pPr>
      <w:r w:rsidRPr="003804E1">
        <w:rPr>
          <w:rFonts w:ascii="Calibri" w:hAnsi="Calibri" w:cs="Times New Roman" w:hint="eastAsia"/>
          <w:b/>
          <w:kern w:val="2"/>
          <w:sz w:val="28"/>
          <w:szCs w:val="28"/>
          <w:lang w:eastAsia="zh-CN"/>
        </w:rPr>
        <w:t>主题</w:t>
      </w:r>
      <w:r w:rsidRPr="003804E1">
        <w:rPr>
          <w:rFonts w:ascii="Calibri" w:hAnsi="Calibri" w:cs="Times New Roman" w:hint="eastAsia"/>
          <w:b/>
          <w:kern w:val="2"/>
          <w:sz w:val="28"/>
          <w:szCs w:val="28"/>
          <w:lang w:eastAsia="zh-CN"/>
        </w:rPr>
        <w:t xml:space="preserve"> </w:t>
      </w:r>
      <w:r w:rsidRPr="003804E1">
        <w:rPr>
          <w:rFonts w:ascii="Calibri" w:hAnsi="Calibri" w:cs="Times New Roman" w:hint="eastAsia"/>
          <w:kern w:val="2"/>
          <w:sz w:val="28"/>
          <w:szCs w:val="28"/>
          <w:lang w:eastAsia="zh-CN"/>
        </w:rPr>
        <w:t>____</w:t>
      </w:r>
      <w:r w:rsidRPr="003804E1">
        <w:rPr>
          <w:b/>
          <w:sz w:val="32"/>
          <w:u w:val="single"/>
          <w:lang w:eastAsia="zh-CN"/>
        </w:rPr>
        <w:t>极紫外光刻（</w:t>
      </w:r>
      <w:r w:rsidRPr="003804E1">
        <w:rPr>
          <w:b/>
          <w:sz w:val="32"/>
          <w:u w:val="single"/>
          <w:lang w:eastAsia="zh-CN"/>
        </w:rPr>
        <w:t>EUV</w:t>
      </w:r>
      <w:r w:rsidRPr="003804E1">
        <w:rPr>
          <w:b/>
          <w:sz w:val="32"/>
          <w:u w:val="single"/>
          <w:lang w:eastAsia="zh-CN"/>
        </w:rPr>
        <w:t>）技术综述</w:t>
      </w:r>
      <w:r w:rsidRPr="003804E1">
        <w:rPr>
          <w:rFonts w:ascii="Calibri" w:hAnsi="Calibri" w:cs="Times New Roman" w:hint="eastAsia"/>
          <w:kern w:val="2"/>
          <w:sz w:val="28"/>
          <w:szCs w:val="28"/>
          <w:lang w:eastAsia="zh-CN"/>
        </w:rPr>
        <w:t>_____</w:t>
      </w:r>
    </w:p>
    <w:p w14:paraId="1A5EC6D8" w14:textId="66E06688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 w:val="28"/>
          <w:szCs w:val="28"/>
          <w:lang w:eastAsia="zh-CN"/>
        </w:rPr>
      </w:pPr>
      <w:r w:rsidRPr="003804E1">
        <w:rPr>
          <w:rFonts w:ascii="Calibri" w:hAnsi="Calibri" w:cs="Times New Roman" w:hint="eastAsia"/>
          <w:b/>
          <w:kern w:val="2"/>
          <w:sz w:val="28"/>
          <w:szCs w:val="28"/>
          <w:lang w:eastAsia="zh-CN"/>
        </w:rPr>
        <w:t>姓名</w:t>
      </w:r>
      <w:r w:rsidRPr="003804E1">
        <w:rPr>
          <w:rFonts w:ascii="Calibri" w:hAnsi="Calibri" w:cs="Times New Roman" w:hint="eastAsia"/>
          <w:b/>
          <w:kern w:val="2"/>
          <w:sz w:val="28"/>
          <w:szCs w:val="28"/>
          <w:lang w:eastAsia="zh-CN"/>
        </w:rPr>
        <w:t xml:space="preserve"> </w:t>
      </w:r>
      <w:r w:rsidRPr="003804E1">
        <w:rPr>
          <w:rFonts w:ascii="Calibri" w:hAnsi="Calibri" w:cs="Times New Roman" w:hint="eastAsia"/>
          <w:kern w:val="2"/>
          <w:sz w:val="28"/>
          <w:szCs w:val="28"/>
          <w:lang w:eastAsia="zh-CN"/>
        </w:rPr>
        <w:t>_______</w:t>
      </w:r>
      <w:r w:rsidRPr="003804E1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>张瀚文</w:t>
      </w:r>
      <w:r w:rsidRPr="003804E1">
        <w:rPr>
          <w:rFonts w:ascii="Calibri" w:hAnsi="Calibri" w:cs="Times New Roman" w:hint="eastAsia"/>
          <w:kern w:val="2"/>
          <w:sz w:val="28"/>
          <w:szCs w:val="28"/>
          <w:lang w:eastAsia="zh-CN"/>
        </w:rPr>
        <w:t>____________</w:t>
      </w:r>
    </w:p>
    <w:p w14:paraId="40FEFAED" w14:textId="647750BA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 w:val="28"/>
          <w:szCs w:val="28"/>
          <w:lang w:eastAsia="zh-CN"/>
        </w:rPr>
      </w:pPr>
      <w:r w:rsidRPr="003804E1">
        <w:rPr>
          <w:rFonts w:ascii="Calibri" w:hAnsi="Calibri" w:cs="Times New Roman" w:hint="eastAsia"/>
          <w:b/>
          <w:kern w:val="2"/>
          <w:sz w:val="28"/>
          <w:szCs w:val="28"/>
          <w:lang w:eastAsia="zh-CN"/>
        </w:rPr>
        <w:t>学号</w:t>
      </w:r>
      <w:r w:rsidRPr="003804E1">
        <w:rPr>
          <w:rFonts w:ascii="Calibri" w:hAnsi="Calibri" w:cs="Times New Roman" w:hint="eastAsia"/>
          <w:b/>
          <w:kern w:val="2"/>
          <w:sz w:val="28"/>
          <w:szCs w:val="28"/>
          <w:lang w:eastAsia="zh-CN"/>
        </w:rPr>
        <w:t xml:space="preserve"> </w:t>
      </w:r>
      <w:r w:rsidRPr="003804E1">
        <w:rPr>
          <w:rFonts w:ascii="Calibri" w:hAnsi="Calibri" w:cs="Times New Roman" w:hint="eastAsia"/>
          <w:kern w:val="2"/>
          <w:sz w:val="28"/>
          <w:szCs w:val="28"/>
          <w:lang w:eastAsia="zh-CN"/>
        </w:rPr>
        <w:t>________</w:t>
      </w:r>
      <w:r w:rsidRPr="003804E1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>2501984</w:t>
      </w:r>
      <w:r w:rsidRPr="003804E1">
        <w:rPr>
          <w:rFonts w:ascii="Calibri" w:hAnsi="Calibri" w:cs="Times New Roman" w:hint="eastAsia"/>
          <w:kern w:val="2"/>
          <w:sz w:val="28"/>
          <w:szCs w:val="28"/>
          <w:lang w:eastAsia="zh-CN"/>
        </w:rPr>
        <w:t>____________</w:t>
      </w:r>
    </w:p>
    <w:p w14:paraId="10ED2141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74217534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429A4DBE" w14:textId="77777777" w:rsidR="003804E1" w:rsidRPr="003804E1" w:rsidRDefault="003804E1" w:rsidP="003804E1">
      <w:pPr>
        <w:widowControl w:val="0"/>
        <w:spacing w:after="0" w:line="240" w:lineRule="auto"/>
        <w:jc w:val="center"/>
        <w:rPr>
          <w:rFonts w:ascii="Calibri" w:hAnsi="Calibri" w:cs="Times New Roman"/>
          <w:kern w:val="2"/>
          <w:szCs w:val="24"/>
          <w:lang w:eastAsia="zh-CN"/>
        </w:rPr>
      </w:pPr>
    </w:p>
    <w:p w14:paraId="00973B7E" w14:textId="77777777" w:rsidR="00DF0FE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4D1FC3B" w14:textId="4D8A7711" w:rsidR="00DF0FEE" w:rsidRDefault="00000000">
      <w:pPr>
        <w:spacing w:after="0" w:line="360" w:lineRule="auto"/>
        <w:jc w:val="center"/>
        <w:rPr>
          <w:lang w:eastAsia="zh-CN"/>
        </w:rPr>
      </w:pPr>
      <w:r>
        <w:rPr>
          <w:b/>
          <w:sz w:val="32"/>
          <w:lang w:eastAsia="zh-CN"/>
        </w:rPr>
        <w:lastRenderedPageBreak/>
        <w:t>极紫外光刻（</w:t>
      </w:r>
      <w:r>
        <w:rPr>
          <w:b/>
          <w:sz w:val="32"/>
          <w:lang w:eastAsia="zh-CN"/>
        </w:rPr>
        <w:t>EUV</w:t>
      </w:r>
      <w:r>
        <w:rPr>
          <w:b/>
          <w:sz w:val="32"/>
          <w:lang w:eastAsia="zh-CN"/>
        </w:rPr>
        <w:t>）技术综述：高</w:t>
      </w:r>
      <w:r>
        <w:rPr>
          <w:b/>
          <w:sz w:val="32"/>
          <w:lang w:eastAsia="zh-CN"/>
        </w:rPr>
        <w:t>NA</w:t>
      </w:r>
      <w:r>
        <w:rPr>
          <w:b/>
          <w:sz w:val="32"/>
          <w:lang w:eastAsia="zh-CN"/>
        </w:rPr>
        <w:t>扩展、材料体系与随机缺陷控制</w:t>
      </w:r>
    </w:p>
    <w:p w14:paraId="46C64AC3" w14:textId="0BCDC30C" w:rsidR="00DF0FEE" w:rsidRDefault="003804E1">
      <w:pPr>
        <w:spacing w:after="0" w:line="360" w:lineRule="auto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张瀚文</w:t>
      </w:r>
    </w:p>
    <w:p w14:paraId="402EEC4A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sz w:val="28"/>
          <w:lang w:eastAsia="zh-CN"/>
        </w:rPr>
        <w:t>摘要</w:t>
      </w:r>
    </w:p>
    <w:p w14:paraId="632B975E" w14:textId="77777777" w:rsidR="00DF0FEE" w:rsidRDefault="00000000">
      <w:pPr>
        <w:spacing w:after="0" w:line="360" w:lineRule="auto"/>
        <w:jc w:val="both"/>
        <w:rPr>
          <w:lang w:eastAsia="zh-CN"/>
        </w:rPr>
      </w:pPr>
      <w:r>
        <w:rPr>
          <w:lang w:eastAsia="zh-CN"/>
        </w:rPr>
        <w:t>极紫外光刻（</w:t>
      </w:r>
      <w:r>
        <w:rPr>
          <w:lang w:eastAsia="zh-CN"/>
        </w:rPr>
        <w:t>EUVL</w:t>
      </w:r>
      <w:r>
        <w:rPr>
          <w:lang w:eastAsia="zh-CN"/>
        </w:rPr>
        <w:t>）以</w:t>
      </w:r>
      <w:r>
        <w:rPr>
          <w:lang w:eastAsia="zh-CN"/>
        </w:rPr>
        <w:t>13.5 nm</w:t>
      </w:r>
      <w:r>
        <w:rPr>
          <w:lang w:eastAsia="zh-CN"/>
        </w:rPr>
        <w:t>波长和反射式成像体系突破深紫外（</w:t>
      </w:r>
      <w:r>
        <w:rPr>
          <w:lang w:eastAsia="zh-CN"/>
        </w:rPr>
        <w:t>DUV</w:t>
      </w:r>
      <w:r>
        <w:rPr>
          <w:lang w:eastAsia="zh-CN"/>
        </w:rPr>
        <w:t>）光刻的分辨率上限，已成为先进逻辑与存储器节点高体量制造的关键图形化手段。随着特征尺寸进入数纳米量级，</w:t>
      </w:r>
      <w:r>
        <w:rPr>
          <w:lang w:eastAsia="zh-CN"/>
        </w:rPr>
        <w:t>EUVL</w:t>
      </w:r>
      <w:r>
        <w:rPr>
          <w:lang w:eastAsia="zh-CN"/>
        </w:rPr>
        <w:t>在提升分辨率的同时，逐步暴露出</w:t>
      </w:r>
      <w:r>
        <w:rPr>
          <w:lang w:eastAsia="zh-CN"/>
        </w:rPr>
        <w:t>“</w:t>
      </w:r>
      <w:r>
        <w:rPr>
          <w:lang w:eastAsia="zh-CN"/>
        </w:rPr>
        <w:t>装备</w:t>
      </w:r>
      <w:r>
        <w:rPr>
          <w:lang w:eastAsia="zh-CN"/>
        </w:rPr>
        <w:t>—</w:t>
      </w:r>
      <w:r>
        <w:rPr>
          <w:lang w:eastAsia="zh-CN"/>
        </w:rPr>
        <w:t>掩模</w:t>
      </w:r>
      <w:r>
        <w:rPr>
          <w:lang w:eastAsia="zh-CN"/>
        </w:rPr>
        <w:t>—</w:t>
      </w:r>
      <w:r>
        <w:rPr>
          <w:lang w:eastAsia="zh-CN"/>
        </w:rPr>
        <w:t>材料</w:t>
      </w:r>
      <w:r>
        <w:rPr>
          <w:lang w:eastAsia="zh-CN"/>
        </w:rPr>
        <w:t>—</w:t>
      </w:r>
      <w:r>
        <w:rPr>
          <w:lang w:eastAsia="zh-CN"/>
        </w:rPr>
        <w:t>量测</w:t>
      </w:r>
      <w:r>
        <w:rPr>
          <w:lang w:eastAsia="zh-CN"/>
        </w:rPr>
        <w:t>”</w:t>
      </w:r>
      <w:r>
        <w:rPr>
          <w:lang w:eastAsia="zh-CN"/>
        </w:rPr>
        <w:t>全链条耦合的瓶颈：光源功率与碎屑控制、反射光学效率与污染清洗、掩模三维效应与缺陷可印性、光刻胶的分辨率</w:t>
      </w:r>
      <w:r>
        <w:rPr>
          <w:lang w:eastAsia="zh-CN"/>
        </w:rPr>
        <w:t>—</w:t>
      </w:r>
      <w:r>
        <w:rPr>
          <w:lang w:eastAsia="zh-CN"/>
        </w:rPr>
        <w:t>粗糙度</w:t>
      </w:r>
      <w:r>
        <w:rPr>
          <w:lang w:eastAsia="zh-CN"/>
        </w:rPr>
        <w:t>—</w:t>
      </w:r>
      <w:r>
        <w:rPr>
          <w:lang w:eastAsia="zh-CN"/>
        </w:rPr>
        <w:t>灵敏度（</w:t>
      </w:r>
      <w:r>
        <w:rPr>
          <w:lang w:eastAsia="zh-CN"/>
        </w:rPr>
        <w:t>RLS</w:t>
      </w:r>
      <w:r>
        <w:rPr>
          <w:lang w:eastAsia="zh-CN"/>
        </w:rPr>
        <w:t>）矛盾以及随机缺陷带来的良率风险。本文基于近三年的代表性研究与产业进展，系统梳理</w:t>
      </w:r>
      <w:r>
        <w:rPr>
          <w:lang w:eastAsia="zh-CN"/>
        </w:rPr>
        <w:t>EUV</w:t>
      </w:r>
      <w:r>
        <w:rPr>
          <w:lang w:eastAsia="zh-CN"/>
        </w:rPr>
        <w:t>曝光系统的组成与成像原理，重点综述高</w:t>
      </w:r>
      <w:r>
        <w:rPr>
          <w:lang w:eastAsia="zh-CN"/>
        </w:rPr>
        <w:t>NA EUV</w:t>
      </w:r>
      <w:r>
        <w:rPr>
          <w:lang w:eastAsia="zh-CN"/>
        </w:rPr>
        <w:t>生态的关键变化，并围绕金属氧化物光刻胶、先进显影</w:t>
      </w:r>
      <w:r>
        <w:rPr>
          <w:lang w:eastAsia="zh-CN"/>
        </w:rPr>
        <w:t>/</w:t>
      </w:r>
      <w:r>
        <w:rPr>
          <w:lang w:eastAsia="zh-CN"/>
        </w:rPr>
        <w:t>后处理、随机效应建模与抑制、以及掩模</w:t>
      </w:r>
      <w:r>
        <w:rPr>
          <w:lang w:eastAsia="zh-CN"/>
        </w:rPr>
        <w:t>/</w:t>
      </w:r>
      <w:r>
        <w:rPr>
          <w:lang w:eastAsia="zh-CN"/>
        </w:rPr>
        <w:t>反射镜量测与标定等方向总结主要进展与挑战，最后对未来</w:t>
      </w:r>
      <w:r>
        <w:rPr>
          <w:lang w:eastAsia="zh-CN"/>
        </w:rPr>
        <w:t>EUV</w:t>
      </w:r>
      <w:r>
        <w:rPr>
          <w:lang w:eastAsia="zh-CN"/>
        </w:rPr>
        <w:t>技术演进路线与研究重点进行展望。</w:t>
      </w:r>
    </w:p>
    <w:p w14:paraId="1A5ACBBD" w14:textId="77777777" w:rsidR="00DF0FEE" w:rsidRDefault="00000000">
      <w:pPr>
        <w:spacing w:after="0" w:line="360" w:lineRule="auto"/>
        <w:rPr>
          <w:lang w:eastAsia="zh-CN"/>
        </w:rPr>
      </w:pPr>
      <w:r>
        <w:rPr>
          <w:lang w:eastAsia="zh-CN"/>
        </w:rPr>
        <w:t>关键词：极紫外光刻；高</w:t>
      </w:r>
      <w:r>
        <w:rPr>
          <w:lang w:eastAsia="zh-CN"/>
        </w:rPr>
        <w:t>NA</w:t>
      </w:r>
      <w:r>
        <w:rPr>
          <w:lang w:eastAsia="zh-CN"/>
        </w:rPr>
        <w:t>；光刻胶；掩模；随机缺陷</w:t>
      </w:r>
    </w:p>
    <w:p w14:paraId="2846DC4A" w14:textId="417319CC" w:rsidR="00DF0FEE" w:rsidRDefault="00000000">
      <w:pPr>
        <w:spacing w:after="0" w:line="360" w:lineRule="auto"/>
        <w:jc w:val="center"/>
      </w:pPr>
      <w:r>
        <w:rPr>
          <w:b/>
          <w:sz w:val="28"/>
        </w:rPr>
        <w:t>A Review of Extreme Ultraviolet Lithography: High-NA Scaling, Materials, and Stochastic Challenges</w:t>
      </w:r>
    </w:p>
    <w:p w14:paraId="417DD96D" w14:textId="77777777" w:rsidR="00DF0FEE" w:rsidRDefault="00000000">
      <w:pPr>
        <w:spacing w:after="0" w:line="360" w:lineRule="auto"/>
      </w:pPr>
      <w:r>
        <w:rPr>
          <w:b/>
          <w:sz w:val="28"/>
        </w:rPr>
        <w:t>Abstract</w:t>
      </w:r>
    </w:p>
    <w:p w14:paraId="140AFC92" w14:textId="77777777" w:rsidR="00DF0FEE" w:rsidRDefault="00000000">
      <w:pPr>
        <w:spacing w:after="0" w:line="360" w:lineRule="auto"/>
        <w:jc w:val="both"/>
      </w:pPr>
      <w:r>
        <w:t>Extreme ultraviolet lithography (EUVL) at 13.5 nm has become the workhorse patterning technology for leading-edge logic and memory manufacturing. As feature sizes move toward the single-digit-nanometer regime, EUVL scaling is no longer dominated by optics alone; instead, throughput, mask infrastructure, photoresist chemistry, metrology, and stochastic variability form a tightly coupled system. This review summarizes key advances reported in the last three years, covering (i) imaging fundamentals and high-NA (0.55) scanner concepts, (ii) EUV mask stacks, 3D effects and actinic inspection, (iii) photoresist materials with emphasis on metal-oxide resists and process innovations, and (iv) the origins and mitigation of stochastic defects including photon and chemical statistics. We conclude with an outlook on the remaining bottlenecks for high-NA ecosystem readiness and future EUV extensions.</w:t>
      </w:r>
    </w:p>
    <w:p w14:paraId="04883BF1" w14:textId="77777777" w:rsidR="00DF0FEE" w:rsidRDefault="00000000">
      <w:pPr>
        <w:spacing w:after="0" w:line="360" w:lineRule="auto"/>
      </w:pPr>
      <w:r>
        <w:t>Keywords: EUV lithography; high-NA; photoresist; mask; stochastic defects</w:t>
      </w:r>
    </w:p>
    <w:p w14:paraId="79704A4A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sz w:val="28"/>
          <w:lang w:eastAsia="zh-CN"/>
        </w:rPr>
        <w:t xml:space="preserve">1 </w:t>
      </w:r>
      <w:r>
        <w:rPr>
          <w:b/>
          <w:sz w:val="28"/>
          <w:lang w:eastAsia="zh-CN"/>
        </w:rPr>
        <w:t>引言</w:t>
      </w:r>
    </w:p>
    <w:p w14:paraId="63DEEC7F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lastRenderedPageBreak/>
        <w:t>集成电路持续微缩推动光刻波长从</w:t>
      </w:r>
      <w:r>
        <w:rPr>
          <w:lang w:eastAsia="zh-CN"/>
        </w:rPr>
        <w:t>g</w:t>
      </w:r>
      <w:r>
        <w:rPr>
          <w:lang w:eastAsia="zh-CN"/>
        </w:rPr>
        <w:t>线、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线、</w:t>
      </w:r>
      <w:proofErr w:type="spellStart"/>
      <w:r>
        <w:rPr>
          <w:lang w:eastAsia="zh-CN"/>
        </w:rPr>
        <w:t>KrF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ArF</w:t>
      </w:r>
      <w:proofErr w:type="spellEnd"/>
      <w:r>
        <w:rPr>
          <w:lang w:eastAsia="zh-CN"/>
        </w:rPr>
        <w:t>深紫外（</w:t>
      </w:r>
      <w:r>
        <w:rPr>
          <w:lang w:eastAsia="zh-CN"/>
        </w:rPr>
        <w:t>DUV</w:t>
      </w:r>
      <w:r>
        <w:rPr>
          <w:lang w:eastAsia="zh-CN"/>
        </w:rPr>
        <w:t>）逐步走向</w:t>
      </w:r>
      <w:r>
        <w:rPr>
          <w:lang w:eastAsia="zh-CN"/>
        </w:rPr>
        <w:t>13.5 nm</w:t>
      </w:r>
      <w:r>
        <w:rPr>
          <w:lang w:eastAsia="zh-CN"/>
        </w:rPr>
        <w:t>极紫外（</w:t>
      </w:r>
      <w:r>
        <w:rPr>
          <w:lang w:eastAsia="zh-CN"/>
        </w:rPr>
        <w:t>EUV</w:t>
      </w:r>
      <w:r>
        <w:rPr>
          <w:lang w:eastAsia="zh-CN"/>
        </w:rPr>
        <w:t>）。</w:t>
      </w:r>
      <w:r>
        <w:rPr>
          <w:lang w:eastAsia="zh-CN"/>
        </w:rPr>
        <w:t>EUV</w:t>
      </w:r>
      <w:r>
        <w:rPr>
          <w:lang w:eastAsia="zh-CN"/>
        </w:rPr>
        <w:t>光子能量高、材料吸收强，使得系统必须采用全反射光学与真空环境，并依赖多层膜反射镜在窄带内获得可用反射率</w:t>
      </w:r>
      <w:r>
        <w:rPr>
          <w:lang w:eastAsia="zh-CN"/>
        </w:rPr>
        <w:t>[1]</w:t>
      </w:r>
      <w:r>
        <w:rPr>
          <w:lang w:eastAsia="zh-CN"/>
        </w:rPr>
        <w:t>。近年</w:t>
      </w:r>
      <w:r>
        <w:rPr>
          <w:lang w:eastAsia="zh-CN"/>
        </w:rPr>
        <w:t>EUV</w:t>
      </w:r>
      <w:r>
        <w:rPr>
          <w:lang w:eastAsia="zh-CN"/>
        </w:rPr>
        <w:t>在先进节点量产中不断扩大使用范围，但当临界尺寸进一步逼近</w:t>
      </w:r>
      <w:r>
        <w:rPr>
          <w:lang w:eastAsia="zh-CN"/>
        </w:rPr>
        <w:t>10 nm</w:t>
      </w:r>
      <w:r>
        <w:rPr>
          <w:lang w:eastAsia="zh-CN"/>
        </w:rPr>
        <w:t>甚至更小，</w:t>
      </w:r>
      <w:r>
        <w:rPr>
          <w:lang w:eastAsia="zh-CN"/>
        </w:rPr>
        <w:t>EUV</w:t>
      </w:r>
      <w:r>
        <w:rPr>
          <w:lang w:eastAsia="zh-CN"/>
        </w:rPr>
        <w:t>的分辨率与工艺窗口仍受到数值孔径（</w:t>
      </w:r>
      <w:r>
        <w:rPr>
          <w:lang w:eastAsia="zh-CN"/>
        </w:rPr>
        <w:t>NA</w:t>
      </w:r>
      <w:r>
        <w:rPr>
          <w:lang w:eastAsia="zh-CN"/>
        </w:rPr>
        <w:t>）、掩模三维效应、以及材料与统计波动等因素的共同约束。</w:t>
      </w:r>
    </w:p>
    <w:p w14:paraId="7A23A876" w14:textId="77777777" w:rsidR="00DF0FEE" w:rsidRDefault="00000000">
      <w:pPr>
        <w:spacing w:after="0" w:line="360" w:lineRule="auto"/>
        <w:jc w:val="both"/>
        <w:rPr>
          <w:lang w:eastAsia="zh-CN"/>
        </w:rPr>
      </w:pPr>
      <w:r>
        <w:rPr>
          <w:lang w:eastAsia="zh-CN"/>
        </w:rPr>
        <w:t>为延续单次曝光的分辨率能力，产业正推进高</w:t>
      </w:r>
      <w:r>
        <w:rPr>
          <w:lang w:eastAsia="zh-CN"/>
        </w:rPr>
        <w:t>NA</w:t>
      </w:r>
      <w:r>
        <w:rPr>
          <w:lang w:eastAsia="zh-CN"/>
        </w:rPr>
        <w:t>（典型为</w:t>
      </w:r>
      <w:r>
        <w:rPr>
          <w:lang w:eastAsia="zh-CN"/>
        </w:rPr>
        <w:t>0.55</w:t>
      </w:r>
      <w:r>
        <w:rPr>
          <w:lang w:eastAsia="zh-CN"/>
        </w:rPr>
        <w:t>）</w:t>
      </w:r>
      <w:r>
        <w:rPr>
          <w:lang w:eastAsia="zh-CN"/>
        </w:rPr>
        <w:t>EUV</w:t>
      </w:r>
      <w:r>
        <w:rPr>
          <w:lang w:eastAsia="zh-CN"/>
        </w:rPr>
        <w:t>曝光系统。高</w:t>
      </w:r>
      <w:r>
        <w:rPr>
          <w:lang w:eastAsia="zh-CN"/>
        </w:rPr>
        <w:t>NA</w:t>
      </w:r>
      <w:r>
        <w:rPr>
          <w:lang w:eastAsia="zh-CN"/>
        </w:rPr>
        <w:t>通常伴随非对称倍率（</w:t>
      </w:r>
      <w:r>
        <w:rPr>
          <w:lang w:eastAsia="zh-CN"/>
        </w:rPr>
        <w:t>anamorphic</w:t>
      </w:r>
      <w:r>
        <w:rPr>
          <w:lang w:eastAsia="zh-CN"/>
        </w:rPr>
        <w:t>）成像、更大的入射</w:t>
      </w:r>
      <w:r>
        <w:rPr>
          <w:lang w:eastAsia="zh-CN"/>
        </w:rPr>
        <w:t>/</w:t>
      </w:r>
      <w:r>
        <w:rPr>
          <w:lang w:eastAsia="zh-CN"/>
        </w:rPr>
        <w:t>反射角范围以及更严格的像差与偏振控制，从而对掩模、量测、光刻胶与工艺协同提出更高要求</w:t>
      </w:r>
      <w:r>
        <w:rPr>
          <w:lang w:eastAsia="zh-CN"/>
        </w:rPr>
        <w:t>[4]</w:t>
      </w:r>
      <w:r>
        <w:rPr>
          <w:lang w:eastAsia="zh-CN"/>
        </w:rPr>
        <w:t>。与此同时，</w:t>
      </w:r>
      <w:r>
        <w:rPr>
          <w:lang w:eastAsia="zh-CN"/>
        </w:rPr>
        <w:t>EUV</w:t>
      </w:r>
      <w:r>
        <w:rPr>
          <w:lang w:eastAsia="zh-CN"/>
        </w:rPr>
        <w:t>光刻胶面临分辨率</w:t>
      </w:r>
      <w:r>
        <w:rPr>
          <w:lang w:eastAsia="zh-CN"/>
        </w:rPr>
        <w:t>—</w:t>
      </w:r>
      <w:r>
        <w:rPr>
          <w:lang w:eastAsia="zh-CN"/>
        </w:rPr>
        <w:t>粗糙度</w:t>
      </w:r>
      <w:r>
        <w:rPr>
          <w:lang w:eastAsia="zh-CN"/>
        </w:rPr>
        <w:t>—</w:t>
      </w:r>
      <w:r>
        <w:rPr>
          <w:lang w:eastAsia="zh-CN"/>
        </w:rPr>
        <w:t>灵敏度（</w:t>
      </w:r>
      <w:r>
        <w:rPr>
          <w:lang w:eastAsia="zh-CN"/>
        </w:rPr>
        <w:t>RLS</w:t>
      </w:r>
      <w:r>
        <w:rPr>
          <w:lang w:eastAsia="zh-CN"/>
        </w:rPr>
        <w:t>）三者难以兼顾的矛盾，并在小剂量高分辨图形化时显著放大随机缺陷风险</w:t>
      </w:r>
      <w:r>
        <w:rPr>
          <w:lang w:eastAsia="zh-CN"/>
        </w:rPr>
        <w:t>[2,3]</w:t>
      </w:r>
      <w:r>
        <w:rPr>
          <w:lang w:eastAsia="zh-CN"/>
        </w:rPr>
        <w:t>。因此，对</w:t>
      </w:r>
      <w:r>
        <w:rPr>
          <w:lang w:eastAsia="zh-CN"/>
        </w:rPr>
        <w:t>EUV</w:t>
      </w:r>
      <w:r>
        <w:rPr>
          <w:lang w:eastAsia="zh-CN"/>
        </w:rPr>
        <w:t>全链条关键技术进行系统梳理，对于理解其演进方向与研究重点具有重要意义。</w:t>
      </w:r>
    </w:p>
    <w:p w14:paraId="4502BF63" w14:textId="77777777" w:rsidR="00DF0FEE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E5C00F8" wp14:editId="0A9E23A2">
            <wp:extent cx="4500000" cy="1420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EUV_syst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2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1102" w14:textId="77777777" w:rsidR="00DF0FEE" w:rsidRDefault="00000000">
      <w:pPr>
        <w:spacing w:after="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>1  EUV</w:t>
      </w:r>
      <w:r>
        <w:rPr>
          <w:sz w:val="21"/>
          <w:lang w:eastAsia="zh-CN"/>
        </w:rPr>
        <w:t>光刻曝光系统的概念性组成（作者绘制，参考</w:t>
      </w:r>
      <w:r>
        <w:rPr>
          <w:sz w:val="21"/>
          <w:lang w:eastAsia="zh-CN"/>
        </w:rPr>
        <w:t>[1]</w:t>
      </w:r>
      <w:r>
        <w:rPr>
          <w:sz w:val="21"/>
          <w:lang w:eastAsia="zh-CN"/>
        </w:rPr>
        <w:t>）</w:t>
      </w:r>
    </w:p>
    <w:p w14:paraId="471A3D9D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sz w:val="28"/>
          <w:lang w:eastAsia="zh-CN"/>
        </w:rPr>
        <w:t>2 EUV</w:t>
      </w:r>
      <w:r>
        <w:rPr>
          <w:b/>
          <w:sz w:val="28"/>
          <w:lang w:eastAsia="zh-CN"/>
        </w:rPr>
        <w:t>光刻成像原理与系统组成</w:t>
      </w:r>
    </w:p>
    <w:p w14:paraId="54BA793D" w14:textId="77777777" w:rsidR="00DF0FEE" w:rsidRDefault="00000000">
      <w:pPr>
        <w:spacing w:after="0" w:line="360" w:lineRule="auto"/>
      </w:pPr>
      <w:r>
        <w:rPr>
          <w:b/>
        </w:rPr>
        <w:t xml:space="preserve">2.1 </w:t>
      </w:r>
      <w:proofErr w:type="spellStart"/>
      <w:r>
        <w:rPr>
          <w:b/>
        </w:rPr>
        <w:t>分辨率与景深：</w:t>
      </w:r>
      <w:r>
        <w:rPr>
          <w:b/>
        </w:rPr>
        <w:t>Rayleigh</w:t>
      </w:r>
      <w:r>
        <w:rPr>
          <w:b/>
        </w:rPr>
        <w:t>近似与</w:t>
      </w:r>
      <w:r>
        <w:rPr>
          <w:b/>
        </w:rPr>
        <w:t>NA</w:t>
      </w:r>
      <w:r>
        <w:rPr>
          <w:b/>
        </w:rPr>
        <w:t>扩展</w:t>
      </w:r>
      <w:proofErr w:type="spellEnd"/>
    </w:p>
    <w:p w14:paraId="10CA04C3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t>在投影光刻的工程分析中，常用</w:t>
      </w:r>
      <w:r>
        <w:t>Rayleigh</w:t>
      </w:r>
      <w:r>
        <w:t>公式描述分辨率与景深（</w:t>
      </w:r>
      <w:r>
        <w:t>DOF</w:t>
      </w:r>
      <w:r>
        <w:t>）的数量级关系：</w:t>
      </w:r>
      <w:r>
        <w:t>R = k1·λ/NA</w:t>
      </w:r>
      <w:r>
        <w:t>，</w:t>
      </w:r>
      <w:r>
        <w:t>DOF = k2·λ/NA²</w:t>
      </w:r>
      <w:r>
        <w:t>。</w:t>
      </w:r>
      <w:r>
        <w:rPr>
          <w:lang w:eastAsia="zh-CN"/>
        </w:rPr>
        <w:t>对于固定波长</w:t>
      </w:r>
      <w:r>
        <w:t>λ</w:t>
      </w:r>
      <w:r>
        <w:rPr>
          <w:lang w:eastAsia="zh-CN"/>
        </w:rPr>
        <w:t>=13.5 nm</w:t>
      </w:r>
      <w:r>
        <w:rPr>
          <w:lang w:eastAsia="zh-CN"/>
        </w:rPr>
        <w:t>，提高</w:t>
      </w:r>
      <w:r>
        <w:rPr>
          <w:lang w:eastAsia="zh-CN"/>
        </w:rPr>
        <w:t>NA</w:t>
      </w:r>
      <w:r>
        <w:rPr>
          <w:lang w:eastAsia="zh-CN"/>
        </w:rPr>
        <w:t>是提升分辨率的直接路径，但</w:t>
      </w:r>
      <w:r>
        <w:rPr>
          <w:lang w:eastAsia="zh-CN"/>
        </w:rPr>
        <w:t>DOF</w:t>
      </w:r>
      <w:r>
        <w:rPr>
          <w:lang w:eastAsia="zh-CN"/>
        </w:rPr>
        <w:t>将按</w:t>
      </w:r>
      <w:r>
        <w:rPr>
          <w:lang w:eastAsia="zh-CN"/>
        </w:rPr>
        <w:t>NA²</w:t>
      </w:r>
      <w:r>
        <w:rPr>
          <w:lang w:eastAsia="zh-CN"/>
        </w:rPr>
        <w:t>快速降低，导致焦深</w:t>
      </w:r>
      <w:r>
        <w:rPr>
          <w:lang w:eastAsia="zh-CN"/>
        </w:rPr>
        <w:t>/</w:t>
      </w:r>
      <w:r>
        <w:rPr>
          <w:lang w:eastAsia="zh-CN"/>
        </w:rPr>
        <w:t>工艺窗口收缩并放大曝光场内的高度误差敏感性</w:t>
      </w:r>
      <w:r>
        <w:rPr>
          <w:lang w:eastAsia="zh-CN"/>
        </w:rPr>
        <w:t>[1]</w:t>
      </w:r>
      <w:r>
        <w:rPr>
          <w:lang w:eastAsia="zh-CN"/>
        </w:rPr>
        <w:t>。因此，</w:t>
      </w:r>
      <w:r>
        <w:rPr>
          <w:lang w:eastAsia="zh-CN"/>
        </w:rPr>
        <w:t>EUV</w:t>
      </w:r>
      <w:r>
        <w:rPr>
          <w:lang w:eastAsia="zh-CN"/>
        </w:rPr>
        <w:t>代际演进不仅是</w:t>
      </w:r>
      <w:r>
        <w:rPr>
          <w:lang w:eastAsia="zh-CN"/>
        </w:rPr>
        <w:t>“</w:t>
      </w:r>
      <w:r>
        <w:rPr>
          <w:lang w:eastAsia="zh-CN"/>
        </w:rPr>
        <w:t>更高</w:t>
      </w:r>
      <w:r>
        <w:rPr>
          <w:lang w:eastAsia="zh-CN"/>
        </w:rPr>
        <w:t>NA”</w:t>
      </w:r>
      <w:r>
        <w:rPr>
          <w:lang w:eastAsia="zh-CN"/>
        </w:rPr>
        <w:t>的问题，还需要照明与计算光刻、掩模补偿以及工艺控制共同维持可制造性。</w:t>
      </w:r>
    </w:p>
    <w:p w14:paraId="31255A06" w14:textId="77777777" w:rsidR="00DF0FEE" w:rsidRDefault="0000000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FC9A2CA" wp14:editId="25770E47">
            <wp:extent cx="3420000" cy="2252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ayleigh_resol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5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5FF7" w14:textId="77777777" w:rsidR="00DF0FEE" w:rsidRDefault="00000000">
      <w:pPr>
        <w:spacing w:after="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2  </w:t>
      </w:r>
      <w:r>
        <w:rPr>
          <w:sz w:val="21"/>
          <w:lang w:eastAsia="zh-CN"/>
        </w:rPr>
        <w:t>由</w:t>
      </w:r>
      <w:r>
        <w:rPr>
          <w:sz w:val="21"/>
          <w:lang w:eastAsia="zh-CN"/>
        </w:rPr>
        <w:t>Rayleigh</w:t>
      </w:r>
      <w:r>
        <w:rPr>
          <w:sz w:val="21"/>
          <w:lang w:eastAsia="zh-CN"/>
        </w:rPr>
        <w:t>关系得到的分辨率随</w:t>
      </w:r>
      <w:r>
        <w:rPr>
          <w:sz w:val="21"/>
          <w:lang w:eastAsia="zh-CN"/>
        </w:rPr>
        <w:t>NA</w:t>
      </w:r>
      <w:r>
        <w:rPr>
          <w:sz w:val="21"/>
          <w:lang w:eastAsia="zh-CN"/>
        </w:rPr>
        <w:t>变化趋势（</w:t>
      </w:r>
      <w:r>
        <w:rPr>
          <w:sz w:val="21"/>
        </w:rPr>
        <w:t>λ</w:t>
      </w:r>
      <w:r>
        <w:rPr>
          <w:sz w:val="21"/>
          <w:lang w:eastAsia="zh-CN"/>
        </w:rPr>
        <w:t>=13.5 nm</w:t>
      </w:r>
      <w:r>
        <w:rPr>
          <w:sz w:val="21"/>
          <w:lang w:eastAsia="zh-CN"/>
        </w:rPr>
        <w:t>，作者计算绘制）</w:t>
      </w:r>
    </w:p>
    <w:p w14:paraId="469D3AA8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t>2.2 EUV</w:t>
      </w:r>
      <w:r>
        <w:rPr>
          <w:b/>
          <w:lang w:eastAsia="zh-CN"/>
        </w:rPr>
        <w:t>光源与反射镜：功率、碎屑与污染控制</w:t>
      </w:r>
    </w:p>
    <w:p w14:paraId="18E01427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当前主流</w:t>
      </w:r>
      <w:r>
        <w:rPr>
          <w:lang w:eastAsia="zh-CN"/>
        </w:rPr>
        <w:t>EUV</w:t>
      </w:r>
      <w:r>
        <w:rPr>
          <w:lang w:eastAsia="zh-CN"/>
        </w:rPr>
        <w:t>光源多采用锡（</w:t>
      </w:r>
      <w:r>
        <w:rPr>
          <w:lang w:eastAsia="zh-CN"/>
        </w:rPr>
        <w:t>Sn</w:t>
      </w:r>
      <w:r>
        <w:rPr>
          <w:lang w:eastAsia="zh-CN"/>
        </w:rPr>
        <w:t>）激光产生等离子体（</w:t>
      </w:r>
      <w:r>
        <w:rPr>
          <w:lang w:eastAsia="zh-CN"/>
        </w:rPr>
        <w:t>LPP</w:t>
      </w:r>
      <w:r>
        <w:rPr>
          <w:lang w:eastAsia="zh-CN"/>
        </w:rPr>
        <w:t>）方案，通过集光镜将带内辐射耦合至照明系统。光源提升通常受到转换效率、集光几何效率以及多次反射损耗的共同限制</w:t>
      </w:r>
      <w:r>
        <w:rPr>
          <w:lang w:eastAsia="zh-CN"/>
        </w:rPr>
        <w:t>[1]</w:t>
      </w:r>
      <w:r>
        <w:rPr>
          <w:lang w:eastAsia="zh-CN"/>
        </w:rPr>
        <w:t>。另一方面，等离子体产生的高速离子与微粒会对集光镜造成沉积和损伤，降低反射率并缩短寿命。近年来有研究提出利用磁场</w:t>
      </w:r>
      <w:r>
        <w:rPr>
          <w:lang w:eastAsia="zh-CN"/>
        </w:rPr>
        <w:t>“</w:t>
      </w:r>
      <w:r>
        <w:rPr>
          <w:lang w:eastAsia="zh-CN"/>
        </w:rPr>
        <w:t>零点（</w:t>
      </w:r>
      <w:r>
        <w:rPr>
          <w:lang w:eastAsia="zh-CN"/>
        </w:rPr>
        <w:t>magnetic null</w:t>
      </w:r>
      <w:r>
        <w:rPr>
          <w:lang w:eastAsia="zh-CN"/>
        </w:rPr>
        <w:t>）</w:t>
      </w:r>
      <w:r>
        <w:rPr>
          <w:lang w:eastAsia="zh-CN"/>
        </w:rPr>
        <w:t>”</w:t>
      </w:r>
      <w:r>
        <w:rPr>
          <w:lang w:eastAsia="zh-CN"/>
        </w:rPr>
        <w:t>结构改变离子轨迹分布，以提高碎屑阻挡效率并避免离子俘获</w:t>
      </w:r>
      <w:r>
        <w:rPr>
          <w:lang w:eastAsia="zh-CN"/>
        </w:rPr>
        <w:t>[10]</w:t>
      </w:r>
      <w:r>
        <w:rPr>
          <w:lang w:eastAsia="zh-CN"/>
        </w:rPr>
        <w:t>。</w:t>
      </w:r>
    </w:p>
    <w:p w14:paraId="6771E84B" w14:textId="77777777" w:rsidR="00DF0FEE" w:rsidRDefault="00000000">
      <w:pPr>
        <w:spacing w:after="0" w:line="360" w:lineRule="auto"/>
        <w:jc w:val="both"/>
        <w:rPr>
          <w:lang w:eastAsia="zh-CN"/>
        </w:rPr>
      </w:pPr>
      <w:r>
        <w:rPr>
          <w:lang w:eastAsia="zh-CN"/>
        </w:rPr>
        <w:t>除碎屑外，</w:t>
      </w:r>
      <w:r>
        <w:rPr>
          <w:lang w:eastAsia="zh-CN"/>
        </w:rPr>
        <w:t>EUV</w:t>
      </w:r>
      <w:r>
        <w:rPr>
          <w:lang w:eastAsia="zh-CN"/>
        </w:rPr>
        <w:t>多层膜反射镜对碳污染、氧化与吸附层极为敏感，微小污染即可带来显著反射率衰减。国内学者对极紫外多层膜表面污染机理、清洗</w:t>
      </w:r>
      <w:r>
        <w:rPr>
          <w:lang w:eastAsia="zh-CN"/>
        </w:rPr>
        <w:t>/</w:t>
      </w:r>
      <w:r>
        <w:rPr>
          <w:lang w:eastAsia="zh-CN"/>
        </w:rPr>
        <w:t>修复方法与可靠性评估进行了系统综述，为长期稳定运行提供了工艺思路</w:t>
      </w:r>
      <w:r>
        <w:rPr>
          <w:lang w:eastAsia="zh-CN"/>
        </w:rPr>
        <w:t>[11]</w:t>
      </w:r>
      <w:r>
        <w:rPr>
          <w:lang w:eastAsia="zh-CN"/>
        </w:rPr>
        <w:t>。与此同时，带内辐射能量的监测与标定是曝光剂量控制与工艺可重复性的基础，相关探测与标定技术也在持续发展</w:t>
      </w:r>
      <w:r>
        <w:rPr>
          <w:lang w:eastAsia="zh-CN"/>
        </w:rPr>
        <w:t>[13]</w:t>
      </w:r>
      <w:r>
        <w:rPr>
          <w:lang w:eastAsia="zh-CN"/>
        </w:rPr>
        <w:t>。</w:t>
      </w:r>
    </w:p>
    <w:p w14:paraId="17E97411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t xml:space="preserve">2.3 </w:t>
      </w:r>
      <w:r>
        <w:rPr>
          <w:b/>
          <w:lang w:eastAsia="zh-CN"/>
        </w:rPr>
        <w:t>掩模与投影光学：反射式成像、三维效应与高</w:t>
      </w:r>
      <w:r>
        <w:rPr>
          <w:b/>
          <w:lang w:eastAsia="zh-CN"/>
        </w:rPr>
        <w:t>NA</w:t>
      </w:r>
      <w:r>
        <w:rPr>
          <w:b/>
          <w:lang w:eastAsia="zh-CN"/>
        </w:rPr>
        <w:t>特征</w:t>
      </w:r>
    </w:p>
    <w:p w14:paraId="72167C73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DUV</w:t>
      </w:r>
      <w:r>
        <w:rPr>
          <w:lang w:eastAsia="zh-CN"/>
        </w:rPr>
        <w:t>透射掩模不同，</w:t>
      </w:r>
      <w:r>
        <w:rPr>
          <w:lang w:eastAsia="zh-CN"/>
        </w:rPr>
        <w:t>EUV</w:t>
      </w:r>
      <w:r>
        <w:rPr>
          <w:lang w:eastAsia="zh-CN"/>
        </w:rPr>
        <w:t>掩模为多层膜布拉格反射结构，上方叠加吸收体图形。由于入射角较大且结构具有有限厚度，</w:t>
      </w:r>
      <w:r>
        <w:rPr>
          <w:lang w:eastAsia="zh-CN"/>
        </w:rPr>
        <w:t>EUV</w:t>
      </w:r>
      <w:r>
        <w:rPr>
          <w:lang w:eastAsia="zh-CN"/>
        </w:rPr>
        <w:t>掩模会出现阴影效应、成像非对称、相位与幅度耦合等典型</w:t>
      </w:r>
      <w:r>
        <w:rPr>
          <w:lang w:eastAsia="zh-CN"/>
        </w:rPr>
        <w:t>“</w:t>
      </w:r>
      <w:r>
        <w:rPr>
          <w:lang w:eastAsia="zh-CN"/>
        </w:rPr>
        <w:t>三维掩模效应</w:t>
      </w:r>
      <w:r>
        <w:rPr>
          <w:lang w:eastAsia="zh-CN"/>
        </w:rPr>
        <w:t>”</w:t>
      </w:r>
      <w:r>
        <w:rPr>
          <w:lang w:eastAsia="zh-CN"/>
        </w:rPr>
        <w:t>，并随</w:t>
      </w:r>
      <w:r>
        <w:rPr>
          <w:lang w:eastAsia="zh-CN"/>
        </w:rPr>
        <w:t>NA</w:t>
      </w:r>
      <w:r>
        <w:rPr>
          <w:lang w:eastAsia="zh-CN"/>
        </w:rPr>
        <w:t>增大而加剧</w:t>
      </w:r>
      <w:r>
        <w:rPr>
          <w:lang w:eastAsia="zh-CN"/>
        </w:rPr>
        <w:t>[1,6]</w:t>
      </w:r>
      <w:r>
        <w:rPr>
          <w:lang w:eastAsia="zh-CN"/>
        </w:rPr>
        <w:t>。高</w:t>
      </w:r>
      <w:r>
        <w:rPr>
          <w:lang w:eastAsia="zh-CN"/>
        </w:rPr>
        <w:t>NA</w:t>
      </w:r>
      <w:r>
        <w:rPr>
          <w:lang w:eastAsia="zh-CN"/>
        </w:rPr>
        <w:t>系统为控制像差并兼顾掩模尺寸，通常采用非对称倍率（</w:t>
      </w:r>
      <w:r>
        <w:rPr>
          <w:lang w:eastAsia="zh-CN"/>
        </w:rPr>
        <w:t>anamorphic</w:t>
      </w:r>
      <w:r>
        <w:rPr>
          <w:lang w:eastAsia="zh-CN"/>
        </w:rPr>
        <w:t>）投影：在扫描与狭缝方向使用不同的缩小倍率，从而在提升</w:t>
      </w:r>
      <w:r>
        <w:rPr>
          <w:lang w:eastAsia="zh-CN"/>
        </w:rPr>
        <w:t>NA</w:t>
      </w:r>
      <w:r>
        <w:rPr>
          <w:lang w:eastAsia="zh-CN"/>
        </w:rPr>
        <w:t>的同时限制光学元件尺寸与畸变</w:t>
      </w:r>
      <w:r>
        <w:rPr>
          <w:lang w:eastAsia="zh-CN"/>
        </w:rPr>
        <w:t>[4]</w:t>
      </w:r>
      <w:r>
        <w:rPr>
          <w:lang w:eastAsia="zh-CN"/>
        </w:rPr>
        <w:t>。</w:t>
      </w:r>
    </w:p>
    <w:p w14:paraId="63B14488" w14:textId="77777777" w:rsidR="00DF0FEE" w:rsidRDefault="0000000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36B8D09" wp14:editId="300E8AE8">
            <wp:extent cx="3960000" cy="1945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EUV_mask_st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FFE2" w14:textId="77777777" w:rsidR="00DF0FEE" w:rsidRDefault="00000000">
      <w:pPr>
        <w:spacing w:after="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>3  EUV</w:t>
      </w:r>
      <w:r>
        <w:rPr>
          <w:sz w:val="21"/>
          <w:lang w:eastAsia="zh-CN"/>
        </w:rPr>
        <w:t>反射式掩模堆栈的概念示意（作者绘制，参考</w:t>
      </w:r>
      <w:r>
        <w:rPr>
          <w:sz w:val="21"/>
          <w:lang w:eastAsia="zh-CN"/>
        </w:rPr>
        <w:t>[1]</w:t>
      </w:r>
      <w:r>
        <w:rPr>
          <w:sz w:val="21"/>
          <w:lang w:eastAsia="zh-CN"/>
        </w:rPr>
        <w:t>）</w:t>
      </w:r>
    </w:p>
    <w:p w14:paraId="48CB38D9" w14:textId="77777777" w:rsidR="00DF0FEE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8F3AAB1" wp14:editId="76E81BEB">
            <wp:extent cx="3960000" cy="19513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HighNA_anamor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5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BC11" w14:textId="77777777" w:rsidR="00DF0FEE" w:rsidRDefault="00000000">
      <w:pPr>
        <w:spacing w:after="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4  </w:t>
      </w:r>
      <w:r>
        <w:rPr>
          <w:sz w:val="21"/>
          <w:lang w:eastAsia="zh-CN"/>
        </w:rPr>
        <w:t>高</w:t>
      </w:r>
      <w:r>
        <w:rPr>
          <w:sz w:val="21"/>
          <w:lang w:eastAsia="zh-CN"/>
        </w:rPr>
        <w:t>NA EUV</w:t>
      </w:r>
      <w:r>
        <w:rPr>
          <w:sz w:val="21"/>
          <w:lang w:eastAsia="zh-CN"/>
        </w:rPr>
        <w:t>非对称倍率（</w:t>
      </w:r>
      <w:r>
        <w:rPr>
          <w:sz w:val="21"/>
          <w:lang w:eastAsia="zh-CN"/>
        </w:rPr>
        <w:t>anamorphic</w:t>
      </w:r>
      <w:r>
        <w:rPr>
          <w:sz w:val="21"/>
          <w:lang w:eastAsia="zh-CN"/>
        </w:rPr>
        <w:t>）成像概念示意（作者绘制，参考</w:t>
      </w:r>
      <w:r>
        <w:rPr>
          <w:sz w:val="21"/>
          <w:lang w:eastAsia="zh-CN"/>
        </w:rPr>
        <w:t>[4]</w:t>
      </w:r>
      <w:r>
        <w:rPr>
          <w:sz w:val="21"/>
          <w:lang w:eastAsia="zh-CN"/>
        </w:rPr>
        <w:t>）</w:t>
      </w:r>
    </w:p>
    <w:p w14:paraId="2F4BACD9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t xml:space="preserve">2.4 </w:t>
      </w:r>
      <w:r>
        <w:rPr>
          <w:b/>
          <w:lang w:eastAsia="zh-CN"/>
        </w:rPr>
        <w:t>掩模缺陷与量测：</w:t>
      </w:r>
      <w:r>
        <w:rPr>
          <w:b/>
          <w:lang w:eastAsia="zh-CN"/>
        </w:rPr>
        <w:t>Actinic</w:t>
      </w:r>
      <w:r>
        <w:rPr>
          <w:b/>
          <w:lang w:eastAsia="zh-CN"/>
        </w:rPr>
        <w:t>检测与相干衍射成像</w:t>
      </w:r>
    </w:p>
    <w:p w14:paraId="0532BE0D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EUV</w:t>
      </w:r>
      <w:r>
        <w:rPr>
          <w:lang w:eastAsia="zh-CN"/>
        </w:rPr>
        <w:t>掩模缺陷可来源于多层膜缺陷、吸收体缺陷以及污染颗粒等，其</w:t>
      </w:r>
      <w:r>
        <w:rPr>
          <w:lang w:eastAsia="zh-CN"/>
        </w:rPr>
        <w:t>“</w:t>
      </w:r>
      <w:r>
        <w:rPr>
          <w:lang w:eastAsia="zh-CN"/>
        </w:rPr>
        <w:t>可印性</w:t>
      </w:r>
      <w:r>
        <w:rPr>
          <w:lang w:eastAsia="zh-CN"/>
        </w:rPr>
        <w:t>”</w:t>
      </w:r>
      <w:r>
        <w:rPr>
          <w:lang w:eastAsia="zh-CN"/>
        </w:rPr>
        <w:t>取决于缺陷尺寸、位置、相位扰动与照明条件。因此，使用</w:t>
      </w:r>
      <w:r>
        <w:rPr>
          <w:lang w:eastAsia="zh-CN"/>
        </w:rPr>
        <w:t>EUV</w:t>
      </w:r>
      <w:r>
        <w:rPr>
          <w:lang w:eastAsia="zh-CN"/>
        </w:rPr>
        <w:t>波段（</w:t>
      </w:r>
      <w:r>
        <w:rPr>
          <w:lang w:eastAsia="zh-CN"/>
        </w:rPr>
        <w:t>actinic</w:t>
      </w:r>
      <w:r>
        <w:rPr>
          <w:lang w:eastAsia="zh-CN"/>
        </w:rPr>
        <w:t>）进行空白</w:t>
      </w:r>
      <w:r>
        <w:rPr>
          <w:lang w:eastAsia="zh-CN"/>
        </w:rPr>
        <w:t>/</w:t>
      </w:r>
      <w:r>
        <w:rPr>
          <w:lang w:eastAsia="zh-CN"/>
        </w:rPr>
        <w:t>图形掩模检测与缺陷表征对于先进节点至关重要。例如，</w:t>
      </w:r>
      <w:r>
        <w:rPr>
          <w:lang w:eastAsia="zh-CN"/>
        </w:rPr>
        <w:t>Todoroki</w:t>
      </w:r>
      <w:r>
        <w:rPr>
          <w:lang w:eastAsia="zh-CN"/>
        </w:rPr>
        <w:t>等在</w:t>
      </w:r>
      <w:r>
        <w:rPr>
          <w:lang w:eastAsia="zh-CN"/>
        </w:rPr>
        <w:t>SPIE 2024</w:t>
      </w:r>
      <w:r>
        <w:rPr>
          <w:lang w:eastAsia="zh-CN"/>
        </w:rPr>
        <w:t>报告了面向高</w:t>
      </w:r>
      <w:r>
        <w:rPr>
          <w:lang w:eastAsia="zh-CN"/>
        </w:rPr>
        <w:t>NA EUV</w:t>
      </w:r>
      <w:r>
        <w:rPr>
          <w:lang w:eastAsia="zh-CN"/>
        </w:rPr>
        <w:t>的图形掩模</w:t>
      </w:r>
      <w:r>
        <w:rPr>
          <w:lang w:eastAsia="zh-CN"/>
        </w:rPr>
        <w:t>die-to-database actinic</w:t>
      </w:r>
      <w:r>
        <w:rPr>
          <w:lang w:eastAsia="zh-CN"/>
        </w:rPr>
        <w:t>检测方案及其进展</w:t>
      </w:r>
      <w:r>
        <w:rPr>
          <w:lang w:eastAsia="zh-CN"/>
        </w:rPr>
        <w:t>[5]</w:t>
      </w:r>
      <w:r>
        <w:rPr>
          <w:lang w:eastAsia="zh-CN"/>
        </w:rPr>
        <w:t>；</w:t>
      </w:r>
      <w:r>
        <w:rPr>
          <w:lang w:eastAsia="zh-CN"/>
        </w:rPr>
        <w:t>Choi</w:t>
      </w:r>
      <w:r>
        <w:rPr>
          <w:lang w:eastAsia="zh-CN"/>
        </w:rPr>
        <w:t>等则综述了</w:t>
      </w:r>
      <w:r>
        <w:rPr>
          <w:lang w:eastAsia="zh-CN"/>
        </w:rPr>
        <w:t>EUV</w:t>
      </w:r>
      <w:r>
        <w:rPr>
          <w:lang w:eastAsia="zh-CN"/>
        </w:rPr>
        <w:t>掩模技术与生态系统的演进方向</w:t>
      </w:r>
      <w:r>
        <w:rPr>
          <w:lang w:eastAsia="zh-CN"/>
        </w:rPr>
        <w:t>[6]</w:t>
      </w:r>
      <w:r>
        <w:rPr>
          <w:lang w:eastAsia="zh-CN"/>
        </w:rPr>
        <w:t>。</w:t>
      </w:r>
    </w:p>
    <w:p w14:paraId="06B1BB90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除传统检测外，基于相干衍射成像（</w:t>
      </w:r>
      <w:r>
        <w:rPr>
          <w:lang w:eastAsia="zh-CN"/>
        </w:rPr>
        <w:t>CDI</w:t>
      </w:r>
      <w:r>
        <w:rPr>
          <w:lang w:eastAsia="zh-CN"/>
        </w:rPr>
        <w:t>）的无透镜量测为高分辨掩模</w:t>
      </w:r>
      <w:r>
        <w:rPr>
          <w:lang w:eastAsia="zh-CN"/>
        </w:rPr>
        <w:t>/</w:t>
      </w:r>
      <w:r>
        <w:rPr>
          <w:lang w:eastAsia="zh-CN"/>
        </w:rPr>
        <w:t>晶圆缺陷检测提供了新的可能。李奥等对同步辐射相干衍射成像在半导体量测中的应用进行了综述，讨论了算法重建、系统稳定性与工程化落地的关键问题</w:t>
      </w:r>
      <w:r>
        <w:rPr>
          <w:lang w:eastAsia="zh-CN"/>
        </w:rPr>
        <w:t>[12]</w:t>
      </w:r>
      <w:r>
        <w:rPr>
          <w:lang w:eastAsia="zh-CN"/>
        </w:rPr>
        <w:t>。</w:t>
      </w:r>
    </w:p>
    <w:p w14:paraId="6B7537AF" w14:textId="77777777" w:rsidR="00DF0FEE" w:rsidRDefault="00000000" w:rsidP="003804E1">
      <w:pPr>
        <w:pageBreakBefore/>
        <w:spacing w:after="0" w:line="240" w:lineRule="auto"/>
        <w:jc w:val="center"/>
        <w:rPr>
          <w:lang w:eastAsia="zh-CN"/>
        </w:rPr>
      </w:pPr>
      <w:r>
        <w:rPr>
          <w:sz w:val="20"/>
          <w:lang w:eastAsia="zh-CN"/>
        </w:rPr>
        <w:lastRenderedPageBreak/>
        <w:t>表</w:t>
      </w:r>
      <w:r>
        <w:rPr>
          <w:sz w:val="20"/>
          <w:lang w:eastAsia="zh-CN"/>
        </w:rPr>
        <w:t>1  EUV</w:t>
      </w:r>
      <w:r>
        <w:rPr>
          <w:sz w:val="20"/>
          <w:lang w:eastAsia="zh-CN"/>
        </w:rPr>
        <w:t>光刻关键环节的主要瓶颈与应对策略（作者整理）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2835"/>
        <w:gridCol w:w="2551"/>
      </w:tblGrid>
      <w:tr w:rsidR="00DF0FEE" w14:paraId="5FCBC94B" w14:textId="77777777">
        <w:trPr>
          <w:jc w:val="center"/>
        </w:trPr>
        <w:tc>
          <w:tcPr>
            <w:tcW w:w="1701" w:type="dxa"/>
            <w:vAlign w:val="center"/>
          </w:tcPr>
          <w:p w14:paraId="0AE63382" w14:textId="77777777" w:rsidR="00DF0FEE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子系统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环节</w:t>
            </w:r>
            <w:proofErr w:type="spellEnd"/>
          </w:p>
        </w:tc>
        <w:tc>
          <w:tcPr>
            <w:tcW w:w="1984" w:type="dxa"/>
            <w:vAlign w:val="center"/>
          </w:tcPr>
          <w:p w14:paraId="3C52AA50" w14:textId="77777777" w:rsidR="00DF0FEE" w:rsidRDefault="00000000">
            <w:pPr>
              <w:jc w:val="center"/>
            </w:pPr>
            <w:r>
              <w:rPr>
                <w:b/>
                <w:sz w:val="19"/>
              </w:rPr>
              <w:t>主要瓶颈</w:t>
            </w:r>
          </w:p>
        </w:tc>
        <w:tc>
          <w:tcPr>
            <w:tcW w:w="2835" w:type="dxa"/>
            <w:vAlign w:val="center"/>
          </w:tcPr>
          <w:p w14:paraId="4A5C9FB8" w14:textId="77777777" w:rsidR="00DF0FEE" w:rsidRDefault="00000000">
            <w:pPr>
              <w:jc w:val="center"/>
            </w:pPr>
            <w:r>
              <w:rPr>
                <w:b/>
                <w:sz w:val="19"/>
              </w:rPr>
              <w:t>近三年代表性进展</w:t>
            </w:r>
          </w:p>
        </w:tc>
        <w:tc>
          <w:tcPr>
            <w:tcW w:w="2551" w:type="dxa"/>
            <w:vAlign w:val="center"/>
          </w:tcPr>
          <w:p w14:paraId="5E683BD2" w14:textId="77777777" w:rsidR="00DF0FEE" w:rsidRDefault="00000000">
            <w:pPr>
              <w:jc w:val="center"/>
            </w:pPr>
            <w:r>
              <w:rPr>
                <w:b/>
                <w:sz w:val="19"/>
              </w:rPr>
              <w:t>典型应对思路</w:t>
            </w:r>
          </w:p>
        </w:tc>
      </w:tr>
      <w:tr w:rsidR="00DF0FEE" w14:paraId="27CA795C" w14:textId="77777777">
        <w:trPr>
          <w:jc w:val="center"/>
        </w:trPr>
        <w:tc>
          <w:tcPr>
            <w:tcW w:w="1701" w:type="dxa"/>
            <w:vAlign w:val="center"/>
          </w:tcPr>
          <w:p w14:paraId="27F63291" w14:textId="77777777" w:rsidR="00DF0FEE" w:rsidRDefault="00000000">
            <w:r>
              <w:rPr>
                <w:sz w:val="19"/>
              </w:rPr>
              <w:t>光源与集光</w:t>
            </w:r>
          </w:p>
        </w:tc>
        <w:tc>
          <w:tcPr>
            <w:tcW w:w="1984" w:type="dxa"/>
            <w:vAlign w:val="center"/>
          </w:tcPr>
          <w:p w14:paraId="2AFEA2DE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功率提升受限；锡离子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微粒碎屑导致集光镜损伤</w:t>
            </w:r>
          </w:p>
        </w:tc>
        <w:tc>
          <w:tcPr>
            <w:tcW w:w="2835" w:type="dxa"/>
            <w:vAlign w:val="center"/>
          </w:tcPr>
          <w:p w14:paraId="05BAEF5A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基于磁场零点结构的离子碎屑抑制方案</w:t>
            </w:r>
            <w:r>
              <w:rPr>
                <w:sz w:val="19"/>
                <w:lang w:eastAsia="zh-CN"/>
              </w:rPr>
              <w:t>[10]</w:t>
            </w:r>
          </w:p>
        </w:tc>
        <w:tc>
          <w:tcPr>
            <w:tcW w:w="2551" w:type="dxa"/>
            <w:vAlign w:val="center"/>
          </w:tcPr>
          <w:p w14:paraId="6F7CF4DB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提升转换效率；磁场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缓冲气体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电场协同；优化集光几何</w:t>
            </w:r>
          </w:p>
        </w:tc>
      </w:tr>
      <w:tr w:rsidR="00DF0FEE" w14:paraId="099D916A" w14:textId="77777777">
        <w:trPr>
          <w:jc w:val="center"/>
        </w:trPr>
        <w:tc>
          <w:tcPr>
            <w:tcW w:w="1701" w:type="dxa"/>
            <w:vAlign w:val="center"/>
          </w:tcPr>
          <w:p w14:paraId="1D9E8562" w14:textId="77777777" w:rsidR="00DF0FEE" w:rsidRDefault="00000000">
            <w:proofErr w:type="spellStart"/>
            <w:r>
              <w:rPr>
                <w:sz w:val="19"/>
              </w:rPr>
              <w:t>反射光学</w:t>
            </w:r>
            <w:proofErr w:type="spellEnd"/>
          </w:p>
        </w:tc>
        <w:tc>
          <w:tcPr>
            <w:tcW w:w="1984" w:type="dxa"/>
            <w:vAlign w:val="center"/>
          </w:tcPr>
          <w:p w14:paraId="656FB49A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多层膜反射镜对碳污染与吸附层敏感</w:t>
            </w:r>
          </w:p>
        </w:tc>
        <w:tc>
          <w:tcPr>
            <w:tcW w:w="2835" w:type="dxa"/>
            <w:vAlign w:val="center"/>
          </w:tcPr>
          <w:p w14:paraId="09705409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多层膜污染机理与清洗技术综述</w:t>
            </w:r>
            <w:r>
              <w:rPr>
                <w:sz w:val="19"/>
                <w:lang w:eastAsia="zh-CN"/>
              </w:rPr>
              <w:t>[11]</w:t>
            </w:r>
          </w:p>
        </w:tc>
        <w:tc>
          <w:tcPr>
            <w:tcW w:w="2551" w:type="dxa"/>
            <w:vAlign w:val="center"/>
          </w:tcPr>
          <w:p w14:paraId="355499D0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洁净度管理；原位清洗与保护层；反射率在线监测</w:t>
            </w:r>
          </w:p>
        </w:tc>
      </w:tr>
      <w:tr w:rsidR="00DF0FEE" w14:paraId="1900977B" w14:textId="77777777">
        <w:trPr>
          <w:jc w:val="center"/>
        </w:trPr>
        <w:tc>
          <w:tcPr>
            <w:tcW w:w="1701" w:type="dxa"/>
            <w:vAlign w:val="center"/>
          </w:tcPr>
          <w:p w14:paraId="7CE0429B" w14:textId="77777777" w:rsidR="00DF0FEE" w:rsidRDefault="00000000">
            <w:proofErr w:type="spellStart"/>
            <w:r>
              <w:rPr>
                <w:sz w:val="19"/>
              </w:rPr>
              <w:t>EUV</w:t>
            </w:r>
            <w:r>
              <w:rPr>
                <w:sz w:val="19"/>
              </w:rPr>
              <w:t>掩模</w:t>
            </w:r>
            <w:proofErr w:type="spellEnd"/>
          </w:p>
        </w:tc>
        <w:tc>
          <w:tcPr>
            <w:tcW w:w="1984" w:type="dxa"/>
            <w:vAlign w:val="center"/>
          </w:tcPr>
          <w:p w14:paraId="42682FDE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三维效应、缺陷可印性与检测难度高</w:t>
            </w:r>
          </w:p>
        </w:tc>
        <w:tc>
          <w:tcPr>
            <w:tcW w:w="2835" w:type="dxa"/>
            <w:vAlign w:val="center"/>
          </w:tcPr>
          <w:p w14:paraId="32011F5B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高</w:t>
            </w:r>
            <w:r>
              <w:rPr>
                <w:sz w:val="19"/>
                <w:lang w:eastAsia="zh-CN"/>
              </w:rPr>
              <w:t>NA actinic</w:t>
            </w:r>
            <w:r>
              <w:rPr>
                <w:sz w:val="19"/>
                <w:lang w:eastAsia="zh-CN"/>
              </w:rPr>
              <w:t>图形掩模检测进展</w:t>
            </w:r>
            <w:r>
              <w:rPr>
                <w:sz w:val="19"/>
                <w:lang w:eastAsia="zh-CN"/>
              </w:rPr>
              <w:t>[5]</w:t>
            </w:r>
            <w:r>
              <w:rPr>
                <w:sz w:val="19"/>
                <w:lang w:eastAsia="zh-CN"/>
              </w:rPr>
              <w:t>；掩模生态演进综述</w:t>
            </w:r>
            <w:r>
              <w:rPr>
                <w:sz w:val="19"/>
                <w:lang w:eastAsia="zh-CN"/>
              </w:rPr>
              <w:t>[6]</w:t>
            </w:r>
          </w:p>
        </w:tc>
        <w:tc>
          <w:tcPr>
            <w:tcW w:w="2551" w:type="dxa"/>
            <w:vAlign w:val="center"/>
          </w:tcPr>
          <w:p w14:paraId="701CB960" w14:textId="77777777" w:rsidR="00DF0FEE" w:rsidRDefault="00000000">
            <w:r>
              <w:rPr>
                <w:sz w:val="19"/>
              </w:rPr>
              <w:t>低缺陷空白；</w:t>
            </w:r>
            <w:r>
              <w:rPr>
                <w:sz w:val="19"/>
              </w:rPr>
              <w:t>actinic</w:t>
            </w:r>
            <w:r>
              <w:rPr>
                <w:sz w:val="19"/>
              </w:rPr>
              <w:t>检测；</w:t>
            </w:r>
            <w:r>
              <w:rPr>
                <w:sz w:val="19"/>
              </w:rPr>
              <w:t>M3D</w:t>
            </w:r>
            <w:r>
              <w:rPr>
                <w:sz w:val="19"/>
              </w:rPr>
              <w:t>补偿与</w:t>
            </w:r>
            <w:r>
              <w:rPr>
                <w:sz w:val="19"/>
              </w:rPr>
              <w:t>OPC/</w:t>
            </w:r>
            <w:proofErr w:type="spellStart"/>
            <w:r>
              <w:rPr>
                <w:sz w:val="19"/>
              </w:rPr>
              <w:t>ILT</w:t>
            </w:r>
            <w:r>
              <w:rPr>
                <w:sz w:val="19"/>
              </w:rPr>
              <w:t>协同</w:t>
            </w:r>
            <w:proofErr w:type="spellEnd"/>
          </w:p>
        </w:tc>
      </w:tr>
      <w:tr w:rsidR="00DF0FEE" w14:paraId="279E2FA4" w14:textId="77777777">
        <w:trPr>
          <w:jc w:val="center"/>
        </w:trPr>
        <w:tc>
          <w:tcPr>
            <w:tcW w:w="1701" w:type="dxa"/>
            <w:vAlign w:val="center"/>
          </w:tcPr>
          <w:p w14:paraId="46C00A0C" w14:textId="77777777" w:rsidR="00DF0FEE" w:rsidRDefault="00000000">
            <w:r>
              <w:rPr>
                <w:sz w:val="19"/>
              </w:rPr>
              <w:t>光刻胶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工艺</w:t>
            </w:r>
          </w:p>
        </w:tc>
        <w:tc>
          <w:tcPr>
            <w:tcW w:w="1984" w:type="dxa"/>
            <w:vAlign w:val="center"/>
          </w:tcPr>
          <w:p w14:paraId="504E4952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RLS</w:t>
            </w:r>
            <w:r>
              <w:rPr>
                <w:sz w:val="19"/>
                <w:lang w:eastAsia="zh-CN"/>
              </w:rPr>
              <w:t>矛盾；显影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后处理对随机性敏感</w:t>
            </w:r>
          </w:p>
        </w:tc>
        <w:tc>
          <w:tcPr>
            <w:tcW w:w="2835" w:type="dxa"/>
            <w:vAlign w:val="center"/>
          </w:tcPr>
          <w:p w14:paraId="665FBC42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EUV</w:t>
            </w:r>
            <w:r>
              <w:rPr>
                <w:sz w:val="19"/>
                <w:lang w:eastAsia="zh-CN"/>
              </w:rPr>
              <w:t>光刻胶材料趋势综述</w:t>
            </w:r>
            <w:r>
              <w:rPr>
                <w:sz w:val="19"/>
                <w:lang w:eastAsia="zh-CN"/>
              </w:rPr>
              <w:t>[2]</w:t>
            </w:r>
            <w:r>
              <w:rPr>
                <w:sz w:val="19"/>
                <w:lang w:eastAsia="zh-CN"/>
              </w:rPr>
              <w:t>；金属氧化物光刻胶综述</w:t>
            </w:r>
            <w:r>
              <w:rPr>
                <w:sz w:val="19"/>
                <w:lang w:eastAsia="zh-CN"/>
              </w:rPr>
              <w:t>[3]</w:t>
            </w:r>
            <w:r>
              <w:rPr>
                <w:sz w:val="19"/>
                <w:lang w:eastAsia="zh-CN"/>
              </w:rPr>
              <w:t>与工艺进展</w:t>
            </w:r>
            <w:r>
              <w:rPr>
                <w:sz w:val="19"/>
                <w:lang w:eastAsia="zh-CN"/>
              </w:rPr>
              <w:t>[7]</w:t>
            </w:r>
          </w:p>
        </w:tc>
        <w:tc>
          <w:tcPr>
            <w:tcW w:w="2551" w:type="dxa"/>
            <w:vAlign w:val="center"/>
          </w:tcPr>
          <w:p w14:paraId="01C61848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MOR</w:t>
            </w:r>
            <w:r>
              <w:rPr>
                <w:sz w:val="19"/>
                <w:lang w:eastAsia="zh-CN"/>
              </w:rPr>
              <w:t>与高吸收体系；先进显影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后处理；材料</w:t>
            </w:r>
            <w:r>
              <w:rPr>
                <w:sz w:val="19"/>
                <w:lang w:eastAsia="zh-CN"/>
              </w:rPr>
              <w:t>—</w:t>
            </w:r>
            <w:r>
              <w:rPr>
                <w:sz w:val="19"/>
                <w:lang w:eastAsia="zh-CN"/>
              </w:rPr>
              <w:t>工艺协同优化</w:t>
            </w:r>
          </w:p>
        </w:tc>
      </w:tr>
      <w:tr w:rsidR="00DF0FEE" w14:paraId="24E4B9AA" w14:textId="77777777">
        <w:trPr>
          <w:jc w:val="center"/>
        </w:trPr>
        <w:tc>
          <w:tcPr>
            <w:tcW w:w="1701" w:type="dxa"/>
            <w:vAlign w:val="center"/>
          </w:tcPr>
          <w:p w14:paraId="7A9663DE" w14:textId="77777777" w:rsidR="00DF0FEE" w:rsidRDefault="00000000">
            <w:proofErr w:type="spellStart"/>
            <w:r>
              <w:rPr>
                <w:sz w:val="19"/>
              </w:rPr>
              <w:t>随机效应</w:t>
            </w:r>
            <w:proofErr w:type="spellEnd"/>
          </w:p>
        </w:tc>
        <w:tc>
          <w:tcPr>
            <w:tcW w:w="1984" w:type="dxa"/>
            <w:vAlign w:val="center"/>
          </w:tcPr>
          <w:p w14:paraId="768242D1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光子统计与化学统计导致</w:t>
            </w:r>
            <w:r>
              <w:rPr>
                <w:sz w:val="19"/>
                <w:lang w:eastAsia="zh-CN"/>
              </w:rPr>
              <w:t>LWR</w:t>
            </w:r>
            <w:r>
              <w:rPr>
                <w:sz w:val="19"/>
                <w:lang w:eastAsia="zh-CN"/>
              </w:rPr>
              <w:t>与随机缺陷</w:t>
            </w:r>
          </w:p>
        </w:tc>
        <w:tc>
          <w:tcPr>
            <w:tcW w:w="2835" w:type="dxa"/>
            <w:vAlign w:val="center"/>
          </w:tcPr>
          <w:p w14:paraId="7E4A3FD6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化学随机性对图形质量影响研究</w:t>
            </w:r>
            <w:r>
              <w:rPr>
                <w:sz w:val="19"/>
                <w:lang w:eastAsia="zh-CN"/>
              </w:rPr>
              <w:t>[8]</w:t>
            </w:r>
            <w:r>
              <w:rPr>
                <w:sz w:val="19"/>
                <w:lang w:eastAsia="zh-CN"/>
              </w:rPr>
              <w:t>；材料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光学随机项解耦分析</w:t>
            </w:r>
            <w:r>
              <w:rPr>
                <w:sz w:val="19"/>
                <w:lang w:eastAsia="zh-CN"/>
              </w:rPr>
              <w:t>[9]</w:t>
            </w:r>
          </w:p>
        </w:tc>
        <w:tc>
          <w:tcPr>
            <w:tcW w:w="2551" w:type="dxa"/>
            <w:vAlign w:val="center"/>
          </w:tcPr>
          <w:p w14:paraId="017FF4F3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剂量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照明优化；减少反应扩散随机性；</w:t>
            </w:r>
            <w:r>
              <w:rPr>
                <w:sz w:val="19"/>
                <w:lang w:eastAsia="zh-CN"/>
              </w:rPr>
              <w:t>DFM</w:t>
            </w:r>
            <w:r>
              <w:rPr>
                <w:sz w:val="19"/>
                <w:lang w:eastAsia="zh-CN"/>
              </w:rPr>
              <w:t>与缺陷容错设计</w:t>
            </w:r>
          </w:p>
        </w:tc>
      </w:tr>
      <w:tr w:rsidR="00DF0FEE" w14:paraId="0A256C9F" w14:textId="77777777">
        <w:trPr>
          <w:jc w:val="center"/>
        </w:trPr>
        <w:tc>
          <w:tcPr>
            <w:tcW w:w="1701" w:type="dxa"/>
            <w:vAlign w:val="center"/>
          </w:tcPr>
          <w:p w14:paraId="75B368C0" w14:textId="77777777" w:rsidR="00DF0FEE" w:rsidRDefault="00000000">
            <w:proofErr w:type="spellStart"/>
            <w:r>
              <w:rPr>
                <w:sz w:val="19"/>
              </w:rPr>
              <w:t>量测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标定</w:t>
            </w:r>
            <w:proofErr w:type="spellEnd"/>
          </w:p>
        </w:tc>
        <w:tc>
          <w:tcPr>
            <w:tcW w:w="1984" w:type="dxa"/>
            <w:vAlign w:val="center"/>
          </w:tcPr>
          <w:p w14:paraId="7EC689B7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带内剂量与谱形监测、校准要求高</w:t>
            </w:r>
          </w:p>
        </w:tc>
        <w:tc>
          <w:tcPr>
            <w:tcW w:w="2835" w:type="dxa"/>
            <w:vAlign w:val="center"/>
          </w:tcPr>
          <w:p w14:paraId="219E32BC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极紫外辐射探测与标定技术研究</w:t>
            </w:r>
            <w:r>
              <w:rPr>
                <w:sz w:val="19"/>
                <w:lang w:eastAsia="zh-CN"/>
              </w:rPr>
              <w:t>[13]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>CDI</w:t>
            </w:r>
            <w:r>
              <w:rPr>
                <w:sz w:val="19"/>
                <w:lang w:eastAsia="zh-CN"/>
              </w:rPr>
              <w:t>量测综述</w:t>
            </w:r>
            <w:r>
              <w:rPr>
                <w:sz w:val="19"/>
                <w:lang w:eastAsia="zh-CN"/>
              </w:rPr>
              <w:t>[12]</w:t>
            </w:r>
          </w:p>
        </w:tc>
        <w:tc>
          <w:tcPr>
            <w:tcW w:w="2551" w:type="dxa"/>
            <w:vAlign w:val="center"/>
          </w:tcPr>
          <w:p w14:paraId="4D0D1683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高精度计量链；在线监控；多模态量测融合</w:t>
            </w:r>
          </w:p>
        </w:tc>
      </w:tr>
    </w:tbl>
    <w:p w14:paraId="58C4B8BF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sz w:val="28"/>
          <w:lang w:eastAsia="zh-CN"/>
        </w:rPr>
        <w:t>3 EUV</w:t>
      </w:r>
      <w:r>
        <w:rPr>
          <w:b/>
          <w:sz w:val="28"/>
          <w:lang w:eastAsia="zh-CN"/>
        </w:rPr>
        <w:t>光刻胶与工艺：材料体系与随机性</w:t>
      </w:r>
    </w:p>
    <w:p w14:paraId="0DF05EF1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t>3.1 EUV</w:t>
      </w:r>
      <w:r>
        <w:rPr>
          <w:b/>
          <w:lang w:eastAsia="zh-CN"/>
        </w:rPr>
        <w:t>光刻胶材料发展：从</w:t>
      </w:r>
      <w:r>
        <w:rPr>
          <w:b/>
          <w:lang w:eastAsia="zh-CN"/>
        </w:rPr>
        <w:t>CAR</w:t>
      </w:r>
      <w:r>
        <w:rPr>
          <w:b/>
          <w:lang w:eastAsia="zh-CN"/>
        </w:rPr>
        <w:t>到</w:t>
      </w:r>
      <w:r>
        <w:rPr>
          <w:b/>
          <w:lang w:eastAsia="zh-CN"/>
        </w:rPr>
        <w:t>MOR</w:t>
      </w:r>
    </w:p>
    <w:p w14:paraId="5976F813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EUV</w:t>
      </w:r>
      <w:r>
        <w:rPr>
          <w:lang w:eastAsia="zh-CN"/>
        </w:rPr>
        <w:t>光刻胶需要在更高分辨率下提供足够的敏感度与低粗糙度，同时具备刻蚀抗性与工艺窗口。传统化学放大型光刻胶（</w:t>
      </w:r>
      <w:r>
        <w:rPr>
          <w:lang w:eastAsia="zh-CN"/>
        </w:rPr>
        <w:t>CAR</w:t>
      </w:r>
      <w:r>
        <w:rPr>
          <w:lang w:eastAsia="zh-CN"/>
        </w:rPr>
        <w:t>）在</w:t>
      </w:r>
      <w:r>
        <w:rPr>
          <w:lang w:eastAsia="zh-CN"/>
        </w:rPr>
        <w:t>EUV</w:t>
      </w:r>
      <w:r>
        <w:rPr>
          <w:lang w:eastAsia="zh-CN"/>
        </w:rPr>
        <w:t>下仍被广泛使用，但其酸扩散与反应扩散会引入额外随机性；另一方面，金属氧化物光刻胶（</w:t>
      </w:r>
      <w:r>
        <w:rPr>
          <w:lang w:eastAsia="zh-CN"/>
        </w:rPr>
        <w:t>metal-oxide resist, MOR</w:t>
      </w:r>
      <w:r>
        <w:rPr>
          <w:lang w:eastAsia="zh-CN"/>
        </w:rPr>
        <w:t>）由于高吸收截面、高密度与潜在低分子量分布优势，成为近三年研究热点</w:t>
      </w:r>
      <w:r>
        <w:rPr>
          <w:lang w:eastAsia="zh-CN"/>
        </w:rPr>
        <w:t>[2,3]</w:t>
      </w:r>
      <w:r>
        <w:rPr>
          <w:lang w:eastAsia="zh-CN"/>
        </w:rPr>
        <w:t>。</w:t>
      </w:r>
      <w:r>
        <w:rPr>
          <w:lang w:eastAsia="zh-CN"/>
        </w:rPr>
        <w:t>Wang</w:t>
      </w:r>
      <w:r>
        <w:rPr>
          <w:lang w:eastAsia="zh-CN"/>
        </w:rPr>
        <w:t>等对</w:t>
      </w:r>
      <w:r>
        <w:rPr>
          <w:lang w:eastAsia="zh-CN"/>
        </w:rPr>
        <w:t>EUV</w:t>
      </w:r>
      <w:r>
        <w:rPr>
          <w:lang w:eastAsia="zh-CN"/>
        </w:rPr>
        <w:t>光刻胶材料趋势进行了系统综述，强调了提高吸收、降低二次电子扩散长度与控制反应统计的重要性</w:t>
      </w:r>
      <w:r>
        <w:rPr>
          <w:lang w:eastAsia="zh-CN"/>
        </w:rPr>
        <w:t>[2]</w:t>
      </w:r>
      <w:r>
        <w:rPr>
          <w:lang w:eastAsia="zh-CN"/>
        </w:rPr>
        <w:t>；</w:t>
      </w:r>
      <w:r>
        <w:rPr>
          <w:lang w:eastAsia="zh-CN"/>
        </w:rPr>
        <w:t>Hasan</w:t>
      </w:r>
      <w:r>
        <w:rPr>
          <w:lang w:eastAsia="zh-CN"/>
        </w:rPr>
        <w:t>等进一步总结了</w:t>
      </w:r>
      <w:r>
        <w:rPr>
          <w:lang w:eastAsia="zh-CN"/>
        </w:rPr>
        <w:t>MOR</w:t>
      </w:r>
      <w:r>
        <w:rPr>
          <w:lang w:eastAsia="zh-CN"/>
        </w:rPr>
        <w:t>体系在化学设计、溶解机理与工艺窗口方面的进展</w:t>
      </w:r>
      <w:r>
        <w:rPr>
          <w:lang w:eastAsia="zh-CN"/>
        </w:rPr>
        <w:t>[3]</w:t>
      </w:r>
      <w:r>
        <w:rPr>
          <w:lang w:eastAsia="zh-CN"/>
        </w:rPr>
        <w:t>。</w:t>
      </w:r>
    </w:p>
    <w:p w14:paraId="4417D768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t xml:space="preserve">3.2 </w:t>
      </w:r>
      <w:r>
        <w:rPr>
          <w:b/>
          <w:lang w:eastAsia="zh-CN"/>
        </w:rPr>
        <w:t>工艺创新：先进显影、后处理与过程窗口管理</w:t>
      </w:r>
    </w:p>
    <w:p w14:paraId="61AF76D6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除材料本体外，</w:t>
      </w:r>
      <w:r>
        <w:rPr>
          <w:lang w:eastAsia="zh-CN"/>
        </w:rPr>
        <w:t>EUV</w:t>
      </w:r>
      <w:r>
        <w:rPr>
          <w:lang w:eastAsia="zh-CN"/>
        </w:rPr>
        <w:t>工艺对显影与后处理极其敏感。为兼顾分辨率与低缺陷，近年出现了多种</w:t>
      </w:r>
      <w:r>
        <w:rPr>
          <w:lang w:eastAsia="zh-CN"/>
        </w:rPr>
        <w:t>“</w:t>
      </w:r>
      <w:r>
        <w:rPr>
          <w:lang w:eastAsia="zh-CN"/>
        </w:rPr>
        <w:t>材料</w:t>
      </w:r>
      <w:r>
        <w:rPr>
          <w:lang w:eastAsia="zh-CN"/>
        </w:rPr>
        <w:t>—</w:t>
      </w:r>
      <w:r>
        <w:rPr>
          <w:lang w:eastAsia="zh-CN"/>
        </w:rPr>
        <w:t>工艺协同</w:t>
      </w:r>
      <w:r>
        <w:rPr>
          <w:lang w:eastAsia="zh-CN"/>
        </w:rPr>
        <w:t>”</w:t>
      </w:r>
      <w:r>
        <w:rPr>
          <w:lang w:eastAsia="zh-CN"/>
        </w:rPr>
        <w:t>策略，例如通过改变显影溶剂、引入选择性淬灭</w:t>
      </w:r>
      <w:r>
        <w:rPr>
          <w:lang w:eastAsia="zh-CN"/>
        </w:rPr>
        <w:t>/</w:t>
      </w:r>
      <w:r>
        <w:rPr>
          <w:lang w:eastAsia="zh-CN"/>
        </w:rPr>
        <w:t>交联机制、以及采用干法</w:t>
      </w:r>
      <w:r>
        <w:rPr>
          <w:lang w:eastAsia="zh-CN"/>
        </w:rPr>
        <w:t>/</w:t>
      </w:r>
      <w:r>
        <w:rPr>
          <w:lang w:eastAsia="zh-CN"/>
        </w:rPr>
        <w:t>半干法显影等方式降低随机性。</w:t>
      </w:r>
      <w:r>
        <w:rPr>
          <w:lang w:eastAsia="zh-CN"/>
        </w:rPr>
        <w:t>Dinh</w:t>
      </w:r>
      <w:r>
        <w:rPr>
          <w:lang w:eastAsia="zh-CN"/>
        </w:rPr>
        <w:t>等在</w:t>
      </w:r>
      <w:r>
        <w:rPr>
          <w:lang w:eastAsia="zh-CN"/>
        </w:rPr>
        <w:t>SPIE 2024</w:t>
      </w:r>
      <w:r>
        <w:rPr>
          <w:lang w:eastAsia="zh-CN"/>
        </w:rPr>
        <w:t>系统讨论了面向高</w:t>
      </w:r>
      <w:r>
        <w:rPr>
          <w:lang w:eastAsia="zh-CN"/>
        </w:rPr>
        <w:t>NA EUV</w:t>
      </w:r>
      <w:r>
        <w:rPr>
          <w:lang w:eastAsia="zh-CN"/>
        </w:rPr>
        <w:t>的</w:t>
      </w:r>
      <w:r>
        <w:rPr>
          <w:lang w:eastAsia="zh-CN"/>
        </w:rPr>
        <w:t>MOR</w:t>
      </w:r>
      <w:r>
        <w:rPr>
          <w:lang w:eastAsia="zh-CN"/>
        </w:rPr>
        <w:t>工艺流程与关键参数优化，为材料落地提供了工程化路径</w:t>
      </w:r>
      <w:r>
        <w:rPr>
          <w:lang w:eastAsia="zh-CN"/>
        </w:rPr>
        <w:t>[7]</w:t>
      </w:r>
      <w:r>
        <w:rPr>
          <w:lang w:eastAsia="zh-CN"/>
        </w:rPr>
        <w:t>。</w:t>
      </w:r>
    </w:p>
    <w:p w14:paraId="236EE994" w14:textId="77777777" w:rsidR="00DF0FEE" w:rsidRDefault="0000000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183FB7C" wp14:editId="7F539A49">
            <wp:extent cx="3420000" cy="247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RLS_trian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9393" w14:textId="77777777" w:rsidR="00DF0FEE" w:rsidRDefault="00000000">
      <w:pPr>
        <w:spacing w:after="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>5  EUV</w:t>
      </w:r>
      <w:r>
        <w:rPr>
          <w:sz w:val="21"/>
          <w:lang w:eastAsia="zh-CN"/>
        </w:rPr>
        <w:t>光刻胶的</w:t>
      </w:r>
      <w:r>
        <w:rPr>
          <w:sz w:val="21"/>
          <w:lang w:eastAsia="zh-CN"/>
        </w:rPr>
        <w:t>RLS</w:t>
      </w:r>
      <w:r>
        <w:rPr>
          <w:sz w:val="21"/>
          <w:lang w:eastAsia="zh-CN"/>
        </w:rPr>
        <w:t>（分辨率</w:t>
      </w:r>
      <w:r>
        <w:rPr>
          <w:sz w:val="21"/>
          <w:lang w:eastAsia="zh-CN"/>
        </w:rPr>
        <w:t>-</w:t>
      </w:r>
      <w:r>
        <w:rPr>
          <w:sz w:val="21"/>
          <w:lang w:eastAsia="zh-CN"/>
        </w:rPr>
        <w:t>粗糙度</w:t>
      </w:r>
      <w:r>
        <w:rPr>
          <w:sz w:val="21"/>
          <w:lang w:eastAsia="zh-CN"/>
        </w:rPr>
        <w:t>-</w:t>
      </w:r>
      <w:r>
        <w:rPr>
          <w:sz w:val="21"/>
          <w:lang w:eastAsia="zh-CN"/>
        </w:rPr>
        <w:t>灵敏度）权衡关系示意（作者绘制，参考</w:t>
      </w:r>
      <w:r>
        <w:rPr>
          <w:sz w:val="21"/>
          <w:lang w:eastAsia="zh-CN"/>
        </w:rPr>
        <w:t>[2,3]</w:t>
      </w:r>
      <w:r>
        <w:rPr>
          <w:sz w:val="21"/>
          <w:lang w:eastAsia="zh-CN"/>
        </w:rPr>
        <w:t>）</w:t>
      </w:r>
    </w:p>
    <w:p w14:paraId="3141732D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t xml:space="preserve">3.3 </w:t>
      </w:r>
      <w:r>
        <w:rPr>
          <w:b/>
          <w:lang w:eastAsia="zh-CN"/>
        </w:rPr>
        <w:t>随机缺陷：光子</w:t>
      </w:r>
      <w:r>
        <w:rPr>
          <w:b/>
          <w:lang w:eastAsia="zh-CN"/>
        </w:rPr>
        <w:t>/</w:t>
      </w:r>
      <w:r>
        <w:rPr>
          <w:b/>
          <w:lang w:eastAsia="zh-CN"/>
        </w:rPr>
        <w:t>化学统计与</w:t>
      </w:r>
      <w:r>
        <w:rPr>
          <w:b/>
          <w:lang w:eastAsia="zh-CN"/>
        </w:rPr>
        <w:t>LWR</w:t>
      </w:r>
    </w:p>
    <w:p w14:paraId="36EC5A18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当特征尺寸进入数纳米量级时，即便平均曝光剂量满足要求，局部区域的光子数涨落（</w:t>
      </w:r>
      <w:r>
        <w:rPr>
          <w:lang w:eastAsia="zh-CN"/>
        </w:rPr>
        <w:t>photon shot noise</w:t>
      </w:r>
      <w:r>
        <w:rPr>
          <w:lang w:eastAsia="zh-CN"/>
        </w:rPr>
        <w:t>）与二次电子输运、酸</w:t>
      </w:r>
      <w:r>
        <w:rPr>
          <w:lang w:eastAsia="zh-CN"/>
        </w:rPr>
        <w:t>/</w:t>
      </w:r>
      <w:r>
        <w:rPr>
          <w:lang w:eastAsia="zh-CN"/>
        </w:rPr>
        <w:t>自由基产生与反应扩散等化学统计过程仍可能导致线宽粗糙度（</w:t>
      </w:r>
      <w:r>
        <w:rPr>
          <w:lang w:eastAsia="zh-CN"/>
        </w:rPr>
        <w:t>LWR/LER</w:t>
      </w:r>
      <w:r>
        <w:rPr>
          <w:lang w:eastAsia="zh-CN"/>
        </w:rPr>
        <w:t>）增大、孔洞缺失、线条桥连等随机缺陷。</w:t>
      </w:r>
      <w:r>
        <w:rPr>
          <w:lang w:eastAsia="zh-CN"/>
        </w:rPr>
        <w:t>Yamaguchi</w:t>
      </w:r>
      <w:r>
        <w:rPr>
          <w:lang w:eastAsia="zh-CN"/>
        </w:rPr>
        <w:t>与</w:t>
      </w:r>
      <w:r>
        <w:rPr>
          <w:lang w:eastAsia="zh-CN"/>
        </w:rPr>
        <w:t>Kozawa</w:t>
      </w:r>
      <w:r>
        <w:rPr>
          <w:lang w:eastAsia="zh-CN"/>
        </w:rPr>
        <w:t>在</w:t>
      </w:r>
      <w:r>
        <w:rPr>
          <w:lang w:eastAsia="zh-CN"/>
        </w:rPr>
        <w:t>AIP Advances 2025</w:t>
      </w:r>
      <w:r>
        <w:rPr>
          <w:lang w:eastAsia="zh-CN"/>
        </w:rPr>
        <w:t>研究了化学随机性对</w:t>
      </w:r>
      <w:r>
        <w:rPr>
          <w:lang w:eastAsia="zh-CN"/>
        </w:rPr>
        <w:t>EUV</w:t>
      </w:r>
      <w:r>
        <w:rPr>
          <w:lang w:eastAsia="zh-CN"/>
        </w:rPr>
        <w:t>图形质量的影响，为理解</w:t>
      </w:r>
      <w:r>
        <w:rPr>
          <w:lang w:eastAsia="zh-CN"/>
        </w:rPr>
        <w:t>“</w:t>
      </w:r>
      <w:r>
        <w:rPr>
          <w:lang w:eastAsia="zh-CN"/>
        </w:rPr>
        <w:t>材料统计项</w:t>
      </w:r>
      <w:r>
        <w:rPr>
          <w:lang w:eastAsia="zh-CN"/>
        </w:rPr>
        <w:t>”</w:t>
      </w:r>
      <w:r>
        <w:rPr>
          <w:lang w:eastAsia="zh-CN"/>
        </w:rPr>
        <w:t>提供了定量依据</w:t>
      </w:r>
      <w:r>
        <w:rPr>
          <w:lang w:eastAsia="zh-CN"/>
        </w:rPr>
        <w:t>[8]</w:t>
      </w:r>
      <w:r>
        <w:rPr>
          <w:lang w:eastAsia="zh-CN"/>
        </w:rPr>
        <w:t>；</w:t>
      </w:r>
      <w:r>
        <w:rPr>
          <w:lang w:eastAsia="zh-CN"/>
        </w:rPr>
        <w:t>Park</w:t>
      </w:r>
      <w:r>
        <w:rPr>
          <w:lang w:eastAsia="zh-CN"/>
        </w:rPr>
        <w:t>等在</w:t>
      </w:r>
      <w:r>
        <w:rPr>
          <w:lang w:eastAsia="zh-CN"/>
        </w:rPr>
        <w:t>Scientific Reports 2025</w:t>
      </w:r>
      <w:r>
        <w:rPr>
          <w:lang w:eastAsia="zh-CN"/>
        </w:rPr>
        <w:t>进一步通过仿真将材料随机项与光学随机项进行解耦，指出材料随机性对失效窗口的影响尤为关键</w:t>
      </w:r>
      <w:r>
        <w:rPr>
          <w:lang w:eastAsia="zh-CN"/>
        </w:rPr>
        <w:t>[9]</w:t>
      </w:r>
      <w:r>
        <w:rPr>
          <w:lang w:eastAsia="zh-CN"/>
        </w:rPr>
        <w:t>。</w:t>
      </w:r>
    </w:p>
    <w:p w14:paraId="24490EE8" w14:textId="77777777" w:rsidR="00DF0FEE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4552E558" wp14:editId="18354081">
            <wp:extent cx="3960000" cy="235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Stochastic_eff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9900" w14:textId="3F918AE6" w:rsidR="00DF0FEE" w:rsidRDefault="00000000">
      <w:pPr>
        <w:spacing w:after="0" w:line="360" w:lineRule="auto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>6  EUV</w:t>
      </w:r>
      <w:r>
        <w:rPr>
          <w:sz w:val="21"/>
          <w:lang w:eastAsia="zh-CN"/>
        </w:rPr>
        <w:t>光刻随机效应的来源与缺陷概率随剂量变化趋势</w:t>
      </w:r>
      <w:r w:rsidR="003804E1"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[8,9]</w:t>
      </w:r>
    </w:p>
    <w:p w14:paraId="677349BF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随机缺陷抑制通常需要在多个层级同时发力：在材料层面提高吸收、优化</w:t>
      </w:r>
      <w:r>
        <w:rPr>
          <w:lang w:eastAsia="zh-CN"/>
        </w:rPr>
        <w:t>PAG/</w:t>
      </w:r>
      <w:r>
        <w:rPr>
          <w:lang w:eastAsia="zh-CN"/>
        </w:rPr>
        <w:t>淬灭剂比例、缩短扩散长度；在工艺层面通过剂量与照明优化、后处理平滑、以及缺陷可容忍的版图</w:t>
      </w:r>
      <w:r>
        <w:rPr>
          <w:lang w:eastAsia="zh-CN"/>
        </w:rPr>
        <w:t>/</w:t>
      </w:r>
      <w:r>
        <w:rPr>
          <w:lang w:eastAsia="zh-CN"/>
        </w:rPr>
        <w:lastRenderedPageBreak/>
        <w:t>工艺协同（</w:t>
      </w:r>
      <w:r>
        <w:rPr>
          <w:lang w:eastAsia="zh-CN"/>
        </w:rPr>
        <w:t>DFM</w:t>
      </w:r>
      <w:r>
        <w:rPr>
          <w:lang w:eastAsia="zh-CN"/>
        </w:rPr>
        <w:t>）减少高风险结构。由于这些手段往往与吞吐量、</w:t>
      </w:r>
      <w:r>
        <w:rPr>
          <w:lang w:eastAsia="zh-CN"/>
        </w:rPr>
        <w:t>CDU</w:t>
      </w:r>
      <w:r>
        <w:rPr>
          <w:lang w:eastAsia="zh-CN"/>
        </w:rPr>
        <w:t>与刻蚀可转移性相关联，未来研究将更强调</w:t>
      </w:r>
      <w:r>
        <w:rPr>
          <w:lang w:eastAsia="zh-CN"/>
        </w:rPr>
        <w:t>“</w:t>
      </w:r>
      <w:r>
        <w:rPr>
          <w:lang w:eastAsia="zh-CN"/>
        </w:rPr>
        <w:t>计算光刻</w:t>
      </w:r>
      <w:r>
        <w:rPr>
          <w:lang w:eastAsia="zh-CN"/>
        </w:rPr>
        <w:t>—</w:t>
      </w:r>
      <w:r>
        <w:rPr>
          <w:lang w:eastAsia="zh-CN"/>
        </w:rPr>
        <w:t>材料</w:t>
      </w:r>
      <w:r>
        <w:rPr>
          <w:lang w:eastAsia="zh-CN"/>
        </w:rPr>
        <w:t>—</w:t>
      </w:r>
      <w:r>
        <w:rPr>
          <w:lang w:eastAsia="zh-CN"/>
        </w:rPr>
        <w:t>过程</w:t>
      </w:r>
      <w:r>
        <w:rPr>
          <w:lang w:eastAsia="zh-CN"/>
        </w:rPr>
        <w:t>—</w:t>
      </w:r>
      <w:r>
        <w:rPr>
          <w:lang w:eastAsia="zh-CN"/>
        </w:rPr>
        <w:t>量测</w:t>
      </w:r>
      <w:r>
        <w:rPr>
          <w:lang w:eastAsia="zh-CN"/>
        </w:rPr>
        <w:t>”</w:t>
      </w:r>
      <w:r>
        <w:rPr>
          <w:lang w:eastAsia="zh-CN"/>
        </w:rPr>
        <w:t>的闭环优化</w:t>
      </w:r>
      <w:r>
        <w:rPr>
          <w:lang w:eastAsia="zh-CN"/>
        </w:rPr>
        <w:t>[1-3]</w:t>
      </w:r>
      <w:r>
        <w:rPr>
          <w:lang w:eastAsia="zh-CN"/>
        </w:rPr>
        <w:t>。</w:t>
      </w:r>
    </w:p>
    <w:p w14:paraId="4CE11FCB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sz w:val="28"/>
          <w:lang w:eastAsia="zh-CN"/>
        </w:rPr>
        <w:t xml:space="preserve">4 </w:t>
      </w:r>
      <w:r>
        <w:rPr>
          <w:b/>
          <w:sz w:val="28"/>
          <w:lang w:eastAsia="zh-CN"/>
        </w:rPr>
        <w:t>高</w:t>
      </w:r>
      <w:r>
        <w:rPr>
          <w:b/>
          <w:sz w:val="28"/>
          <w:lang w:eastAsia="zh-CN"/>
        </w:rPr>
        <w:t>NA EUV</w:t>
      </w:r>
      <w:r>
        <w:rPr>
          <w:b/>
          <w:sz w:val="28"/>
          <w:lang w:eastAsia="zh-CN"/>
        </w:rPr>
        <w:t>与未来发展趋势</w:t>
      </w:r>
    </w:p>
    <w:p w14:paraId="738D8ECD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t xml:space="preserve">4.1 </w:t>
      </w:r>
      <w:r>
        <w:rPr>
          <w:b/>
          <w:lang w:eastAsia="zh-CN"/>
        </w:rPr>
        <w:t>高</w:t>
      </w:r>
      <w:r>
        <w:rPr>
          <w:b/>
          <w:lang w:eastAsia="zh-CN"/>
        </w:rPr>
        <w:t>NA</w:t>
      </w:r>
      <w:r>
        <w:rPr>
          <w:b/>
          <w:lang w:eastAsia="zh-CN"/>
        </w:rPr>
        <w:t>（</w:t>
      </w:r>
      <w:r>
        <w:rPr>
          <w:b/>
          <w:lang w:eastAsia="zh-CN"/>
        </w:rPr>
        <w:t>0.55</w:t>
      </w:r>
      <w:r>
        <w:rPr>
          <w:b/>
          <w:lang w:eastAsia="zh-CN"/>
        </w:rPr>
        <w:t>）曝光系统的生态变化</w:t>
      </w:r>
    </w:p>
    <w:p w14:paraId="18AC496F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高</w:t>
      </w:r>
      <w:r>
        <w:rPr>
          <w:lang w:eastAsia="zh-CN"/>
        </w:rPr>
        <w:t>NA EUV</w:t>
      </w:r>
      <w:r>
        <w:rPr>
          <w:lang w:eastAsia="zh-CN"/>
        </w:rPr>
        <w:t>的核心目标是通过更大</w:t>
      </w:r>
      <w:r>
        <w:rPr>
          <w:lang w:eastAsia="zh-CN"/>
        </w:rPr>
        <w:t>NA</w:t>
      </w:r>
      <w:r>
        <w:rPr>
          <w:lang w:eastAsia="zh-CN"/>
        </w:rPr>
        <w:t>获得更小的</w:t>
      </w:r>
      <w:r>
        <w:rPr>
          <w:lang w:eastAsia="zh-CN"/>
        </w:rPr>
        <w:t>k1</w:t>
      </w:r>
      <w:r>
        <w:rPr>
          <w:lang w:eastAsia="zh-CN"/>
        </w:rPr>
        <w:t>工作点与更高分辨率，同时尽量减少多重图形化带来的成本与叠对风险。然而</w:t>
      </w:r>
      <w:r>
        <w:rPr>
          <w:lang w:eastAsia="zh-CN"/>
        </w:rPr>
        <w:t>NA</w:t>
      </w:r>
      <w:r>
        <w:rPr>
          <w:lang w:eastAsia="zh-CN"/>
        </w:rPr>
        <w:t>提升将显著压缩景深并加剧掩模三维效应，且由于</w:t>
      </w:r>
      <w:r>
        <w:rPr>
          <w:lang w:eastAsia="zh-CN"/>
        </w:rPr>
        <w:t>anamorphic</w:t>
      </w:r>
      <w:r>
        <w:rPr>
          <w:lang w:eastAsia="zh-CN"/>
        </w:rPr>
        <w:t>投影会缩小单次曝光视场，使得吞吐量、拼接与叠对控制变得更加关键</w:t>
      </w:r>
      <w:r>
        <w:rPr>
          <w:lang w:eastAsia="zh-CN"/>
        </w:rPr>
        <w:t>[4]</w:t>
      </w:r>
      <w:r>
        <w:rPr>
          <w:lang w:eastAsia="zh-CN"/>
        </w:rPr>
        <w:t>。</w:t>
      </w:r>
      <w:r>
        <w:rPr>
          <w:lang w:eastAsia="zh-CN"/>
        </w:rPr>
        <w:t>Phillips</w:t>
      </w:r>
      <w:r>
        <w:rPr>
          <w:lang w:eastAsia="zh-CN"/>
        </w:rPr>
        <w:t>在</w:t>
      </w:r>
      <w:r>
        <w:rPr>
          <w:lang w:eastAsia="zh-CN"/>
        </w:rPr>
        <w:t>SPIE 2024</w:t>
      </w:r>
      <w:r>
        <w:rPr>
          <w:lang w:eastAsia="zh-CN"/>
        </w:rPr>
        <w:t>总结了</w:t>
      </w:r>
      <w:r>
        <w:rPr>
          <w:lang w:eastAsia="zh-CN"/>
        </w:rPr>
        <w:t>0.55NA</w:t>
      </w:r>
      <w:r>
        <w:rPr>
          <w:lang w:eastAsia="zh-CN"/>
        </w:rPr>
        <w:t>曝光工具与生态的状态，显示高</w:t>
      </w:r>
      <w:r>
        <w:rPr>
          <w:lang w:eastAsia="zh-CN"/>
        </w:rPr>
        <w:t>NA</w:t>
      </w:r>
      <w:r>
        <w:rPr>
          <w:lang w:eastAsia="zh-CN"/>
        </w:rPr>
        <w:t>推进已从单一设备走向</w:t>
      </w:r>
      <w:r>
        <w:rPr>
          <w:lang w:eastAsia="zh-CN"/>
        </w:rPr>
        <w:t>“</w:t>
      </w:r>
      <w:r>
        <w:rPr>
          <w:lang w:eastAsia="zh-CN"/>
        </w:rPr>
        <w:t>全生态共同成熟</w:t>
      </w:r>
      <w:r>
        <w:rPr>
          <w:lang w:eastAsia="zh-CN"/>
        </w:rPr>
        <w:t>”</w:t>
      </w:r>
      <w:r>
        <w:rPr>
          <w:lang w:eastAsia="zh-CN"/>
        </w:rPr>
        <w:t>的阶段</w:t>
      </w:r>
      <w:r>
        <w:rPr>
          <w:lang w:eastAsia="zh-CN"/>
        </w:rPr>
        <w:t>[4]</w:t>
      </w:r>
      <w:r>
        <w:rPr>
          <w:lang w:eastAsia="zh-CN"/>
        </w:rPr>
        <w:t>。</w:t>
      </w:r>
    </w:p>
    <w:p w14:paraId="2489DDA6" w14:textId="77777777" w:rsidR="00DF0FEE" w:rsidRDefault="00000000" w:rsidP="003804E1">
      <w:pPr>
        <w:spacing w:after="0" w:line="240" w:lineRule="auto"/>
        <w:jc w:val="center"/>
      </w:pPr>
      <w:r>
        <w:rPr>
          <w:sz w:val="20"/>
        </w:rPr>
        <w:t>表</w:t>
      </w:r>
      <w:r>
        <w:rPr>
          <w:sz w:val="20"/>
        </w:rPr>
        <w:t>2  0.33NA EUV</w:t>
      </w:r>
      <w:r>
        <w:rPr>
          <w:sz w:val="20"/>
        </w:rPr>
        <w:t>与</w:t>
      </w:r>
      <w:r>
        <w:rPr>
          <w:sz w:val="20"/>
        </w:rPr>
        <w:t>0.55NA</w:t>
      </w:r>
      <w:r>
        <w:rPr>
          <w:sz w:val="20"/>
        </w:rPr>
        <w:t>高</w:t>
      </w:r>
      <w:r>
        <w:rPr>
          <w:sz w:val="20"/>
        </w:rPr>
        <w:t xml:space="preserve">NA </w:t>
      </w:r>
      <w:proofErr w:type="spellStart"/>
      <w:r>
        <w:rPr>
          <w:sz w:val="20"/>
        </w:rPr>
        <w:t>EUV</w:t>
      </w:r>
      <w:r>
        <w:rPr>
          <w:sz w:val="20"/>
        </w:rPr>
        <w:t>的关键差异（作者整理</w:t>
      </w:r>
      <w:proofErr w:type="spellEnd"/>
      <w:r>
        <w:rPr>
          <w:sz w:val="20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DF0FEE" w14:paraId="5FE8633B" w14:textId="77777777">
        <w:trPr>
          <w:jc w:val="center"/>
        </w:trPr>
        <w:tc>
          <w:tcPr>
            <w:tcW w:w="1701" w:type="dxa"/>
            <w:vAlign w:val="center"/>
          </w:tcPr>
          <w:p w14:paraId="5808F73B" w14:textId="77777777" w:rsidR="00DF0FEE" w:rsidRDefault="00000000">
            <w:pPr>
              <w:jc w:val="center"/>
            </w:pPr>
            <w:r>
              <w:rPr>
                <w:b/>
                <w:sz w:val="19"/>
              </w:rPr>
              <w:t>对比维度</w:t>
            </w:r>
          </w:p>
        </w:tc>
        <w:tc>
          <w:tcPr>
            <w:tcW w:w="3685" w:type="dxa"/>
            <w:vAlign w:val="center"/>
          </w:tcPr>
          <w:p w14:paraId="6B0168AC" w14:textId="77777777" w:rsidR="00DF0FEE" w:rsidRDefault="00000000">
            <w:pPr>
              <w:jc w:val="center"/>
            </w:pPr>
            <w:r>
              <w:rPr>
                <w:b/>
                <w:sz w:val="19"/>
              </w:rPr>
              <w:t>0.33NA EUV</w:t>
            </w:r>
            <w:r>
              <w:rPr>
                <w:b/>
                <w:sz w:val="19"/>
              </w:rPr>
              <w:t>（量产主力）</w:t>
            </w:r>
          </w:p>
        </w:tc>
        <w:tc>
          <w:tcPr>
            <w:tcW w:w="3685" w:type="dxa"/>
            <w:vAlign w:val="center"/>
          </w:tcPr>
          <w:p w14:paraId="3019914F" w14:textId="77777777" w:rsidR="00DF0FEE" w:rsidRDefault="00000000">
            <w:pPr>
              <w:jc w:val="center"/>
            </w:pPr>
            <w:r>
              <w:rPr>
                <w:b/>
                <w:sz w:val="19"/>
              </w:rPr>
              <w:t xml:space="preserve">0.55NA </w:t>
            </w:r>
            <w:r>
              <w:rPr>
                <w:b/>
                <w:sz w:val="19"/>
              </w:rPr>
              <w:t>高</w:t>
            </w:r>
            <w:r>
              <w:rPr>
                <w:b/>
                <w:sz w:val="19"/>
              </w:rPr>
              <w:t>NA EUV</w:t>
            </w:r>
            <w:r>
              <w:rPr>
                <w:b/>
                <w:sz w:val="19"/>
              </w:rPr>
              <w:t>（推进中）</w:t>
            </w:r>
          </w:p>
        </w:tc>
      </w:tr>
      <w:tr w:rsidR="00DF0FEE" w14:paraId="48AE0247" w14:textId="77777777">
        <w:trPr>
          <w:jc w:val="center"/>
        </w:trPr>
        <w:tc>
          <w:tcPr>
            <w:tcW w:w="1701" w:type="dxa"/>
            <w:vAlign w:val="center"/>
          </w:tcPr>
          <w:p w14:paraId="7133BEF9" w14:textId="77777777" w:rsidR="00DF0FEE" w:rsidRDefault="00000000">
            <w:proofErr w:type="spellStart"/>
            <w:r>
              <w:rPr>
                <w:sz w:val="19"/>
              </w:rPr>
              <w:t>分辨率提升路径</w:t>
            </w:r>
            <w:proofErr w:type="spellEnd"/>
          </w:p>
        </w:tc>
        <w:tc>
          <w:tcPr>
            <w:tcW w:w="3685" w:type="dxa"/>
            <w:vAlign w:val="center"/>
          </w:tcPr>
          <w:p w14:paraId="69324FEA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</w:t>
            </w:r>
            <w:r>
              <w:rPr>
                <w:sz w:val="19"/>
                <w:lang w:eastAsia="zh-CN"/>
              </w:rPr>
              <w:t>OPC/</w:t>
            </w:r>
            <w:r>
              <w:rPr>
                <w:sz w:val="19"/>
                <w:lang w:eastAsia="zh-CN"/>
              </w:rPr>
              <w:t>多重曝光与工艺优化</w:t>
            </w:r>
          </w:p>
        </w:tc>
        <w:tc>
          <w:tcPr>
            <w:tcW w:w="3685" w:type="dxa"/>
            <w:vAlign w:val="center"/>
          </w:tcPr>
          <w:p w14:paraId="4A30AEC8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NA</w:t>
            </w:r>
            <w:r>
              <w:rPr>
                <w:sz w:val="19"/>
                <w:lang w:eastAsia="zh-CN"/>
              </w:rPr>
              <w:t>提升带来直接分辨率收益，但</w:t>
            </w:r>
            <w:r>
              <w:rPr>
                <w:sz w:val="19"/>
                <w:lang w:eastAsia="zh-CN"/>
              </w:rPr>
              <w:t>DOF</w:t>
            </w:r>
            <w:r>
              <w:rPr>
                <w:sz w:val="19"/>
                <w:lang w:eastAsia="zh-CN"/>
              </w:rPr>
              <w:t>更小</w:t>
            </w:r>
          </w:p>
        </w:tc>
      </w:tr>
      <w:tr w:rsidR="00DF0FEE" w14:paraId="0D0E83D5" w14:textId="77777777">
        <w:trPr>
          <w:jc w:val="center"/>
        </w:trPr>
        <w:tc>
          <w:tcPr>
            <w:tcW w:w="1701" w:type="dxa"/>
            <w:vAlign w:val="center"/>
          </w:tcPr>
          <w:p w14:paraId="569A2C8B" w14:textId="77777777" w:rsidR="00DF0FEE" w:rsidRDefault="00000000">
            <w:proofErr w:type="spellStart"/>
            <w:r>
              <w:rPr>
                <w:sz w:val="19"/>
              </w:rPr>
              <w:t>投影方式</w:t>
            </w:r>
            <w:proofErr w:type="spellEnd"/>
          </w:p>
        </w:tc>
        <w:tc>
          <w:tcPr>
            <w:tcW w:w="3685" w:type="dxa"/>
            <w:vAlign w:val="center"/>
          </w:tcPr>
          <w:p w14:paraId="73ABA6A9" w14:textId="77777777" w:rsidR="00DF0FEE" w:rsidRDefault="00000000">
            <w:r>
              <w:rPr>
                <w:sz w:val="19"/>
              </w:rPr>
              <w:t>近似对称</w:t>
            </w:r>
            <w:r>
              <w:rPr>
                <w:sz w:val="19"/>
              </w:rPr>
              <w:t>4×</w:t>
            </w:r>
            <w:r>
              <w:rPr>
                <w:sz w:val="19"/>
              </w:rPr>
              <w:t>缩小</w:t>
            </w:r>
          </w:p>
        </w:tc>
        <w:tc>
          <w:tcPr>
            <w:tcW w:w="3685" w:type="dxa"/>
            <w:vAlign w:val="center"/>
          </w:tcPr>
          <w:p w14:paraId="1B259D41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常采用</w:t>
            </w:r>
            <w:r>
              <w:rPr>
                <w:sz w:val="19"/>
                <w:lang w:eastAsia="zh-CN"/>
              </w:rPr>
              <w:t>anamorphic</w:t>
            </w:r>
            <w:r>
              <w:rPr>
                <w:sz w:val="19"/>
                <w:lang w:eastAsia="zh-CN"/>
              </w:rPr>
              <w:t>非对称缩小（概念见图</w:t>
            </w: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DF0FEE" w14:paraId="7052A5E8" w14:textId="77777777">
        <w:trPr>
          <w:jc w:val="center"/>
        </w:trPr>
        <w:tc>
          <w:tcPr>
            <w:tcW w:w="1701" w:type="dxa"/>
            <w:vAlign w:val="center"/>
          </w:tcPr>
          <w:p w14:paraId="00E44538" w14:textId="77777777" w:rsidR="00DF0FEE" w:rsidRDefault="00000000">
            <w:proofErr w:type="spellStart"/>
            <w:r>
              <w:rPr>
                <w:sz w:val="19"/>
              </w:rPr>
              <w:t>掩模挑战</w:t>
            </w:r>
            <w:proofErr w:type="spellEnd"/>
          </w:p>
        </w:tc>
        <w:tc>
          <w:tcPr>
            <w:tcW w:w="3685" w:type="dxa"/>
            <w:vAlign w:val="center"/>
          </w:tcPr>
          <w:p w14:paraId="504029B8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M3D</w:t>
            </w:r>
            <w:r>
              <w:rPr>
                <w:sz w:val="19"/>
                <w:lang w:eastAsia="zh-CN"/>
              </w:rPr>
              <w:t>效应与缺陷可印性已较成熟管理</w:t>
            </w:r>
          </w:p>
        </w:tc>
        <w:tc>
          <w:tcPr>
            <w:tcW w:w="3685" w:type="dxa"/>
            <w:vAlign w:val="center"/>
          </w:tcPr>
          <w:p w14:paraId="488D5069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更强</w:t>
            </w:r>
            <w:r>
              <w:rPr>
                <w:sz w:val="19"/>
                <w:lang w:eastAsia="zh-CN"/>
              </w:rPr>
              <w:t>M3D</w:t>
            </w:r>
            <w:r>
              <w:rPr>
                <w:sz w:val="19"/>
                <w:lang w:eastAsia="zh-CN"/>
              </w:rPr>
              <w:t>效应、更严格缺陷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相位控制与检测要求</w:t>
            </w:r>
          </w:p>
        </w:tc>
      </w:tr>
      <w:tr w:rsidR="00DF0FEE" w14:paraId="59BBC7F4" w14:textId="77777777">
        <w:trPr>
          <w:jc w:val="center"/>
        </w:trPr>
        <w:tc>
          <w:tcPr>
            <w:tcW w:w="1701" w:type="dxa"/>
            <w:vAlign w:val="center"/>
          </w:tcPr>
          <w:p w14:paraId="2DB3A659" w14:textId="77777777" w:rsidR="00DF0FEE" w:rsidRDefault="00000000">
            <w:proofErr w:type="spellStart"/>
            <w:r>
              <w:rPr>
                <w:sz w:val="19"/>
              </w:rPr>
              <w:t>材料与随机性</w:t>
            </w:r>
            <w:proofErr w:type="spellEnd"/>
          </w:p>
        </w:tc>
        <w:tc>
          <w:tcPr>
            <w:tcW w:w="3685" w:type="dxa"/>
            <w:vAlign w:val="center"/>
          </w:tcPr>
          <w:p w14:paraId="600181EA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随机缺陷已成为良率限制因素之一</w:t>
            </w:r>
          </w:p>
        </w:tc>
        <w:tc>
          <w:tcPr>
            <w:tcW w:w="3685" w:type="dxa"/>
            <w:vAlign w:val="center"/>
          </w:tcPr>
          <w:p w14:paraId="34E1E931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更小</w:t>
            </w:r>
            <w:r>
              <w:rPr>
                <w:sz w:val="19"/>
                <w:lang w:eastAsia="zh-CN"/>
              </w:rPr>
              <w:t>CD</w:t>
            </w:r>
            <w:r>
              <w:rPr>
                <w:sz w:val="19"/>
                <w:lang w:eastAsia="zh-CN"/>
              </w:rPr>
              <w:t>与更小</w:t>
            </w:r>
            <w:r>
              <w:rPr>
                <w:sz w:val="19"/>
                <w:lang w:eastAsia="zh-CN"/>
              </w:rPr>
              <w:t>DOF</w:t>
            </w:r>
            <w:r>
              <w:rPr>
                <w:sz w:val="19"/>
                <w:lang w:eastAsia="zh-CN"/>
              </w:rPr>
              <w:t>下随机性进一步放大，对</w:t>
            </w:r>
            <w:r>
              <w:rPr>
                <w:sz w:val="19"/>
                <w:lang w:eastAsia="zh-CN"/>
              </w:rPr>
              <w:t>MOR/</w:t>
            </w:r>
            <w:r>
              <w:rPr>
                <w:sz w:val="19"/>
                <w:lang w:eastAsia="zh-CN"/>
              </w:rPr>
              <w:t>工艺提出更高要求</w:t>
            </w:r>
            <w:r>
              <w:rPr>
                <w:sz w:val="19"/>
                <w:lang w:eastAsia="zh-CN"/>
              </w:rPr>
              <w:t>[7-9]</w:t>
            </w:r>
          </w:p>
        </w:tc>
      </w:tr>
      <w:tr w:rsidR="00DF0FEE" w14:paraId="6965A243" w14:textId="77777777">
        <w:trPr>
          <w:jc w:val="center"/>
        </w:trPr>
        <w:tc>
          <w:tcPr>
            <w:tcW w:w="1701" w:type="dxa"/>
            <w:vAlign w:val="center"/>
          </w:tcPr>
          <w:p w14:paraId="13F2BC9A" w14:textId="77777777" w:rsidR="00DF0FEE" w:rsidRDefault="00000000">
            <w:proofErr w:type="spellStart"/>
            <w:r>
              <w:rPr>
                <w:sz w:val="19"/>
              </w:rPr>
              <w:t>量测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标定</w:t>
            </w:r>
            <w:proofErr w:type="spellEnd"/>
          </w:p>
        </w:tc>
        <w:tc>
          <w:tcPr>
            <w:tcW w:w="3685" w:type="dxa"/>
            <w:vAlign w:val="center"/>
          </w:tcPr>
          <w:p w14:paraId="623A1511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多模态量测与剂量控制体系较完善</w:t>
            </w:r>
          </w:p>
        </w:tc>
        <w:tc>
          <w:tcPr>
            <w:tcW w:w="3685" w:type="dxa"/>
            <w:vAlign w:val="center"/>
          </w:tcPr>
          <w:p w14:paraId="6947250F" w14:textId="77777777" w:rsidR="00DF0FE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需要更高精度的</w:t>
            </w:r>
            <w:r>
              <w:rPr>
                <w:sz w:val="19"/>
                <w:lang w:eastAsia="zh-CN"/>
              </w:rPr>
              <w:t>actinic</w:t>
            </w:r>
            <w:r>
              <w:rPr>
                <w:sz w:val="19"/>
                <w:lang w:eastAsia="zh-CN"/>
              </w:rPr>
              <w:t>检测、</w:t>
            </w:r>
            <w:r>
              <w:rPr>
                <w:sz w:val="19"/>
                <w:lang w:eastAsia="zh-CN"/>
              </w:rPr>
              <w:t>CDI</w:t>
            </w:r>
            <w:r>
              <w:rPr>
                <w:sz w:val="19"/>
                <w:lang w:eastAsia="zh-CN"/>
              </w:rPr>
              <w:t>与剂量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像差闭环</w:t>
            </w:r>
            <w:r>
              <w:rPr>
                <w:sz w:val="19"/>
                <w:lang w:eastAsia="zh-CN"/>
              </w:rPr>
              <w:t>[5,12,13]</w:t>
            </w:r>
          </w:p>
        </w:tc>
      </w:tr>
    </w:tbl>
    <w:p w14:paraId="7B0EE12B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t xml:space="preserve">4.2 </w:t>
      </w:r>
      <w:r>
        <w:rPr>
          <w:b/>
          <w:lang w:eastAsia="zh-CN"/>
        </w:rPr>
        <w:t>掩模基础设施：</w:t>
      </w:r>
      <w:r>
        <w:rPr>
          <w:b/>
          <w:lang w:eastAsia="zh-CN"/>
        </w:rPr>
        <w:t>actinic</w:t>
      </w:r>
      <w:r>
        <w:rPr>
          <w:b/>
          <w:lang w:eastAsia="zh-CN"/>
        </w:rPr>
        <w:t>检测与数据驱动补偿</w:t>
      </w:r>
    </w:p>
    <w:p w14:paraId="04E11FFE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在高</w:t>
      </w:r>
      <w:r>
        <w:rPr>
          <w:lang w:eastAsia="zh-CN"/>
        </w:rPr>
        <w:t>NA</w:t>
      </w:r>
      <w:r>
        <w:rPr>
          <w:lang w:eastAsia="zh-CN"/>
        </w:rPr>
        <w:t>条件下，掩模缺陷的相位扰动更容易转化为晶圆端的</w:t>
      </w:r>
      <w:r>
        <w:rPr>
          <w:lang w:eastAsia="zh-CN"/>
        </w:rPr>
        <w:t>CD</w:t>
      </w:r>
      <w:r>
        <w:rPr>
          <w:lang w:eastAsia="zh-CN"/>
        </w:rPr>
        <w:t>误差或随机缺陷，因此对缺陷检测灵敏度与溯源能力提出更高要求。</w:t>
      </w:r>
      <w:r>
        <w:rPr>
          <w:lang w:eastAsia="zh-CN"/>
        </w:rPr>
        <w:t>Todoroki</w:t>
      </w:r>
      <w:r>
        <w:rPr>
          <w:lang w:eastAsia="zh-CN"/>
        </w:rPr>
        <w:t>等报道的</w:t>
      </w:r>
      <w:r>
        <w:rPr>
          <w:lang w:eastAsia="zh-CN"/>
        </w:rPr>
        <w:t>die-to-database actinic</w:t>
      </w:r>
      <w:r>
        <w:rPr>
          <w:lang w:eastAsia="zh-CN"/>
        </w:rPr>
        <w:t>检测路线强调以</w:t>
      </w:r>
      <w:r>
        <w:rPr>
          <w:lang w:eastAsia="zh-CN"/>
        </w:rPr>
        <w:t>EUV</w:t>
      </w:r>
      <w:r>
        <w:rPr>
          <w:lang w:eastAsia="zh-CN"/>
        </w:rPr>
        <w:t>波段直接关联</w:t>
      </w:r>
      <w:r>
        <w:rPr>
          <w:lang w:eastAsia="zh-CN"/>
        </w:rPr>
        <w:t>“</w:t>
      </w:r>
      <w:r>
        <w:rPr>
          <w:lang w:eastAsia="zh-CN"/>
        </w:rPr>
        <w:t>缺陷</w:t>
      </w:r>
      <w:r>
        <w:rPr>
          <w:lang w:eastAsia="zh-CN"/>
        </w:rPr>
        <w:t>—</w:t>
      </w:r>
      <w:r>
        <w:rPr>
          <w:lang w:eastAsia="zh-CN"/>
        </w:rPr>
        <w:t>可印性</w:t>
      </w:r>
      <w:r>
        <w:rPr>
          <w:lang w:eastAsia="zh-CN"/>
        </w:rPr>
        <w:t>”[5]</w:t>
      </w:r>
      <w:r>
        <w:rPr>
          <w:lang w:eastAsia="zh-CN"/>
        </w:rPr>
        <w:t>，与掩模技术生态综述中的</w:t>
      </w:r>
      <w:r>
        <w:rPr>
          <w:lang w:eastAsia="zh-CN"/>
        </w:rPr>
        <w:t>“</w:t>
      </w:r>
      <w:r>
        <w:rPr>
          <w:lang w:eastAsia="zh-CN"/>
        </w:rPr>
        <w:t>检测</w:t>
      </w:r>
      <w:r>
        <w:rPr>
          <w:lang w:eastAsia="zh-CN"/>
        </w:rPr>
        <w:t>—</w:t>
      </w:r>
      <w:r>
        <w:rPr>
          <w:lang w:eastAsia="zh-CN"/>
        </w:rPr>
        <w:t>修复</w:t>
      </w:r>
      <w:r>
        <w:rPr>
          <w:lang w:eastAsia="zh-CN"/>
        </w:rPr>
        <w:t>—</w:t>
      </w:r>
      <w:r>
        <w:rPr>
          <w:lang w:eastAsia="zh-CN"/>
        </w:rPr>
        <w:t>补偿</w:t>
      </w:r>
      <w:r>
        <w:rPr>
          <w:lang w:eastAsia="zh-CN"/>
        </w:rPr>
        <w:t>”</w:t>
      </w:r>
      <w:r>
        <w:rPr>
          <w:lang w:eastAsia="zh-CN"/>
        </w:rPr>
        <w:t>闭环思路相呼应</w:t>
      </w:r>
      <w:r>
        <w:rPr>
          <w:lang w:eastAsia="zh-CN"/>
        </w:rPr>
        <w:t>[6]</w:t>
      </w:r>
      <w:r>
        <w:rPr>
          <w:lang w:eastAsia="zh-CN"/>
        </w:rPr>
        <w:t>。与此同时，相干衍射成像等算法重建方法有望提供更高分辨与更强相位敏感度，为未来掩模</w:t>
      </w:r>
      <w:r>
        <w:rPr>
          <w:lang w:eastAsia="zh-CN"/>
        </w:rPr>
        <w:t>/</w:t>
      </w:r>
      <w:r>
        <w:rPr>
          <w:lang w:eastAsia="zh-CN"/>
        </w:rPr>
        <w:t>晶圆量测补充新的技术抓手</w:t>
      </w:r>
      <w:r>
        <w:rPr>
          <w:lang w:eastAsia="zh-CN"/>
        </w:rPr>
        <w:t>[12]</w:t>
      </w:r>
      <w:r>
        <w:rPr>
          <w:lang w:eastAsia="zh-CN"/>
        </w:rPr>
        <w:t>。</w:t>
      </w:r>
    </w:p>
    <w:p w14:paraId="4B950001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t xml:space="preserve">4.3 </w:t>
      </w:r>
      <w:r>
        <w:rPr>
          <w:b/>
          <w:lang w:eastAsia="zh-CN"/>
        </w:rPr>
        <w:t>新方向：超高分辨演示与无光刻胶图形化探索</w:t>
      </w:r>
    </w:p>
    <w:p w14:paraId="2E2E1110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除工程化高</w:t>
      </w:r>
      <w:r>
        <w:rPr>
          <w:lang w:eastAsia="zh-CN"/>
        </w:rPr>
        <w:t>NA</w:t>
      </w:r>
      <w:r>
        <w:rPr>
          <w:lang w:eastAsia="zh-CN"/>
        </w:rPr>
        <w:t>路线外，研究界也在探索突破极限的成像与图形化方案。例如，</w:t>
      </w:r>
      <w:r>
        <w:rPr>
          <w:lang w:eastAsia="zh-CN"/>
        </w:rPr>
        <w:t>Giannopoulos</w:t>
      </w:r>
      <w:r>
        <w:rPr>
          <w:lang w:eastAsia="zh-CN"/>
        </w:rPr>
        <w:t>等在</w:t>
      </w:r>
      <w:r>
        <w:rPr>
          <w:lang w:eastAsia="zh-CN"/>
        </w:rPr>
        <w:t>Nanoscale 2024</w:t>
      </w:r>
      <w:r>
        <w:rPr>
          <w:lang w:eastAsia="zh-CN"/>
        </w:rPr>
        <w:t>报道了</w:t>
      </w:r>
      <w:r>
        <w:rPr>
          <w:lang w:eastAsia="zh-CN"/>
        </w:rPr>
        <w:t>EUV</w:t>
      </w:r>
      <w:r>
        <w:rPr>
          <w:lang w:eastAsia="zh-CN"/>
        </w:rPr>
        <w:t>干涉光刻实现约</w:t>
      </w:r>
      <w:r>
        <w:rPr>
          <w:lang w:eastAsia="zh-CN"/>
        </w:rPr>
        <w:t>5 nm</w:t>
      </w:r>
      <w:r>
        <w:rPr>
          <w:lang w:eastAsia="zh-CN"/>
        </w:rPr>
        <w:t>分辨率的结果，展示了</w:t>
      </w:r>
      <w:r>
        <w:rPr>
          <w:lang w:eastAsia="zh-CN"/>
        </w:rPr>
        <w:t>EUV</w:t>
      </w:r>
      <w:r>
        <w:rPr>
          <w:lang w:eastAsia="zh-CN"/>
        </w:rPr>
        <w:t>在基础分辨率上的潜力</w:t>
      </w:r>
      <w:r>
        <w:rPr>
          <w:lang w:eastAsia="zh-CN"/>
        </w:rPr>
        <w:t>[14]</w:t>
      </w:r>
      <w:r>
        <w:rPr>
          <w:lang w:eastAsia="zh-CN"/>
        </w:rPr>
        <w:t>。此外，</w:t>
      </w:r>
      <w:r>
        <w:rPr>
          <w:lang w:eastAsia="zh-CN"/>
        </w:rPr>
        <w:t>Tseng</w:t>
      </w:r>
      <w:r>
        <w:rPr>
          <w:lang w:eastAsia="zh-CN"/>
        </w:rPr>
        <w:t>等在</w:t>
      </w:r>
      <w:r>
        <w:rPr>
          <w:lang w:eastAsia="zh-CN"/>
        </w:rPr>
        <w:t>Science Advances 2023</w:t>
      </w:r>
      <w:r>
        <w:rPr>
          <w:lang w:eastAsia="zh-CN"/>
        </w:rPr>
        <w:t>提出</w:t>
      </w:r>
      <w:r>
        <w:rPr>
          <w:lang w:eastAsia="zh-CN"/>
        </w:rPr>
        <w:t>“</w:t>
      </w:r>
      <w:r>
        <w:rPr>
          <w:lang w:eastAsia="zh-CN"/>
        </w:rPr>
        <w:t>无光刻胶</w:t>
      </w:r>
      <w:r>
        <w:rPr>
          <w:lang w:eastAsia="zh-CN"/>
        </w:rPr>
        <w:t>EUV</w:t>
      </w:r>
      <w:r>
        <w:rPr>
          <w:lang w:eastAsia="zh-CN"/>
        </w:rPr>
        <w:t>光刻</w:t>
      </w:r>
      <w:r>
        <w:rPr>
          <w:lang w:eastAsia="zh-CN"/>
        </w:rPr>
        <w:t>”</w:t>
      </w:r>
      <w:r>
        <w:rPr>
          <w:lang w:eastAsia="zh-CN"/>
        </w:rPr>
        <w:t>概念，通过光子诱导氧化在硅表面直接形成图形，为新型材料</w:t>
      </w:r>
      <w:r>
        <w:rPr>
          <w:lang w:eastAsia="zh-CN"/>
        </w:rPr>
        <w:t>/</w:t>
      </w:r>
      <w:r>
        <w:rPr>
          <w:lang w:eastAsia="zh-CN"/>
        </w:rPr>
        <w:t>界面反应提供了思路</w:t>
      </w:r>
      <w:r>
        <w:rPr>
          <w:lang w:eastAsia="zh-CN"/>
        </w:rPr>
        <w:t>[15]</w:t>
      </w:r>
      <w:r>
        <w:rPr>
          <w:lang w:eastAsia="zh-CN"/>
        </w:rPr>
        <w:t>。这些工作虽距离量产仍有较长距离，但为理解</w:t>
      </w:r>
      <w:r>
        <w:rPr>
          <w:lang w:eastAsia="zh-CN"/>
        </w:rPr>
        <w:t>EUV</w:t>
      </w:r>
      <w:r>
        <w:rPr>
          <w:lang w:eastAsia="zh-CN"/>
        </w:rPr>
        <w:t>成像极限、能量沉积与表面反应提供了重要参考。</w:t>
      </w:r>
    </w:p>
    <w:p w14:paraId="38515F77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lang w:eastAsia="zh-CN"/>
        </w:rPr>
        <w:lastRenderedPageBreak/>
        <w:t xml:space="preserve">4.4 </w:t>
      </w:r>
      <w:r>
        <w:rPr>
          <w:b/>
          <w:lang w:eastAsia="zh-CN"/>
        </w:rPr>
        <w:t>未来展望</w:t>
      </w:r>
    </w:p>
    <w:p w14:paraId="24C82B1A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未来几年</w:t>
      </w:r>
      <w:r>
        <w:rPr>
          <w:lang w:eastAsia="zh-CN"/>
        </w:rPr>
        <w:t>EUV</w:t>
      </w:r>
      <w:r>
        <w:rPr>
          <w:lang w:eastAsia="zh-CN"/>
        </w:rPr>
        <w:t>技术的关键矛盾将集中在三方面：（</w:t>
      </w:r>
      <w:r>
        <w:rPr>
          <w:lang w:eastAsia="zh-CN"/>
        </w:rPr>
        <w:t>1</w:t>
      </w:r>
      <w:r>
        <w:rPr>
          <w:lang w:eastAsia="zh-CN"/>
        </w:rPr>
        <w:t>）在吞吐量约束下抑制随机缺陷并维持良率；（</w:t>
      </w:r>
      <w:r>
        <w:rPr>
          <w:lang w:eastAsia="zh-CN"/>
        </w:rPr>
        <w:t>2</w:t>
      </w:r>
      <w:r>
        <w:rPr>
          <w:lang w:eastAsia="zh-CN"/>
        </w:rPr>
        <w:t>）完善高</w:t>
      </w:r>
      <w:r>
        <w:rPr>
          <w:lang w:eastAsia="zh-CN"/>
        </w:rPr>
        <w:t>NA</w:t>
      </w:r>
      <w:r>
        <w:rPr>
          <w:lang w:eastAsia="zh-CN"/>
        </w:rPr>
        <w:t>掩模与量测基础设施，实现缺陷可控与补偿闭环；（</w:t>
      </w:r>
      <w:r>
        <w:rPr>
          <w:lang w:eastAsia="zh-CN"/>
        </w:rPr>
        <w:t>3</w:t>
      </w:r>
      <w:r>
        <w:rPr>
          <w:lang w:eastAsia="zh-CN"/>
        </w:rPr>
        <w:t>）提升光源与反射光学的长期稳定性，形成可预测的维护与标定体系</w:t>
      </w:r>
      <w:r>
        <w:rPr>
          <w:lang w:eastAsia="zh-CN"/>
        </w:rPr>
        <w:t>[4,11,13]</w:t>
      </w:r>
      <w:r>
        <w:rPr>
          <w:lang w:eastAsia="zh-CN"/>
        </w:rPr>
        <w:t>。围绕这些目标，跨学科协同将成为推动</w:t>
      </w:r>
      <w:r>
        <w:rPr>
          <w:lang w:eastAsia="zh-CN"/>
        </w:rPr>
        <w:t>EUV</w:t>
      </w:r>
      <w:r>
        <w:rPr>
          <w:lang w:eastAsia="zh-CN"/>
        </w:rPr>
        <w:t>持续演进的核心动力。</w:t>
      </w:r>
    </w:p>
    <w:p w14:paraId="2E2A5A3D" w14:textId="77777777" w:rsidR="00DF0FEE" w:rsidRDefault="00000000">
      <w:pPr>
        <w:spacing w:after="0" w:line="360" w:lineRule="auto"/>
        <w:rPr>
          <w:lang w:eastAsia="zh-CN"/>
        </w:rPr>
      </w:pPr>
      <w:r>
        <w:rPr>
          <w:b/>
          <w:sz w:val="28"/>
          <w:lang w:eastAsia="zh-CN"/>
        </w:rPr>
        <w:t xml:space="preserve">5 </w:t>
      </w:r>
      <w:r>
        <w:rPr>
          <w:b/>
          <w:sz w:val="28"/>
          <w:lang w:eastAsia="zh-CN"/>
        </w:rPr>
        <w:t>结论</w:t>
      </w:r>
    </w:p>
    <w:p w14:paraId="29D4AF2D" w14:textId="77777777" w:rsidR="00DF0FEE" w:rsidRDefault="00000000" w:rsidP="003804E1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EUV</w:t>
      </w:r>
      <w:r>
        <w:rPr>
          <w:lang w:eastAsia="zh-CN"/>
        </w:rPr>
        <w:t>光刻已成为先进节点量产的核心技术，但其进一步微缩正转变为全生态系统工程：高</w:t>
      </w:r>
      <w:r>
        <w:rPr>
          <w:lang w:eastAsia="zh-CN"/>
        </w:rPr>
        <w:t>NA</w:t>
      </w:r>
      <w:r>
        <w:rPr>
          <w:lang w:eastAsia="zh-CN"/>
        </w:rPr>
        <w:t>提升分辨率的同时压缩景深并放大掩模三维效应；</w:t>
      </w:r>
      <w:r>
        <w:rPr>
          <w:lang w:eastAsia="zh-CN"/>
        </w:rPr>
        <w:t>MOR</w:t>
      </w:r>
      <w:r>
        <w:rPr>
          <w:lang w:eastAsia="zh-CN"/>
        </w:rPr>
        <w:t>与先进工艺为缓解</w:t>
      </w:r>
      <w:r>
        <w:rPr>
          <w:lang w:eastAsia="zh-CN"/>
        </w:rPr>
        <w:t>RLS</w:t>
      </w:r>
      <w:r>
        <w:rPr>
          <w:lang w:eastAsia="zh-CN"/>
        </w:rPr>
        <w:t>矛盾提供新路径；随机缺陷成为良率限制因素，需要材料统计、光学统计与过程控制协同抑制；污染清洗、剂量标定与</w:t>
      </w:r>
      <w:r>
        <w:rPr>
          <w:lang w:eastAsia="zh-CN"/>
        </w:rPr>
        <w:t>actinic</w:t>
      </w:r>
      <w:r>
        <w:rPr>
          <w:lang w:eastAsia="zh-CN"/>
        </w:rPr>
        <w:t>量测等支撑技术决定系统长期稳定与可重复性。未来应构建</w:t>
      </w:r>
      <w:r>
        <w:rPr>
          <w:lang w:eastAsia="zh-CN"/>
        </w:rPr>
        <w:t>“</w:t>
      </w:r>
      <w:r>
        <w:rPr>
          <w:lang w:eastAsia="zh-CN"/>
        </w:rPr>
        <w:t>计算光刻</w:t>
      </w:r>
      <w:r>
        <w:rPr>
          <w:lang w:eastAsia="zh-CN"/>
        </w:rPr>
        <w:t>—</w:t>
      </w:r>
      <w:r>
        <w:rPr>
          <w:lang w:eastAsia="zh-CN"/>
        </w:rPr>
        <w:t>材料</w:t>
      </w:r>
      <w:r>
        <w:rPr>
          <w:lang w:eastAsia="zh-CN"/>
        </w:rPr>
        <w:t>—</w:t>
      </w:r>
      <w:r>
        <w:rPr>
          <w:lang w:eastAsia="zh-CN"/>
        </w:rPr>
        <w:t>过程</w:t>
      </w:r>
      <w:r>
        <w:rPr>
          <w:lang w:eastAsia="zh-CN"/>
        </w:rPr>
        <w:t>—</w:t>
      </w:r>
      <w:r>
        <w:rPr>
          <w:lang w:eastAsia="zh-CN"/>
        </w:rPr>
        <w:t>量测</w:t>
      </w:r>
      <w:r>
        <w:rPr>
          <w:lang w:eastAsia="zh-CN"/>
        </w:rPr>
        <w:t>”</w:t>
      </w:r>
      <w:r>
        <w:rPr>
          <w:lang w:eastAsia="zh-CN"/>
        </w:rPr>
        <w:t>闭环优化方法，以支撑高</w:t>
      </w:r>
      <w:r>
        <w:rPr>
          <w:lang w:eastAsia="zh-CN"/>
        </w:rPr>
        <w:t>NA</w:t>
      </w:r>
      <w:r>
        <w:rPr>
          <w:lang w:eastAsia="zh-CN"/>
        </w:rPr>
        <w:t>生态成熟。</w:t>
      </w:r>
    </w:p>
    <w:p w14:paraId="5F512318" w14:textId="77777777" w:rsidR="00DF0FEE" w:rsidRDefault="00000000">
      <w:pPr>
        <w:spacing w:after="0" w:line="360" w:lineRule="auto"/>
      </w:pPr>
      <w:proofErr w:type="spellStart"/>
      <w:r>
        <w:rPr>
          <w:b/>
          <w:sz w:val="28"/>
        </w:rPr>
        <w:t>参考文献</w:t>
      </w:r>
      <w:proofErr w:type="spellEnd"/>
    </w:p>
    <w:p w14:paraId="46BC3014" w14:textId="77777777" w:rsidR="00DF0FEE" w:rsidRDefault="00000000">
      <w:pPr>
        <w:spacing w:after="0" w:line="216" w:lineRule="auto"/>
      </w:pPr>
      <w:r>
        <w:rPr>
          <w:sz w:val="20"/>
        </w:rPr>
        <w:t>[1] Kazazis D, Garcia Santaclara J, van Schoot J, et al. Extreme ultraviolet lithography. Nat Rev Methods Primers, 2024, 4: 84.</w:t>
      </w:r>
    </w:p>
    <w:p w14:paraId="3C8D395F" w14:textId="77777777" w:rsidR="00DF0FEE" w:rsidRDefault="00000000">
      <w:pPr>
        <w:spacing w:after="0" w:line="216" w:lineRule="auto"/>
      </w:pPr>
      <w:r>
        <w:rPr>
          <w:sz w:val="20"/>
        </w:rPr>
        <w:t>[2] Wang X, Tao P, Wang Q, et al. Trends in photoresist materials for extreme ultraviolet lithography. Materials Today, 2023, 67: 299-319.</w:t>
      </w:r>
    </w:p>
    <w:p w14:paraId="10DEBDA4" w14:textId="77777777" w:rsidR="00DF0FEE" w:rsidRDefault="00000000">
      <w:pPr>
        <w:spacing w:after="0" w:line="216" w:lineRule="auto"/>
      </w:pPr>
      <w:r>
        <w:rPr>
          <w:sz w:val="20"/>
        </w:rPr>
        <w:t>[3] Hasan M W, Deeb L, Kumaniaev S, et al. Metal-oxide-based photoresists for EUV lithography. Micromachines, 2024, 15(9): 1122.</w:t>
      </w:r>
    </w:p>
    <w:p w14:paraId="4C1E0509" w14:textId="77777777" w:rsidR="00DF0FEE" w:rsidRDefault="00000000">
      <w:pPr>
        <w:spacing w:after="0" w:line="216" w:lineRule="auto"/>
      </w:pPr>
      <w:r>
        <w:rPr>
          <w:sz w:val="20"/>
        </w:rPr>
        <w:t>[4] Phillips M. Exposure tool and ecosystem status for 0.55NA EUV lithography. Proc. SPIE, 2024, 13216: 1321602.</w:t>
      </w:r>
    </w:p>
    <w:p w14:paraId="36B3F68C" w14:textId="77777777" w:rsidR="00DF0FEE" w:rsidRDefault="00000000">
      <w:pPr>
        <w:spacing w:after="0" w:line="216" w:lineRule="auto"/>
      </w:pPr>
      <w:r>
        <w:rPr>
          <w:sz w:val="20"/>
        </w:rPr>
        <w:t>[5] Todoroki T, Hanamoto T, Kamochi T, et al. Actinic patterned mask die-to-database inspection for high-NA EUV. Proc. SPIE, 2024, 13216: 132160M.</w:t>
      </w:r>
    </w:p>
    <w:p w14:paraId="31062F41" w14:textId="77777777" w:rsidR="00DF0FEE" w:rsidRDefault="00000000">
      <w:pPr>
        <w:spacing w:after="0" w:line="216" w:lineRule="auto"/>
      </w:pPr>
      <w:r>
        <w:rPr>
          <w:sz w:val="20"/>
        </w:rPr>
        <w:t>[6] Choi J. EUV mask technologies: evolution and ecosystem for devices. Proc. SPIE, 2024, 13216: 1321603.</w:t>
      </w:r>
    </w:p>
    <w:p w14:paraId="554F94A6" w14:textId="77777777" w:rsidR="00DF0FEE" w:rsidRDefault="00000000">
      <w:pPr>
        <w:spacing w:after="0" w:line="216" w:lineRule="auto"/>
      </w:pPr>
      <w:r>
        <w:rPr>
          <w:sz w:val="20"/>
        </w:rPr>
        <w:t>[7] Dinh C Q, Nagahara S, Cho K, et al. Advanced processes in metal-oxide resists for high-NA EUV. Proc. SPIE, 2024, 12957: 1295705.</w:t>
      </w:r>
    </w:p>
    <w:p w14:paraId="69067B72" w14:textId="77777777" w:rsidR="00DF0FEE" w:rsidRDefault="00000000">
      <w:pPr>
        <w:spacing w:after="0" w:line="216" w:lineRule="auto"/>
      </w:pPr>
      <w:r>
        <w:rPr>
          <w:sz w:val="20"/>
        </w:rPr>
        <w:t>[8] Li J, Li H. Impact of chemical stochastics in EUV photoresists on pattern quality. AIP Advances, 2025, 15(3): 035236.</w:t>
      </w:r>
    </w:p>
    <w:p w14:paraId="38BAA7C5" w14:textId="77777777" w:rsidR="00DF0FEE" w:rsidRDefault="00000000">
      <w:pPr>
        <w:spacing w:after="0" w:line="216" w:lineRule="auto"/>
      </w:pPr>
      <w:r>
        <w:rPr>
          <w:sz w:val="20"/>
        </w:rPr>
        <w:t>[9] Park D H, Seo H, Shin S, et al. Stochastic effects in photon shot noise and chemical fluctuation to EUV LWR. Sci Rep, 2025, 15: 43476.</w:t>
      </w:r>
    </w:p>
    <w:p w14:paraId="6BC304DC" w14:textId="77777777" w:rsidR="00DF0FEE" w:rsidRDefault="00000000">
      <w:pPr>
        <w:spacing w:after="0" w:line="216" w:lineRule="auto"/>
        <w:rPr>
          <w:lang w:eastAsia="zh-CN"/>
        </w:rPr>
      </w:pPr>
      <w:r>
        <w:rPr>
          <w:sz w:val="20"/>
        </w:rPr>
        <w:t xml:space="preserve">[10] Israeli S, Smiet C B, Diallo M S, et al. EUV debris mitigation using magnetic nulls to improve collector lifetime. </w:t>
      </w:r>
      <w:r>
        <w:rPr>
          <w:sz w:val="20"/>
          <w:lang w:eastAsia="zh-CN"/>
        </w:rPr>
        <w:t>Appl Phys Lett, 2023, 123(4): 043507.</w:t>
      </w:r>
    </w:p>
    <w:p w14:paraId="339E5306" w14:textId="77777777" w:rsidR="00DF0FEE" w:rsidRDefault="00000000">
      <w:pPr>
        <w:spacing w:after="0" w:line="216" w:lineRule="auto"/>
        <w:rPr>
          <w:lang w:eastAsia="zh-CN"/>
        </w:rPr>
      </w:pPr>
      <w:r>
        <w:rPr>
          <w:sz w:val="20"/>
          <w:lang w:eastAsia="zh-CN"/>
        </w:rPr>
        <w:t xml:space="preserve">[11] </w:t>
      </w:r>
      <w:r>
        <w:rPr>
          <w:sz w:val="20"/>
          <w:lang w:eastAsia="zh-CN"/>
        </w:rPr>
        <w:t>黄凯</w:t>
      </w:r>
      <w:r>
        <w:rPr>
          <w:sz w:val="20"/>
          <w:lang w:eastAsia="zh-CN"/>
        </w:rPr>
        <w:t xml:space="preserve">, </w:t>
      </w:r>
      <w:r>
        <w:rPr>
          <w:sz w:val="20"/>
          <w:lang w:eastAsia="zh-CN"/>
        </w:rPr>
        <w:t>曾婷婷</w:t>
      </w:r>
      <w:r>
        <w:rPr>
          <w:sz w:val="20"/>
          <w:lang w:eastAsia="zh-CN"/>
        </w:rPr>
        <w:t xml:space="preserve">, </w:t>
      </w:r>
      <w:r>
        <w:rPr>
          <w:sz w:val="20"/>
          <w:lang w:eastAsia="zh-CN"/>
        </w:rPr>
        <w:t>邵建达</w:t>
      </w:r>
      <w:r>
        <w:rPr>
          <w:sz w:val="20"/>
          <w:lang w:eastAsia="zh-CN"/>
        </w:rPr>
        <w:t xml:space="preserve">, </w:t>
      </w:r>
      <w:r>
        <w:rPr>
          <w:sz w:val="20"/>
          <w:lang w:eastAsia="zh-CN"/>
        </w:rPr>
        <w:t>朱美萍</w:t>
      </w:r>
      <w:r>
        <w:rPr>
          <w:sz w:val="20"/>
          <w:lang w:eastAsia="zh-CN"/>
        </w:rPr>
        <w:t xml:space="preserve">. </w:t>
      </w:r>
      <w:r>
        <w:rPr>
          <w:sz w:val="20"/>
          <w:lang w:eastAsia="zh-CN"/>
        </w:rPr>
        <w:t>极紫外多层膜表面污染与清洗技术研究进展</w:t>
      </w:r>
      <w:r>
        <w:rPr>
          <w:sz w:val="20"/>
          <w:lang w:eastAsia="zh-CN"/>
        </w:rPr>
        <w:t xml:space="preserve">. </w:t>
      </w:r>
      <w:r>
        <w:rPr>
          <w:sz w:val="20"/>
          <w:lang w:eastAsia="zh-CN"/>
        </w:rPr>
        <w:t>激光与光电子学进展</w:t>
      </w:r>
      <w:r>
        <w:rPr>
          <w:sz w:val="20"/>
          <w:lang w:eastAsia="zh-CN"/>
        </w:rPr>
        <w:t>, 2025, 62(1): 0100001.</w:t>
      </w:r>
    </w:p>
    <w:p w14:paraId="5BE3E49F" w14:textId="77777777" w:rsidR="00DF0FEE" w:rsidRDefault="00000000">
      <w:pPr>
        <w:spacing w:after="0" w:line="216" w:lineRule="auto"/>
        <w:rPr>
          <w:lang w:eastAsia="zh-CN"/>
        </w:rPr>
      </w:pPr>
      <w:r>
        <w:rPr>
          <w:sz w:val="20"/>
          <w:lang w:eastAsia="zh-CN"/>
        </w:rPr>
        <w:t xml:space="preserve">[12] </w:t>
      </w:r>
      <w:r>
        <w:rPr>
          <w:sz w:val="20"/>
          <w:lang w:eastAsia="zh-CN"/>
        </w:rPr>
        <w:t>李奥</w:t>
      </w:r>
      <w:r>
        <w:rPr>
          <w:sz w:val="20"/>
          <w:lang w:eastAsia="zh-CN"/>
        </w:rPr>
        <w:t xml:space="preserve">, </w:t>
      </w:r>
      <w:r>
        <w:rPr>
          <w:sz w:val="20"/>
          <w:lang w:eastAsia="zh-CN"/>
        </w:rPr>
        <w:t>邱克强</w:t>
      </w:r>
      <w:r>
        <w:rPr>
          <w:sz w:val="20"/>
          <w:lang w:eastAsia="zh-CN"/>
        </w:rPr>
        <w:t xml:space="preserve">, </w:t>
      </w:r>
      <w:r>
        <w:rPr>
          <w:sz w:val="20"/>
          <w:lang w:eastAsia="zh-CN"/>
        </w:rPr>
        <w:t>李鹏</w:t>
      </w:r>
      <w:r>
        <w:rPr>
          <w:sz w:val="20"/>
          <w:lang w:eastAsia="zh-CN"/>
        </w:rPr>
        <w:t xml:space="preserve">, </w:t>
      </w:r>
      <w:r>
        <w:rPr>
          <w:sz w:val="20"/>
          <w:lang w:eastAsia="zh-CN"/>
        </w:rPr>
        <w:t>刘啸嵩</w:t>
      </w:r>
      <w:r>
        <w:rPr>
          <w:sz w:val="20"/>
          <w:lang w:eastAsia="zh-CN"/>
        </w:rPr>
        <w:t xml:space="preserve">. </w:t>
      </w:r>
      <w:r>
        <w:rPr>
          <w:sz w:val="20"/>
          <w:lang w:eastAsia="zh-CN"/>
        </w:rPr>
        <w:t>同步辐射相干衍射成像技术在半导体量测中的应用</w:t>
      </w:r>
      <w:r>
        <w:rPr>
          <w:sz w:val="20"/>
          <w:lang w:eastAsia="zh-CN"/>
        </w:rPr>
        <w:t xml:space="preserve">. </w:t>
      </w:r>
      <w:r>
        <w:rPr>
          <w:sz w:val="20"/>
          <w:lang w:eastAsia="zh-CN"/>
        </w:rPr>
        <w:t>激光与光电子学进展</w:t>
      </w:r>
      <w:r>
        <w:rPr>
          <w:sz w:val="20"/>
          <w:lang w:eastAsia="zh-CN"/>
        </w:rPr>
        <w:t>, 2025, 62(24): 2434001.</w:t>
      </w:r>
    </w:p>
    <w:p w14:paraId="50C680A0" w14:textId="77777777" w:rsidR="00DF0FEE" w:rsidRDefault="00000000">
      <w:pPr>
        <w:spacing w:after="0" w:line="216" w:lineRule="auto"/>
        <w:rPr>
          <w:lang w:eastAsia="zh-CN"/>
        </w:rPr>
      </w:pPr>
      <w:r>
        <w:rPr>
          <w:sz w:val="20"/>
          <w:lang w:eastAsia="zh-CN"/>
        </w:rPr>
        <w:t xml:space="preserve">[13] </w:t>
      </w:r>
      <w:r>
        <w:rPr>
          <w:sz w:val="20"/>
          <w:lang w:eastAsia="zh-CN"/>
        </w:rPr>
        <w:t>李守一</w:t>
      </w:r>
      <w:r>
        <w:rPr>
          <w:sz w:val="20"/>
          <w:lang w:eastAsia="zh-CN"/>
        </w:rPr>
        <w:t xml:space="preserve">, </w:t>
      </w:r>
      <w:r>
        <w:rPr>
          <w:sz w:val="20"/>
          <w:lang w:eastAsia="zh-CN"/>
        </w:rPr>
        <w:t>南宁</w:t>
      </w:r>
      <w:r>
        <w:rPr>
          <w:sz w:val="20"/>
          <w:lang w:eastAsia="zh-CN"/>
        </w:rPr>
        <w:t xml:space="preserve">, </w:t>
      </w:r>
      <w:r>
        <w:rPr>
          <w:sz w:val="20"/>
          <w:lang w:eastAsia="zh-CN"/>
        </w:rPr>
        <w:t>杨君茹</w:t>
      </w:r>
      <w:r>
        <w:rPr>
          <w:sz w:val="20"/>
          <w:lang w:eastAsia="zh-CN"/>
        </w:rPr>
        <w:t xml:space="preserve">, </w:t>
      </w:r>
      <w:r>
        <w:rPr>
          <w:sz w:val="20"/>
          <w:lang w:eastAsia="zh-CN"/>
        </w:rPr>
        <w:t>李志良</w:t>
      </w:r>
      <w:r>
        <w:rPr>
          <w:sz w:val="20"/>
          <w:lang w:eastAsia="zh-CN"/>
        </w:rPr>
        <w:t xml:space="preserve">. </w:t>
      </w:r>
      <w:r>
        <w:rPr>
          <w:sz w:val="20"/>
          <w:lang w:eastAsia="zh-CN"/>
        </w:rPr>
        <w:t>极紫外辐射探测系统及其标定技术研究</w:t>
      </w:r>
      <w:r>
        <w:rPr>
          <w:sz w:val="20"/>
          <w:lang w:eastAsia="zh-CN"/>
        </w:rPr>
        <w:t xml:space="preserve">. </w:t>
      </w:r>
      <w:r>
        <w:rPr>
          <w:sz w:val="20"/>
          <w:lang w:eastAsia="zh-CN"/>
        </w:rPr>
        <w:t>中国激光</w:t>
      </w:r>
      <w:r>
        <w:rPr>
          <w:sz w:val="20"/>
          <w:lang w:eastAsia="zh-CN"/>
        </w:rPr>
        <w:t>, 2025, 52(11): 1104006.</w:t>
      </w:r>
    </w:p>
    <w:p w14:paraId="6A41644C" w14:textId="77777777" w:rsidR="00DF0FEE" w:rsidRDefault="00000000">
      <w:pPr>
        <w:spacing w:after="0" w:line="216" w:lineRule="auto"/>
      </w:pPr>
      <w:r>
        <w:rPr>
          <w:sz w:val="20"/>
        </w:rPr>
        <w:t>[14] Giannopoulos I, Mochi I, Vockenhuber M, et al. Extreme ultraviolet lithography reaches 5 nm resolution. Nanoscale, 2024, 16: 15533-15543.</w:t>
      </w:r>
    </w:p>
    <w:p w14:paraId="69B1A035" w14:textId="77777777" w:rsidR="00DF0FEE" w:rsidRDefault="00000000">
      <w:pPr>
        <w:spacing w:after="0" w:line="216" w:lineRule="auto"/>
      </w:pPr>
      <w:r>
        <w:rPr>
          <w:sz w:val="20"/>
        </w:rPr>
        <w:t>[15] Tseng L-T, Karadan P, Kazazis D, et al. Resistless EUV lithography: photon-induced oxide patterning on silicon. Sci Adv, 2023, 9: eadf5997.</w:t>
      </w:r>
    </w:p>
    <w:sectPr w:rsidR="00DF0FEE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318426">
    <w:abstractNumId w:val="8"/>
  </w:num>
  <w:num w:numId="2" w16cid:durableId="804665950">
    <w:abstractNumId w:val="6"/>
  </w:num>
  <w:num w:numId="3" w16cid:durableId="42145407">
    <w:abstractNumId w:val="5"/>
  </w:num>
  <w:num w:numId="4" w16cid:durableId="849178898">
    <w:abstractNumId w:val="4"/>
  </w:num>
  <w:num w:numId="5" w16cid:durableId="1487356230">
    <w:abstractNumId w:val="7"/>
  </w:num>
  <w:num w:numId="6" w16cid:durableId="577790192">
    <w:abstractNumId w:val="3"/>
  </w:num>
  <w:num w:numId="7" w16cid:durableId="944776177">
    <w:abstractNumId w:val="2"/>
  </w:num>
  <w:num w:numId="8" w16cid:durableId="638609834">
    <w:abstractNumId w:val="1"/>
  </w:num>
  <w:num w:numId="9" w16cid:durableId="937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4E1"/>
    <w:rsid w:val="003C761F"/>
    <w:rsid w:val="0065548C"/>
    <w:rsid w:val="009A197F"/>
    <w:rsid w:val="00AA1D8D"/>
    <w:rsid w:val="00B47730"/>
    <w:rsid w:val="00CB0664"/>
    <w:rsid w:val="00DF0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28ABC"/>
  <w14:defaultImageDpi w14:val="300"/>
  <w15:docId w15:val="{567B8E9D-4085-4B81-8BED-27C56E01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心声 铃语</cp:lastModifiedBy>
  <cp:revision>4</cp:revision>
  <dcterms:created xsi:type="dcterms:W3CDTF">2013-12-23T23:15:00Z</dcterms:created>
  <dcterms:modified xsi:type="dcterms:W3CDTF">2025-12-31T14:39:00Z</dcterms:modified>
  <cp:category/>
</cp:coreProperties>
</file>