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media/image2.png" ContentType="image/png"/>
  <Override PartName="/word/media/image5.png" ContentType="image/png"/>
  <Override PartName="/word/media/image1.png" ContentType="image/png"/>
  <Override PartName="/word/media/image6.png" ContentType="image/png"/>
  <Override PartName="/word/media/image3.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4.png" ContentType="image/png"/>
  <Override PartName="/word/media/image13.png" ContentType="image/png"/>
  <Override PartName="/word/footer5.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83"/>
        <w:ind w:hanging="10" w:start="266" w:end="28"/>
        <w:jc w:val="center"/>
        <w:rPr>
          <w:b/>
          <w:sz w:val="32"/>
        </w:rPr>
      </w:pPr>
      <w:r>
        <w:rPr>
          <w:b/>
          <w:sz w:val="32"/>
        </w:rPr>
        <w:t xml:space="preserve">Relatório: Trabalho prático - Parte 1 e 2 </w:t>
      </w:r>
    </w:p>
    <w:p>
      <w:pPr>
        <w:pStyle w:val="Normal"/>
        <w:spacing w:lineRule="auto" w:line="259" w:before="0" w:after="83"/>
        <w:ind w:hanging="10" w:start="266" w:end="28"/>
        <w:jc w:val="center"/>
        <w:rPr/>
      </w:pPr>
      <w:r>
        <w:rPr>
          <w:b/>
          <w:sz w:val="32"/>
        </w:rPr>
        <w:t xml:space="preserve">Introdução a Bancos de Dados </w:t>
      </w:r>
    </w:p>
    <w:p>
      <w:pPr>
        <w:pStyle w:val="Normal"/>
        <w:spacing w:lineRule="auto" w:line="259" w:before="0" w:after="0"/>
        <w:ind w:hanging="10" w:start="123" w:end="0"/>
        <w:jc w:val="center"/>
        <w:rPr/>
      </w:pPr>
      <w:r>
        <w:rPr>
          <w:b/>
          <w:i/>
          <w:sz w:val="22"/>
        </w:rPr>
        <w:t xml:space="preserve">Gabriel Filipe Martins de Barros </w:t>
      </w:r>
    </w:p>
    <w:p>
      <w:pPr>
        <w:pStyle w:val="Normal"/>
        <w:spacing w:lineRule="auto" w:line="259" w:before="0" w:after="0"/>
        <w:ind w:hanging="10" w:start="123" w:end="5"/>
        <w:jc w:val="center"/>
        <w:rPr/>
      </w:pPr>
      <w:r>
        <w:rPr>
          <w:b/>
          <w:i/>
          <w:sz w:val="22"/>
        </w:rPr>
        <w:t xml:space="preserve">Lucas Augusto Diniz de Souza </w:t>
      </w:r>
    </w:p>
    <w:p>
      <w:pPr>
        <w:pStyle w:val="Normal"/>
        <w:spacing w:lineRule="auto" w:line="259" w:before="0" w:after="0"/>
        <w:ind w:hanging="10" w:start="123" w:end="4"/>
        <w:jc w:val="center"/>
        <w:rPr/>
      </w:pPr>
      <w:r>
        <w:rPr>
          <w:b/>
          <w:i/>
          <w:sz w:val="22"/>
        </w:rPr>
        <w:t xml:space="preserve">Vinícius Augusto Rodrigues Almeida </w:t>
      </w:r>
    </w:p>
    <w:p>
      <w:pPr>
        <w:pStyle w:val="Normal"/>
        <w:spacing w:lineRule="auto" w:line="259" w:before="0" w:after="158"/>
        <w:ind w:hanging="10" w:start="123" w:end="3"/>
        <w:jc w:val="center"/>
        <w:rPr/>
      </w:pPr>
      <w:r>
        <w:rPr>
          <w:b/>
          <w:i/>
          <w:sz w:val="22"/>
        </w:rPr>
        <w:t xml:space="preserve">Vitor Gabriel da Silva Pereira </w:t>
      </w:r>
    </w:p>
    <w:p>
      <w:pPr>
        <w:pStyle w:val="Normal"/>
        <w:spacing w:lineRule="auto" w:line="259" w:before="0" w:after="103"/>
        <w:ind w:hanging="0" w:start="364" w:end="207"/>
        <w:jc w:val="center"/>
        <w:rPr/>
      </w:pPr>
      <w:r>
        <w:rPr>
          <w:i/>
          <w:sz w:val="22"/>
        </w:rPr>
        <w:t xml:space="preserve">Departamento de Ciência da Computação – Universidade Federal de Minas Gerais (UFMG) Belo Horizonte – MG – Brasil </w:t>
      </w:r>
    </w:p>
    <w:p>
      <w:pPr>
        <w:pStyle w:val="Normal"/>
        <w:spacing w:lineRule="auto" w:line="259" w:before="0" w:after="48"/>
        <w:ind w:hanging="0" w:start="0" w:end="0"/>
        <w:jc w:val="start"/>
        <w:rPr/>
      </w:pPr>
      <w:r>
        <w:rPr>
          <w:i/>
          <w:sz w:val="22"/>
        </w:rPr>
        <w:t xml:space="preserve"> </w:t>
      </w:r>
    </w:p>
    <w:p>
      <w:pPr>
        <w:pStyle w:val="Heading1"/>
        <w:numPr>
          <w:ilvl w:val="0"/>
          <w:numId w:val="0"/>
        </w:numPr>
        <w:spacing w:before="0" w:after="119"/>
        <w:ind w:hanging="0" w:start="472"/>
        <w:rPr/>
      </w:pPr>
      <w:r>
        <w:rPr/>
        <w:t xml:space="preserve">1. Introdução </w:t>
      </w:r>
    </w:p>
    <w:p>
      <w:pPr>
        <w:pStyle w:val="Normal"/>
        <w:spacing w:lineRule="auto" w:line="360" w:before="0" w:afterAutospacing="0" w:after="0"/>
        <w:ind w:firstLine="708" w:start="105" w:end="0"/>
        <w:rPr/>
      </w:pPr>
      <w:r>
        <w:rPr/>
        <w:t xml:space="preserve">Este relatório tem como objetivo descrever e detalhar as etapas e os problemas para a obtenção e criação do banco de dados proposto para o trabalho. Nesse sentido, a ideia principal deste projeto é relacionar diversos tipos de informações dos participantes do Exame Nacional do Ensino Médio (ENEM) — como notas, tipo de ensino, renda, entre outras — com dados geográficos e econômicos (principalmente o Produto Interno Bruto (PIB a fim de compreender o quanto o desenvolvimento econômico impacta as notas do ENEM dos municípios e das regiões brasileiras. </w:t>
      </w:r>
    </w:p>
    <w:p>
      <w:pPr>
        <w:pStyle w:val="Normal"/>
        <w:spacing w:lineRule="auto" w:line="360" w:before="0" w:afterAutospacing="0" w:after="0"/>
        <w:ind w:firstLine="708" w:start="105" w:end="0"/>
        <w:rPr/>
      </w:pPr>
      <w:r>
        <w:rPr/>
        <w:t>Dessa forma, o relatório está estruturado em duas etapas: a documentação técnica do processo de ETL (Extração, Transformação e Carga) e modelagem dos dados, seguida pela análise exploratória dos resultados obtidos.</w:t>
      </w:r>
    </w:p>
    <w:p>
      <w:pPr>
        <w:pStyle w:val="Normal"/>
        <w:spacing w:lineRule="auto" w:line="259" w:before="0" w:after="28"/>
        <w:ind w:hanging="0" w:start="0" w:end="0"/>
        <w:jc w:val="start"/>
        <w:rPr/>
      </w:pPr>
      <w:r>
        <w:rPr/>
        <w:t xml:space="preserve"> </w:t>
      </w:r>
    </w:p>
    <w:p>
      <w:pPr>
        <w:pStyle w:val="Heading1"/>
        <w:numPr>
          <w:ilvl w:val="0"/>
          <w:numId w:val="0"/>
        </w:numPr>
        <w:ind w:hanging="360" w:start="832"/>
        <w:rPr/>
      </w:pPr>
      <w:r>
        <w:rPr/>
        <w:t xml:space="preserve">2. Coleta dos dados </w:t>
      </w:r>
    </w:p>
    <w:p>
      <w:pPr>
        <w:pStyle w:val="Normal"/>
        <w:spacing w:lineRule="auto" w:line="360"/>
        <w:ind w:firstLine="708" w:start="115" w:end="0"/>
        <w:rPr/>
      </w:pPr>
      <w:r>
        <w:rPr/>
        <w:t xml:space="preserve">  </w:t>
      </w:r>
      <w:r>
        <w:rPr/>
        <w:tab/>
        <w:t xml:space="preserve">As fontes utilizadas para a extração dos dados manuseados neste projeto foram o Instituto Nacional de Estudos e Pesquisas Educacionais Anísio Teixeira (INEP), para as informações relacionadas ao ENEM, e o Instituto Brasileiro de Geografia e Estatística (IBGE), de onde foram retirados os dados geográficos e do PIB. </w:t>
      </w:r>
    </w:p>
    <w:p>
      <w:pPr>
        <w:pStyle w:val="Normal"/>
        <w:spacing w:lineRule="auto" w:line="360"/>
        <w:ind w:firstLine="720" w:start="105" w:end="0"/>
        <w:rPr/>
      </w:pPr>
      <w:r>
        <w:rPr/>
        <w:t xml:space="preserve">Em relação ao processo de limpeza e carga dos dados, aqueles relativos ao ENEM vieram bem-organizados e em formato </w:t>
      </w:r>
      <w:r>
        <w:rPr>
          <w:i/>
          <w:iCs/>
        </w:rPr>
        <w:t>csv</w:t>
      </w:r>
      <w:r>
        <w:rPr/>
        <w:t xml:space="preserve">, o que facilitou bastante a importação. Outro facilitador foi o fornecimento do INEP de um arquivo que descreve bem o significado de cada coluna e de seus valores. </w:t>
      </w:r>
    </w:p>
    <w:p>
      <w:pPr>
        <w:pStyle w:val="Normal"/>
        <w:spacing w:lineRule="auto" w:line="360"/>
        <w:ind w:firstLine="720" w:start="105" w:end="0"/>
        <w:rPr/>
      </w:pPr>
      <w:r>
        <w:rPr/>
        <w:t xml:space="preserve">No entanto, os dados do PIB, acessados através do IBGE, foram bem trabalhosos. Diferentes dados estavam espalhados por todo o site sem um indicador claro do que se tratavam, o que fez com que o grupo baixasse e verificasse as tabelas uma de cada vez. Outrossim, o sistema fornece apenas os formatos </w:t>
      </w:r>
      <w:r>
        <w:rPr>
          <w:i/>
          <w:iCs/>
        </w:rPr>
        <w:t>txt</w:t>
      </w:r>
      <w:r>
        <w:rPr/>
        <w:t xml:space="preserve">, </w:t>
      </w:r>
      <w:r>
        <w:rPr>
          <w:i/>
          <w:iCs/>
        </w:rPr>
        <w:t xml:space="preserve">ods </w:t>
      </w:r>
      <w:r>
        <w:rPr/>
        <w:t xml:space="preserve">e </w:t>
      </w:r>
      <w:r>
        <w:rPr>
          <w:i/>
          <w:iCs/>
        </w:rPr>
        <w:t>xlsx</w:t>
      </w:r>
      <w:r>
        <w:rPr/>
        <w:t xml:space="preserve">, dificultando a manipulação (inclusive, foi necessário converter o </w:t>
      </w:r>
      <w:r>
        <w:rPr>
          <w:i/>
          <w:iCs/>
        </w:rPr>
        <w:t xml:space="preserve">ods </w:t>
      </w:r>
      <w:r>
        <w:rPr/>
        <w:t xml:space="preserve">para </w:t>
      </w:r>
      <w:r>
        <w:rPr>
          <w:i/>
          <w:iCs/>
        </w:rPr>
        <w:t>csv</w:t>
      </w:r>
      <w:r>
        <w:rPr/>
        <w:t xml:space="preserve">). Ainda assim, após a conversão, não havia uma maneira de compreender quais os tipos dos dados, quais valores eram aceitos, quais atributos podiam ser nulos e como estes eram representados, já que não foi concedido um documento descrevendo os dados ou qualquer outra forma de decifrá-los. Além disso, existiam duas formas de representar valores nulos no arquivo: a maioria das colunas tinha apenas o campo em branco, mas uma delas passou a usar " - ", exigindo ajuste manual para a realização da importação. </w:t>
      </w:r>
    </w:p>
    <w:p>
      <w:pPr>
        <w:pStyle w:val="Normal"/>
        <w:spacing w:lineRule="auto" w:line="360" w:before="0" w:afterAutospacing="0" w:after="0"/>
        <w:ind w:firstLine="720" w:start="105" w:end="0"/>
        <w:rPr/>
      </w:pPr>
      <w:r>
        <w:rPr/>
        <w:t xml:space="preserve">Ademais, os nomes das colunas não só eram excessivamente extensos — o que tornou necessária a alteração manual para realizar a importação e facilitar o entendimento — mas também possuíam acentuação, vírgulas e quebras de linha, o que dificultou ainda mais o processo. </w:t>
      </w:r>
    </w:p>
    <w:p>
      <w:pPr>
        <w:pStyle w:val="Normal"/>
        <w:spacing w:lineRule="auto" w:line="360" w:before="0" w:afterAutospacing="0" w:after="0"/>
        <w:ind w:firstLine="720" w:start="105" w:end="0"/>
        <w:rPr/>
      </w:pPr>
      <w:r>
        <w:rPr/>
        <w:t xml:space="preserve">Portanto, ao longo da realização deste trabalho, se tornaram perceptíveis diversos problemas relacionados à coleta de informações públicas, um direito garantido por lei aos brasileiros. Ainda nesse sentido, o IBGE, como a principal entidade federal de coleta e disponibilização de dados sociais, não deveria ser fonte de tantos obstáculos para o acesso à informação, algo que não se pode dizer do material fornecido pelo INEP. </w:t>
      </w:r>
    </w:p>
    <w:p>
      <w:pPr>
        <w:pStyle w:val="Normal"/>
        <w:spacing w:lineRule="auto" w:line="360" w:before="0" w:after="28"/>
        <w:ind w:hanging="0" w:start="0" w:end="0"/>
        <w:jc w:val="start"/>
        <w:rPr/>
      </w:pPr>
      <w:r>
        <w:rPr/>
        <w:t xml:space="preserve"> </w:t>
      </w:r>
    </w:p>
    <w:p>
      <w:pPr>
        <w:pStyle w:val="Heading1"/>
        <w:numPr>
          <w:ilvl w:val="0"/>
          <w:numId w:val="0"/>
        </w:numPr>
        <w:spacing w:lineRule="auto" w:line="360"/>
        <w:ind w:hanging="360" w:start="832"/>
        <w:rPr/>
      </w:pPr>
      <w:r>
        <w:rPr/>
        <w:t xml:space="preserve">3. Diagrama ER </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699" w:right="1138" w:gutter="0" w:header="720" w:top="1699" w:footer="720" w:bottom="1138"/>
          <w:pgNumType w:fmt="decimal"/>
          <w:formProt w:val="false"/>
          <w:textDirection w:val="lrTb"/>
          <w:docGrid w:type="default" w:linePitch="100" w:charSpace="0"/>
        </w:sectPr>
        <w:pStyle w:val="Normal"/>
        <w:spacing w:lineRule="auto" w:line="360" w:before="0" w:after="52"/>
        <w:ind w:firstLine="708" w:start="115" w:end="0"/>
        <w:rPr/>
      </w:pPr>
      <w:r>
        <w:rPr/>
        <w:t xml:space="preserve">           </w:t>
      </w:r>
      <w:r>
        <w:rPr/>
        <w:t xml:space="preserve">Abaixo encontra-se o esquema modelo relacionamento entidade para ambos os casos do ENEM e do PIB: </w:t>
      </w:r>
    </w:p>
    <w:p>
      <w:pPr>
        <w:sectPr>
          <w:headerReference w:type="even" r:id="rId9"/>
          <w:headerReference w:type="default" r:id="rId10"/>
          <w:headerReference w:type="first" r:id="rId11"/>
          <w:footerReference w:type="even" r:id="rId12"/>
          <w:footerReference w:type="default" r:id="rId13"/>
          <w:footerReference w:type="first" r:id="rId14"/>
          <w:type w:val="nextPage"/>
          <w:pgSz w:orient="landscape" w:w="16838" w:h="11906"/>
          <w:pgMar w:left="1440" w:right="1440" w:gutter="0" w:header="720" w:top="777" w:footer="720" w:bottom="777"/>
          <w:pgNumType w:fmt="decimal"/>
          <w:formProt w:val="false"/>
          <w:textDirection w:val="lrTb"/>
          <w:docGrid w:type="default" w:linePitch="100" w:charSpace="0"/>
        </w:sectPr>
        <w:pStyle w:val="Normal"/>
        <w:spacing w:lineRule="auto" w:line="259" w:before="0" w:after="0"/>
        <w:ind w:hanging="0" w:start="-1018" w:end="-1056"/>
        <w:jc w:val="start"/>
        <w:rPr/>
      </w:pPr>
      <w:r>
        <w:rPr/>
        <w:drawing>
          <wp:inline distT="0" distB="0" distL="0" distR="0">
            <wp:extent cx="8858250" cy="6083935"/>
            <wp:effectExtent l="0" t="0" r="0" b="0"/>
            <wp:docPr id="1" name="Picture 3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9904"/>
                    <pic:cNvPicPr>
                      <a:picLocks noChangeAspect="1" noChangeArrowheads="1"/>
                    </pic:cNvPicPr>
                  </pic:nvPicPr>
                  <pic:blipFill>
                    <a:blip r:embed="rId8"/>
                    <a:stretch>
                      <a:fillRect/>
                    </a:stretch>
                  </pic:blipFill>
                  <pic:spPr bwMode="auto">
                    <a:xfrm>
                      <a:off x="0" y="0"/>
                      <a:ext cx="8858250" cy="6083935"/>
                    </a:xfrm>
                    <a:prstGeom prst="rect">
                      <a:avLst/>
                    </a:prstGeom>
                    <a:noFill/>
                  </pic:spPr>
                </pic:pic>
              </a:graphicData>
            </a:graphic>
          </wp:inline>
        </w:drawing>
      </w:r>
    </w:p>
    <w:p>
      <w:pPr>
        <w:pStyle w:val="Heading1"/>
        <w:numPr>
          <w:ilvl w:val="0"/>
          <w:numId w:val="0"/>
        </w:numPr>
        <w:spacing w:before="0" w:after="78"/>
        <w:ind w:hanging="0" w:start="0"/>
        <w:rPr/>
      </w:pPr>
      <w:r>
        <w:rPr/>
        <w:t xml:space="preserve">          </w:t>
      </w:r>
      <w:r>
        <w:rPr/>
        <w:t xml:space="preserve">4. Dicionário de dados </w:t>
      </w:r>
    </w:p>
    <w:tbl>
      <w:tblPr>
        <w:tblStyle w:val="TableGrid"/>
        <w:tblW w:w="9510" w:type="dxa"/>
        <w:jc w:val="start"/>
        <w:tblInd w:w="-22" w:type="dxa"/>
        <w:tblLayout w:type="fixed"/>
        <w:tblCellMar>
          <w:top w:w="73" w:type="dxa"/>
          <w:start w:w="14" w:type="dxa"/>
          <w:bottom w:w="0" w:type="dxa"/>
          <w:end w:w="10" w:type="dxa"/>
        </w:tblCellMar>
        <w:tblLook w:val="04a0" w:noHBand="0" w:noVBand="1" w:firstColumn="1" w:lastRow="0" w:lastColumn="0" w:firstRow="1"/>
      </w:tblPr>
      <w:tblGrid>
        <w:gridCol w:w="1865"/>
        <w:gridCol w:w="2204"/>
        <w:gridCol w:w="1482"/>
        <w:gridCol w:w="530"/>
        <w:gridCol w:w="606"/>
        <w:gridCol w:w="1004"/>
        <w:gridCol w:w="1819"/>
      </w:tblGrid>
      <w:tr>
        <w:trPr>
          <w:trHeight w:val="300" w:hRule="atLeast"/>
        </w:trPr>
        <w:tc>
          <w:tcPr>
            <w:tcW w:w="1865" w:type="dxa"/>
            <w:tcBorders>
              <w:top w:val="double" w:sz="4"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b/>
                <w:kern w:val="0"/>
                <w:sz w:val="20"/>
                <w:szCs w:val="22"/>
                <w:lang w:val="pt-BR" w:eastAsia="pt-BR" w:bidi="ar-SA"/>
              </w:rPr>
              <w:t xml:space="preserve">Relacao </w:t>
            </w:r>
          </w:p>
        </w:tc>
        <w:tc>
          <w:tcPr>
            <w:tcW w:w="2204" w:type="dxa"/>
            <w:tcBorders>
              <w:top w:val="double" w:sz="4"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b/>
                <w:kern w:val="0"/>
                <w:sz w:val="20"/>
                <w:szCs w:val="22"/>
                <w:lang w:val="pt-BR" w:eastAsia="pt-BR" w:bidi="ar-SA"/>
              </w:rPr>
              <w:t xml:space="preserve">Atributo </w:t>
            </w:r>
          </w:p>
        </w:tc>
        <w:tc>
          <w:tcPr>
            <w:tcW w:w="1482"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b/>
                <w:kern w:val="0"/>
                <w:sz w:val="20"/>
                <w:szCs w:val="22"/>
                <w:lang w:val="pt-BR" w:eastAsia="pt-BR" w:bidi="ar-SA"/>
              </w:rPr>
              <w:t xml:space="preserve">Dominio </w:t>
            </w:r>
          </w:p>
        </w:tc>
        <w:tc>
          <w:tcPr>
            <w:tcW w:w="530"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rPr>
                <w:kern w:val="0"/>
                <w:szCs w:val="22"/>
                <w:lang w:val="pt-BR" w:eastAsia="pt-BR" w:bidi="ar-SA"/>
              </w:rPr>
            </w:pPr>
            <w:r>
              <w:rPr>
                <w:b/>
                <w:kern w:val="0"/>
                <w:sz w:val="20"/>
                <w:szCs w:val="22"/>
                <w:lang w:val="pt-BR" w:eastAsia="pt-BR" w:bidi="ar-SA"/>
              </w:rPr>
              <w:t xml:space="preserve">Nulo </w:t>
            </w:r>
          </w:p>
        </w:tc>
        <w:tc>
          <w:tcPr>
            <w:tcW w:w="606"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rPr>
                <w:kern w:val="0"/>
                <w:szCs w:val="22"/>
                <w:lang w:val="pt-BR" w:eastAsia="pt-BR" w:bidi="ar-SA"/>
              </w:rPr>
            </w:pPr>
            <w:r>
              <w:rPr>
                <w:b/>
                <w:kern w:val="0"/>
                <w:sz w:val="20"/>
                <w:szCs w:val="22"/>
                <w:lang w:val="pt-BR" w:eastAsia="pt-BR" w:bidi="ar-SA"/>
              </w:rPr>
              <w:t xml:space="preserve">Unico </w:t>
            </w:r>
          </w:p>
        </w:tc>
        <w:tc>
          <w:tcPr>
            <w:tcW w:w="1004"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b/>
                <w:kern w:val="0"/>
                <w:sz w:val="20"/>
                <w:szCs w:val="22"/>
                <w:lang w:val="pt-BR" w:eastAsia="pt-BR" w:bidi="ar-SA"/>
              </w:rPr>
              <w:t xml:space="preserve">Valores permitidos </w:t>
            </w:r>
          </w:p>
        </w:tc>
        <w:tc>
          <w:tcPr>
            <w:tcW w:w="1819" w:type="dxa"/>
            <w:tcBorders>
              <w:top w:val="double" w:sz="4" w:space="0" w:color="000000"/>
              <w:start w:val="double" w:sz="4" w:space="0" w:color="000000"/>
              <w:bottom w:val="single" w:sz="8" w:space="0" w:color="000000"/>
              <w:end w:val="single" w:sz="6" w:space="0" w:color="000000"/>
            </w:tcBorders>
          </w:tcPr>
          <w:p>
            <w:pPr>
              <w:pStyle w:val="Normal"/>
              <w:widowControl/>
              <w:spacing w:lineRule="auto" w:line="259" w:before="0" w:after="17"/>
              <w:ind w:hanging="0" w:start="4" w:end="0"/>
              <w:rPr>
                <w:kern w:val="0"/>
                <w:szCs w:val="22"/>
                <w:lang w:val="pt-BR" w:eastAsia="pt-BR" w:bidi="ar-SA"/>
              </w:rPr>
            </w:pPr>
            <w:r>
              <w:rPr>
                <w:b/>
                <w:bCs/>
                <w:kern w:val="0"/>
                <w:sz w:val="20"/>
                <w:szCs w:val="20"/>
                <w:lang w:val="pt-BR" w:eastAsia="pt-BR" w:bidi="ar-SA"/>
              </w:rPr>
              <w:t xml:space="preserve">Restricoes adicionais/Comportamento se FK </w:t>
            </w:r>
          </w:p>
        </w:tc>
      </w:tr>
      <w:tr>
        <w:trPr>
          <w:trHeight w:val="47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numero_inscricao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rPr>
                <w:kern w:val="0"/>
                <w:szCs w:val="22"/>
                <w:lang w:val="pt-BR" w:eastAsia="pt-BR" w:bidi="ar-SA"/>
              </w:rPr>
            </w:pPr>
            <w:r>
              <w:rPr>
                <w:kern w:val="0"/>
                <w:sz w:val="20"/>
                <w:szCs w:val="22"/>
                <w:lang w:val="pt-BR" w:eastAsia="pt-BR" w:bidi="ar-SA"/>
              </w:rPr>
              <w:t xml:space="preserve">NUMERIC(12,0)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Sim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PRIMARY KEY </w:t>
            </w:r>
          </w:p>
        </w:tc>
      </w:tr>
      <w:tr>
        <w:trPr>
          <w:trHeight w:val="478"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faixa_etaria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1 a 20 </w:t>
            </w:r>
          </w:p>
        </w:tc>
        <w:tc>
          <w:tcPr>
            <w:tcW w:w="1819"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47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sexo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M, F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478"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estado_civil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0 a 4 </w:t>
            </w:r>
          </w:p>
        </w:tc>
        <w:tc>
          <w:tcPr>
            <w:tcW w:w="1819"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47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cor_raca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0 a 6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478"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nacionalidade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0 a 4 </w:t>
            </w:r>
          </w:p>
        </w:tc>
        <w:tc>
          <w:tcPr>
            <w:tcW w:w="1819"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47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situacao_ensino_medio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1 a 4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4"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ano_conclusao_ensino_m edio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0 a 99 </w:t>
            </w:r>
          </w:p>
        </w:tc>
        <w:tc>
          <w:tcPr>
            <w:tcW w:w="1819"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476"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tipo_de_escola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1, 2, 3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478"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tipo_de_ensino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1, 2 </w:t>
            </w:r>
          </w:p>
        </w:tc>
        <w:tc>
          <w:tcPr>
            <w:tcW w:w="1819"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47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treineiro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BOOLEAN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91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PARTICIPANTE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codigo_municipio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NUMERIC(7,0)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Sim </w:t>
            </w:r>
          </w:p>
        </w:tc>
        <w:tc>
          <w:tcPr>
            <w:tcW w:w="1004"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17"/>
              <w:ind w:hanging="0" w:start="4" w:end="0"/>
              <w:jc w:val="start"/>
              <w:rPr>
                <w:kern w:val="0"/>
                <w:szCs w:val="22"/>
                <w:lang w:val="pt-BR" w:eastAsia="pt-BR" w:bidi="ar-SA"/>
              </w:rPr>
            </w:pPr>
            <w:r>
              <w:rPr>
                <w:kern w:val="0"/>
                <w:sz w:val="20"/>
                <w:szCs w:val="22"/>
                <w:lang w:val="pt-BR" w:eastAsia="pt-BR" w:bidi="ar-SA"/>
              </w:rPr>
              <w:t xml:space="preserve">FOREIGN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KEY(codigo_municip io) REFERENCES municipio(codigo_mu nicipio) </w:t>
            </w:r>
          </w:p>
        </w:tc>
      </w:tr>
      <w:tr>
        <w:trPr>
          <w:trHeight w:val="47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MUNICIPIO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codigo_municipio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NUMERIC(7,0)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Sim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PRIMARY KEY </w:t>
            </w:r>
          </w:p>
        </w:tc>
      </w:tr>
      <w:tr>
        <w:trPr>
          <w:trHeight w:val="478"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MUNICIPIO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nome_municipio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rPr>
                <w:kern w:val="0"/>
                <w:szCs w:val="22"/>
                <w:lang w:val="pt-BR" w:eastAsia="pt-BR" w:bidi="ar-SA"/>
              </w:rPr>
            </w:pPr>
            <w:r>
              <w:rPr>
                <w:kern w:val="0"/>
                <w:sz w:val="20"/>
                <w:szCs w:val="22"/>
                <w:lang w:val="pt-BR" w:eastAsia="pt-BR" w:bidi="ar-SA"/>
              </w:rPr>
              <w:t xml:space="preserve">VARCHAR(150)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19"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61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MUNICIPIO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codigo_uf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Sim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0 a 99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17"/>
              <w:ind w:hanging="0" w:start="4" w:end="0"/>
              <w:jc w:val="start"/>
              <w:rPr>
                <w:lang w:val="en-US"/>
              </w:rPr>
            </w:pPr>
            <w:r>
              <w:rPr>
                <w:kern w:val="0"/>
                <w:sz w:val="20"/>
                <w:szCs w:val="22"/>
                <w:lang w:val="en-US" w:eastAsia="pt-BR" w:bidi="ar-SA"/>
              </w:rPr>
              <w:t xml:space="preserve">FOREIGN </w:t>
            </w:r>
          </w:p>
          <w:p>
            <w:pPr>
              <w:pStyle w:val="Normal"/>
              <w:widowControl/>
              <w:spacing w:lineRule="auto" w:line="278" w:before="0" w:after="0"/>
              <w:ind w:hanging="0" w:start="4" w:end="0"/>
              <w:jc w:val="start"/>
              <w:rPr>
                <w:lang w:val="en-US"/>
              </w:rPr>
            </w:pPr>
            <w:r>
              <w:rPr>
                <w:kern w:val="0"/>
                <w:sz w:val="20"/>
                <w:szCs w:val="22"/>
                <w:lang w:val="en-US" w:eastAsia="pt-BR" w:bidi="ar-SA"/>
              </w:rPr>
              <w:t xml:space="preserve">KEY(codigo_uf) REFERENCES </w:t>
            </w:r>
          </w:p>
          <w:p>
            <w:pPr>
              <w:pStyle w:val="Normal"/>
              <w:widowControl/>
              <w:spacing w:lineRule="auto" w:line="259" w:before="0" w:after="17"/>
              <w:ind w:hanging="0" w:start="4" w:end="0"/>
              <w:jc w:val="start"/>
              <w:rPr>
                <w:lang w:val="en-US"/>
              </w:rPr>
            </w:pPr>
            <w:r>
              <w:rPr>
                <w:kern w:val="0"/>
                <w:sz w:val="20"/>
                <w:szCs w:val="22"/>
                <w:lang w:val="en-US" w:eastAsia="pt-BR" w:bidi="ar-SA"/>
              </w:rPr>
              <w:t xml:space="preserve">uf(codigo_uf) ON </w:t>
            </w:r>
          </w:p>
          <w:p>
            <w:pPr>
              <w:pStyle w:val="Normal"/>
              <w:widowControl/>
              <w:spacing w:lineRule="auto" w:line="259" w:before="0" w:after="0"/>
              <w:ind w:hanging="0" w:start="4" w:end="0"/>
              <w:rPr>
                <w:kern w:val="0"/>
                <w:szCs w:val="22"/>
                <w:lang w:val="pt-BR" w:eastAsia="pt-BR" w:bidi="ar-SA"/>
              </w:rPr>
            </w:pPr>
            <w:r>
              <w:rPr>
                <w:kern w:val="0"/>
                <w:sz w:val="20"/>
                <w:szCs w:val="22"/>
                <w:lang w:val="pt-BR" w:eastAsia="pt-BR" w:bidi="ar-SA"/>
              </w:rPr>
              <w:t xml:space="preserve">DELETE CASCADE </w:t>
            </w:r>
          </w:p>
        </w:tc>
      </w:tr>
      <w:tr>
        <w:trPr>
          <w:trHeight w:val="478"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UF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codigo_uf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Sim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0 a 99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PRIMARY KEY </w:t>
            </w:r>
          </w:p>
        </w:tc>
      </w:tr>
      <w:tr>
        <w:trPr>
          <w:trHeight w:val="47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UF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nome_uf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CHAR(2)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Sim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30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UF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sigla_uf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CHAR(2)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Sim </w:t>
            </w:r>
          </w:p>
        </w:tc>
        <w:tc>
          <w:tcPr>
            <w:tcW w:w="1004"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19"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300" w:hRule="atLeast"/>
        </w:trPr>
        <w:tc>
          <w:tcPr>
            <w:tcW w:w="1865" w:type="dxa"/>
            <w:tcBorders>
              <w:top w:val="single" w:sz="8" w:space="0" w:color="000000"/>
              <w:start w:val="single" w:sz="6" w:space="0" w:color="000000"/>
              <w:bottom w:val="double" w:sz="4"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UF </w:t>
            </w:r>
          </w:p>
        </w:tc>
        <w:tc>
          <w:tcPr>
            <w:tcW w:w="2204" w:type="dxa"/>
            <w:tcBorders>
              <w:top w:val="single" w:sz="8" w:space="0" w:color="000000"/>
              <w:start w:val="single" w:sz="8" w:space="0" w:color="000000"/>
              <w:bottom w:val="double" w:sz="4"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codigo_regiao </w:t>
            </w:r>
          </w:p>
        </w:tc>
        <w:tc>
          <w:tcPr>
            <w:tcW w:w="1482"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1004" w:type="dxa"/>
            <w:tcBorders>
              <w:top w:val="single" w:sz="8" w:space="0" w:color="000000"/>
              <w:start w:val="double" w:sz="4" w:space="0" w:color="000000"/>
              <w:bottom w:val="double" w:sz="4"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19" w:type="dxa"/>
            <w:tcBorders>
              <w:top w:val="single" w:sz="8" w:space="0" w:color="000000"/>
              <w:start w:val="double" w:sz="4" w:space="0" w:color="000000"/>
              <w:bottom w:val="double" w:sz="4" w:space="0" w:color="000000"/>
              <w:end w:val="single" w:sz="6" w:space="0" w:color="000000"/>
            </w:tcBorders>
          </w:tcPr>
          <w:p>
            <w:pPr>
              <w:pStyle w:val="Normal"/>
              <w:widowControl/>
              <w:spacing w:lineRule="auto" w:line="259" w:before="0" w:after="17"/>
              <w:ind w:hanging="0" w:start="4" w:end="0"/>
              <w:jc w:val="start"/>
              <w:rPr>
                <w:kern w:val="0"/>
                <w:szCs w:val="22"/>
                <w:lang w:val="pt-BR" w:eastAsia="pt-BR" w:bidi="ar-SA"/>
              </w:rPr>
            </w:pPr>
            <w:r>
              <w:rPr>
                <w:kern w:val="0"/>
                <w:sz w:val="20"/>
                <w:szCs w:val="22"/>
                <w:lang w:val="pt-BR" w:eastAsia="pt-BR" w:bidi="ar-SA"/>
              </w:rPr>
              <w:t xml:space="preserve">FOREIGN </w:t>
            </w:r>
          </w:p>
          <w:p>
            <w:pPr>
              <w:pStyle w:val="Normal"/>
              <w:widowControl/>
              <w:spacing w:lineRule="auto" w:line="259" w:before="0" w:after="0"/>
              <w:ind w:hanging="0" w:start="4" w:end="0"/>
              <w:rPr>
                <w:kern w:val="0"/>
                <w:szCs w:val="22"/>
                <w:lang w:val="pt-BR" w:eastAsia="pt-BR" w:bidi="ar-SA"/>
              </w:rPr>
            </w:pPr>
            <w:r>
              <w:rPr>
                <w:kern w:val="0"/>
                <w:sz w:val="20"/>
                <w:szCs w:val="22"/>
                <w:lang w:val="pt-BR" w:eastAsia="pt-BR" w:bidi="ar-SA"/>
              </w:rPr>
              <w:t xml:space="preserve">KEY(codigo_regiao) </w:t>
            </w:r>
          </w:p>
        </w:tc>
      </w:tr>
    </w:tbl>
    <w:p>
      <w:pPr>
        <w:pStyle w:val="Normal"/>
        <w:spacing w:lineRule="auto" w:line="259" w:before="0" w:after="0"/>
        <w:ind w:hanging="0" w:start="-1560" w:end="16"/>
        <w:rPr/>
      </w:pPr>
      <w:r>
        <w:rPr/>
      </w:r>
    </w:p>
    <w:tbl>
      <w:tblPr>
        <w:tblStyle w:val="TableGrid"/>
        <w:tblW w:w="9510" w:type="dxa"/>
        <w:jc w:val="start"/>
        <w:tblInd w:w="-22" w:type="dxa"/>
        <w:tblLayout w:type="fixed"/>
        <w:tblCellMar>
          <w:top w:w="72" w:type="dxa"/>
          <w:start w:w="14" w:type="dxa"/>
          <w:bottom w:w="0" w:type="dxa"/>
          <w:end w:w="10" w:type="dxa"/>
        </w:tblCellMar>
        <w:tblLook w:val="04a0" w:noHBand="0" w:noVBand="1" w:firstColumn="1" w:lastRow="0" w:lastColumn="0" w:firstRow="1"/>
      </w:tblPr>
      <w:tblGrid>
        <w:gridCol w:w="1865"/>
        <w:gridCol w:w="2204"/>
        <w:gridCol w:w="1482"/>
        <w:gridCol w:w="530"/>
        <w:gridCol w:w="606"/>
        <w:gridCol w:w="991"/>
        <w:gridCol w:w="1832"/>
      </w:tblGrid>
      <w:tr>
        <w:trPr>
          <w:trHeight w:val="1273" w:hRule="atLeast"/>
        </w:trPr>
        <w:tc>
          <w:tcPr>
            <w:tcW w:w="1865" w:type="dxa"/>
            <w:tcBorders>
              <w:top w:val="double" w:sz="4" w:space="0" w:color="000000"/>
              <w:start w:val="single" w:sz="6" w:space="0" w:color="000000"/>
              <w:bottom w:val="single" w:sz="8" w:space="0" w:color="000000"/>
              <w:end w:val="single" w:sz="8" w:space="0" w:color="000000"/>
            </w:tcBorders>
          </w:tcPr>
          <w:p>
            <w:pPr>
              <w:pStyle w:val="Normal"/>
              <w:widowControl/>
              <w:spacing w:lineRule="auto" w:line="259" w:before="0" w:after="160"/>
              <w:ind w:hanging="0" w:start="0" w:end="0"/>
              <w:jc w:val="start"/>
              <w:rPr>
                <w:kern w:val="0"/>
                <w:szCs w:val="22"/>
                <w:lang w:val="pt-BR" w:eastAsia="pt-BR" w:bidi="ar-SA"/>
              </w:rPr>
            </w:pPr>
            <w:r>
              <w:rPr>
                <w:kern w:val="0"/>
                <w:szCs w:val="22"/>
                <w:lang w:val="pt-BR" w:eastAsia="pt-BR" w:bidi="ar-SA"/>
              </w:rPr>
            </w:r>
          </w:p>
        </w:tc>
        <w:tc>
          <w:tcPr>
            <w:tcW w:w="2204" w:type="dxa"/>
            <w:tcBorders>
              <w:top w:val="double" w:sz="4" w:space="0" w:color="000000"/>
              <w:start w:val="single" w:sz="8" w:space="0" w:color="000000"/>
              <w:bottom w:val="single" w:sz="8" w:space="0" w:color="000000"/>
              <w:end w:val="double" w:sz="4" w:space="0" w:color="000000"/>
            </w:tcBorders>
          </w:tcPr>
          <w:p>
            <w:pPr>
              <w:pStyle w:val="Normal"/>
              <w:widowControl/>
              <w:spacing w:lineRule="auto" w:line="259" w:before="0" w:after="160"/>
              <w:ind w:hanging="0" w:start="0" w:end="0"/>
              <w:jc w:val="start"/>
              <w:rPr>
                <w:kern w:val="0"/>
                <w:szCs w:val="22"/>
                <w:lang w:val="pt-BR" w:eastAsia="pt-BR" w:bidi="ar-SA"/>
              </w:rPr>
            </w:pPr>
            <w:r>
              <w:rPr>
                <w:kern w:val="0"/>
                <w:szCs w:val="22"/>
                <w:lang w:val="pt-BR" w:eastAsia="pt-BR" w:bidi="ar-SA"/>
              </w:rPr>
            </w:r>
          </w:p>
        </w:tc>
        <w:tc>
          <w:tcPr>
            <w:tcW w:w="1482"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160"/>
              <w:ind w:hanging="0" w:start="0" w:end="0"/>
              <w:jc w:val="start"/>
              <w:rPr>
                <w:kern w:val="0"/>
                <w:szCs w:val="22"/>
                <w:lang w:val="pt-BR" w:eastAsia="pt-BR" w:bidi="ar-SA"/>
              </w:rPr>
            </w:pPr>
            <w:r>
              <w:rPr>
                <w:kern w:val="0"/>
                <w:szCs w:val="22"/>
                <w:lang w:val="pt-BR" w:eastAsia="pt-BR" w:bidi="ar-SA"/>
              </w:rPr>
            </w:r>
          </w:p>
        </w:tc>
        <w:tc>
          <w:tcPr>
            <w:tcW w:w="530"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160"/>
              <w:ind w:hanging="0" w:start="0" w:end="0"/>
              <w:jc w:val="start"/>
              <w:rPr>
                <w:kern w:val="0"/>
                <w:szCs w:val="22"/>
                <w:lang w:val="pt-BR" w:eastAsia="pt-BR" w:bidi="ar-SA"/>
              </w:rPr>
            </w:pPr>
            <w:r>
              <w:rPr>
                <w:kern w:val="0"/>
                <w:szCs w:val="22"/>
                <w:lang w:val="pt-BR" w:eastAsia="pt-BR" w:bidi="ar-SA"/>
              </w:rPr>
            </w:r>
          </w:p>
        </w:tc>
        <w:tc>
          <w:tcPr>
            <w:tcW w:w="606"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160"/>
              <w:ind w:hanging="0" w:start="0" w:end="0"/>
              <w:jc w:val="start"/>
              <w:rPr>
                <w:kern w:val="0"/>
                <w:szCs w:val="22"/>
                <w:lang w:val="pt-BR" w:eastAsia="pt-BR" w:bidi="ar-SA"/>
              </w:rPr>
            </w:pPr>
            <w:r>
              <w:rPr>
                <w:kern w:val="0"/>
                <w:szCs w:val="22"/>
                <w:lang w:val="pt-BR" w:eastAsia="pt-BR" w:bidi="ar-SA"/>
              </w:rPr>
            </w:r>
          </w:p>
        </w:tc>
        <w:tc>
          <w:tcPr>
            <w:tcW w:w="991"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160"/>
              <w:ind w:hanging="0" w:start="0" w:end="0"/>
              <w:jc w:val="start"/>
              <w:rPr>
                <w:kern w:val="0"/>
                <w:szCs w:val="22"/>
                <w:lang w:val="pt-BR" w:eastAsia="pt-BR" w:bidi="ar-SA"/>
              </w:rPr>
            </w:pPr>
            <w:r>
              <w:rPr>
                <w:kern w:val="0"/>
                <w:szCs w:val="22"/>
                <w:lang w:val="pt-BR" w:eastAsia="pt-BR" w:bidi="ar-SA"/>
              </w:rPr>
            </w:r>
          </w:p>
        </w:tc>
        <w:tc>
          <w:tcPr>
            <w:tcW w:w="1832" w:type="dxa"/>
            <w:tcBorders>
              <w:top w:val="double" w:sz="4" w:space="0" w:color="000000"/>
              <w:start w:val="double" w:sz="4" w:space="0" w:color="000000"/>
              <w:bottom w:val="single" w:sz="8" w:space="0" w:color="000000"/>
              <w:end w:val="single" w:sz="6" w:space="0" w:color="000000"/>
            </w:tcBorders>
          </w:tcPr>
          <w:p>
            <w:pPr>
              <w:pStyle w:val="Normal"/>
              <w:widowControl/>
              <w:spacing w:lineRule="auto" w:line="259" w:before="0" w:after="17"/>
              <w:ind w:hanging="0" w:start="4" w:end="0"/>
              <w:jc w:val="start"/>
              <w:rPr>
                <w:kern w:val="0"/>
                <w:szCs w:val="22"/>
                <w:lang w:val="pt-BR" w:eastAsia="pt-BR" w:bidi="ar-SA"/>
              </w:rPr>
            </w:pPr>
            <w:r>
              <w:rPr>
                <w:kern w:val="0"/>
                <w:sz w:val="20"/>
                <w:szCs w:val="22"/>
                <w:lang w:val="pt-BR" w:eastAsia="pt-BR" w:bidi="ar-SA"/>
              </w:rPr>
              <w:t xml:space="preserve">REFERENCES </w:t>
            </w:r>
          </w:p>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regiao(codigo_regiao)</w:t>
            </w:r>
          </w:p>
          <w:p>
            <w:pPr>
              <w:pStyle w:val="Normal"/>
              <w:widowControl/>
              <w:spacing w:lineRule="auto" w:line="259" w:before="0" w:after="17"/>
              <w:ind w:hanging="0" w:start="4" w:end="0"/>
              <w:jc w:val="start"/>
              <w:rPr>
                <w:kern w:val="0"/>
                <w:szCs w:val="22"/>
                <w:lang w:val="pt-BR" w:eastAsia="pt-BR" w:bidi="ar-SA"/>
              </w:rPr>
            </w:pPr>
            <w:r>
              <w:rPr>
                <w:kern w:val="0"/>
                <w:sz w:val="20"/>
                <w:szCs w:val="22"/>
                <w:lang w:val="pt-BR" w:eastAsia="pt-BR" w:bidi="ar-SA"/>
              </w:rPr>
              <w:t xml:space="preserve">ON DELETE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CASCADE </w:t>
            </w:r>
          </w:p>
        </w:tc>
      </w:tr>
      <w:tr>
        <w:trPr>
          <w:trHeight w:val="33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APURACAO </w:t>
            </w:r>
          </w:p>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PROVA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numero_inscricao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rPr>
                <w:kern w:val="0"/>
                <w:szCs w:val="22"/>
                <w:lang w:val="pt-BR" w:eastAsia="pt-BR" w:bidi="ar-SA"/>
              </w:rPr>
            </w:pPr>
            <w:r>
              <w:rPr>
                <w:kern w:val="0"/>
                <w:sz w:val="20"/>
                <w:szCs w:val="22"/>
                <w:lang w:val="pt-BR" w:eastAsia="pt-BR" w:bidi="ar-SA"/>
              </w:rPr>
              <w:t xml:space="preserve">NUMERIC(12,0)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Sim </w:t>
            </w:r>
          </w:p>
        </w:tc>
        <w:tc>
          <w:tcPr>
            <w:tcW w:w="991"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17"/>
              <w:ind w:hanging="0" w:start="4" w:end="0"/>
              <w:jc w:val="start"/>
              <w:rPr>
                <w:kern w:val="0"/>
                <w:szCs w:val="22"/>
                <w:lang w:val="pt-BR" w:eastAsia="pt-BR" w:bidi="ar-SA"/>
              </w:rPr>
            </w:pPr>
            <w:r>
              <w:rPr>
                <w:kern w:val="0"/>
                <w:sz w:val="20"/>
                <w:szCs w:val="22"/>
                <w:lang w:val="pt-BR" w:eastAsia="pt-BR" w:bidi="ar-SA"/>
              </w:rPr>
              <w:t xml:space="preserve">FOREIGN </w:t>
            </w:r>
          </w:p>
          <w:p>
            <w:pPr>
              <w:pStyle w:val="Normal"/>
              <w:widowControl/>
              <w:spacing w:lineRule="auto" w:line="278" w:before="0" w:after="0"/>
              <w:ind w:hanging="0" w:start="4" w:end="0"/>
              <w:jc w:val="start"/>
              <w:rPr>
                <w:kern w:val="0"/>
                <w:szCs w:val="22"/>
                <w:lang w:val="pt-BR" w:eastAsia="pt-BR" w:bidi="ar-SA"/>
              </w:rPr>
            </w:pPr>
            <w:r>
              <w:rPr>
                <w:kern w:val="0"/>
                <w:sz w:val="20"/>
                <w:szCs w:val="22"/>
                <w:lang w:val="pt-BR" w:eastAsia="pt-BR" w:bidi="ar-SA"/>
              </w:rPr>
              <w:t xml:space="preserve">KEY(numero_inscric ao) REFERENCES </w:t>
            </w:r>
          </w:p>
          <w:p>
            <w:pPr>
              <w:pStyle w:val="Normal"/>
              <w:widowControl/>
              <w:spacing w:lineRule="auto" w:line="278" w:before="0" w:after="0"/>
              <w:ind w:hanging="0" w:start="4" w:end="0"/>
              <w:jc w:val="start"/>
              <w:rPr>
                <w:kern w:val="0"/>
                <w:szCs w:val="22"/>
                <w:lang w:val="pt-BR" w:eastAsia="pt-BR" w:bidi="ar-SA"/>
              </w:rPr>
            </w:pPr>
            <w:r>
              <w:rPr>
                <w:kern w:val="0"/>
                <w:sz w:val="20"/>
                <w:szCs w:val="22"/>
                <w:lang w:val="pt-BR" w:eastAsia="pt-BR" w:bidi="ar-SA"/>
              </w:rPr>
              <w:t xml:space="preserve">participante(numero_i nscricao) ON </w:t>
            </w:r>
          </w:p>
          <w:p>
            <w:pPr>
              <w:pStyle w:val="Normal"/>
              <w:widowControl/>
              <w:spacing w:lineRule="auto" w:line="259" w:before="0" w:after="0"/>
              <w:ind w:hanging="0" w:start="4" w:end="0"/>
              <w:rPr>
                <w:kern w:val="0"/>
                <w:szCs w:val="22"/>
                <w:lang w:val="pt-BR" w:eastAsia="pt-BR" w:bidi="ar-SA"/>
              </w:rPr>
            </w:pPr>
            <w:r>
              <w:rPr>
                <w:kern w:val="0"/>
                <w:sz w:val="20"/>
                <w:szCs w:val="22"/>
                <w:lang w:val="pt-BR" w:eastAsia="pt-BR" w:bidi="ar-SA"/>
              </w:rPr>
              <w:t xml:space="preserve">DELETE CASCADE </w:t>
            </w:r>
          </w:p>
        </w:tc>
      </w:tr>
      <w:tr>
        <w:trPr>
          <w:trHeight w:val="30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APURACAO </w:t>
            </w:r>
          </w:p>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PROVA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presenca_dia_2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0, 1, 2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30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APURACAO </w:t>
            </w:r>
          </w:p>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PROVA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presenca_dia_1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0, 1, 2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30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APURACAO </w:t>
            </w:r>
          </w:p>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PROVA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nota_cn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DECIMAL(6,2)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30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APURACAO </w:t>
            </w:r>
          </w:p>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PROVA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nota_ch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DECIMAL(6,2)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30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APURACAO </w:t>
            </w:r>
          </w:p>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PROVA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nota_lc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DECIMAL(6,2)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30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APURACAO </w:t>
            </w:r>
          </w:p>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PROVA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nota_mt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DECIMAL(6,2)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30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APURACAO </w:t>
            </w:r>
          </w:p>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PROVA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nota_redacao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DECIMAL(6,2)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30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APURACAO </w:t>
            </w:r>
          </w:p>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PROVA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ano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jc w:val="start"/>
              <w:rPr>
                <w:kern w:val="0"/>
                <w:szCs w:val="22"/>
                <w:lang w:val="pt-BR" w:eastAsia="pt-BR" w:bidi="ar-SA"/>
              </w:rPr>
            </w:pPr>
            <w:r>
              <w:rPr>
                <w:kern w:val="0"/>
                <w:sz w:val="20"/>
                <w:szCs w:val="22"/>
                <w:lang w:val="pt-BR" w:eastAsia="pt-BR" w:bidi="ar-SA"/>
              </w:rPr>
              <w:t xml:space="preserve">1998 a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2999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106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8"/>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numero_inscricao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rPr>
                <w:kern w:val="0"/>
                <w:szCs w:val="22"/>
                <w:lang w:val="pt-BR" w:eastAsia="pt-BR" w:bidi="ar-SA"/>
              </w:rPr>
            </w:pPr>
            <w:r>
              <w:rPr>
                <w:kern w:val="0"/>
                <w:sz w:val="20"/>
                <w:szCs w:val="22"/>
                <w:lang w:val="pt-BR" w:eastAsia="pt-BR" w:bidi="ar-SA"/>
              </w:rPr>
              <w:t xml:space="preserve">NUMERIC(12,0)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Sim </w:t>
            </w:r>
          </w:p>
        </w:tc>
        <w:tc>
          <w:tcPr>
            <w:tcW w:w="991"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17"/>
              <w:ind w:hanging="0" w:start="4" w:end="0"/>
              <w:jc w:val="start"/>
              <w:rPr>
                <w:kern w:val="0"/>
                <w:szCs w:val="22"/>
                <w:lang w:val="pt-BR" w:eastAsia="pt-BR" w:bidi="ar-SA"/>
              </w:rPr>
            </w:pPr>
            <w:r>
              <w:rPr>
                <w:kern w:val="0"/>
                <w:sz w:val="20"/>
                <w:szCs w:val="22"/>
                <w:lang w:val="pt-BR" w:eastAsia="pt-BR" w:bidi="ar-SA"/>
              </w:rPr>
              <w:t xml:space="preserve">FOREIGN </w:t>
            </w:r>
          </w:p>
          <w:p>
            <w:pPr>
              <w:pStyle w:val="Normal"/>
              <w:widowControl/>
              <w:spacing w:lineRule="auto" w:line="278" w:before="0" w:after="1"/>
              <w:ind w:hanging="0" w:start="4" w:end="0"/>
              <w:jc w:val="start"/>
              <w:rPr>
                <w:kern w:val="0"/>
                <w:szCs w:val="22"/>
                <w:lang w:val="pt-BR" w:eastAsia="pt-BR" w:bidi="ar-SA"/>
              </w:rPr>
            </w:pPr>
            <w:r>
              <w:rPr>
                <w:kern w:val="0"/>
                <w:sz w:val="20"/>
                <w:szCs w:val="22"/>
                <w:lang w:val="pt-BR" w:eastAsia="pt-BR" w:bidi="ar-SA"/>
              </w:rPr>
              <w:t xml:space="preserve">KEY(numero_inscric ao) REFERENCES </w:t>
            </w:r>
          </w:p>
          <w:p>
            <w:pPr>
              <w:pStyle w:val="Normal"/>
              <w:widowControl/>
              <w:spacing w:lineRule="auto" w:line="278" w:before="0" w:after="0"/>
              <w:ind w:hanging="0" w:start="4" w:end="0"/>
              <w:jc w:val="start"/>
              <w:rPr>
                <w:kern w:val="0"/>
                <w:szCs w:val="22"/>
                <w:lang w:val="pt-BR" w:eastAsia="pt-BR" w:bidi="ar-SA"/>
              </w:rPr>
            </w:pPr>
            <w:r>
              <w:rPr>
                <w:kern w:val="0"/>
                <w:sz w:val="20"/>
                <w:szCs w:val="22"/>
                <w:lang w:val="pt-BR" w:eastAsia="pt-BR" w:bidi="ar-SA"/>
              </w:rPr>
              <w:t xml:space="preserve">participante(numero_i nscricao) ON </w:t>
            </w:r>
          </w:p>
          <w:p>
            <w:pPr>
              <w:pStyle w:val="Normal"/>
              <w:widowControl/>
              <w:spacing w:lineRule="auto" w:line="259" w:before="0" w:after="0"/>
              <w:ind w:hanging="0" w:start="4" w:end="0"/>
              <w:rPr>
                <w:kern w:val="0"/>
                <w:szCs w:val="22"/>
                <w:lang w:val="pt-BR" w:eastAsia="pt-BR" w:bidi="ar-SA"/>
              </w:rPr>
            </w:pPr>
            <w:r>
              <w:rPr>
                <w:kern w:val="0"/>
                <w:sz w:val="20"/>
                <w:szCs w:val="22"/>
                <w:lang w:val="pt-BR" w:eastAsia="pt-BR" w:bidi="ar-SA"/>
              </w:rPr>
              <w:t xml:space="preserve">DELETE CASCADE </w:t>
            </w:r>
          </w:p>
        </w:tc>
      </w:tr>
      <w:tr>
        <w:trPr>
          <w:trHeight w:val="30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sz w:val="20"/>
                <w:szCs w:val="20"/>
              </w:rPr>
            </w:pPr>
            <w:r>
              <w:rPr>
                <w:kern w:val="0"/>
                <w:sz w:val="20"/>
                <w:szCs w:val="20"/>
                <w:lang w:val="pt-BR" w:eastAsia="pt-BR" w:bidi="ar-SA"/>
              </w:rPr>
              <w:t>SOCIOECONOMICO</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ocupacao_pai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A a F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2"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ocupacao_mae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A a F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300"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pessoas_residencia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1 a 99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1" w:hRule="atLeast"/>
        </w:trPr>
        <w:tc>
          <w:tcPr>
            <w:tcW w:w="1865" w:type="dxa"/>
            <w:tcBorders>
              <w:top w:val="single" w:sz="8" w:space="0" w:color="000000"/>
              <w:start w:val="single" w:sz="6" w:space="0" w:color="000000"/>
              <w:bottom w:val="double" w:sz="4" w:space="0" w:color="000000"/>
              <w:end w:val="single" w:sz="8" w:space="0" w:color="000000"/>
            </w:tcBorders>
          </w:tcPr>
          <w:p>
            <w:pPr>
              <w:pStyle w:val="Normal"/>
              <w:widowControl/>
              <w:spacing w:lineRule="auto" w:line="259" w:before="0" w:after="18"/>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double" w:sz="4"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renda_mensal </w:t>
            </w:r>
          </w:p>
        </w:tc>
        <w:tc>
          <w:tcPr>
            <w:tcW w:w="1482"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A a Q </w:t>
            </w:r>
          </w:p>
        </w:tc>
        <w:tc>
          <w:tcPr>
            <w:tcW w:w="1832" w:type="dxa"/>
            <w:tcBorders>
              <w:top w:val="single" w:sz="8" w:space="0" w:color="000000"/>
              <w:start w:val="double" w:sz="4" w:space="0" w:color="000000"/>
              <w:bottom w:val="double" w:sz="4"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bl>
    <w:p>
      <w:pPr>
        <w:pStyle w:val="Normal"/>
        <w:spacing w:lineRule="auto" w:line="259" w:before="0" w:after="0"/>
        <w:ind w:hanging="0" w:start="-1560" w:end="16"/>
        <w:jc w:val="start"/>
        <w:rPr/>
      </w:pPr>
      <w:r>
        <w:rPr/>
      </w:r>
    </w:p>
    <w:tbl>
      <w:tblPr>
        <w:tblStyle w:val="TableGrid"/>
        <w:tblW w:w="9510" w:type="dxa"/>
        <w:jc w:val="start"/>
        <w:tblInd w:w="-22" w:type="dxa"/>
        <w:tblLayout w:type="fixed"/>
        <w:tblCellMar>
          <w:top w:w="72" w:type="dxa"/>
          <w:start w:w="14" w:type="dxa"/>
          <w:bottom w:w="0" w:type="dxa"/>
          <w:end w:w="10" w:type="dxa"/>
        </w:tblCellMar>
        <w:tblLook w:val="04a0" w:noHBand="0" w:noVBand="1" w:firstColumn="1" w:lastRow="0" w:lastColumn="0" w:firstRow="1"/>
      </w:tblPr>
      <w:tblGrid>
        <w:gridCol w:w="1865"/>
        <w:gridCol w:w="2204"/>
        <w:gridCol w:w="1482"/>
        <w:gridCol w:w="530"/>
        <w:gridCol w:w="606"/>
        <w:gridCol w:w="991"/>
        <w:gridCol w:w="1832"/>
      </w:tblGrid>
      <w:tr>
        <w:trPr>
          <w:trHeight w:val="740" w:hRule="atLeast"/>
        </w:trPr>
        <w:tc>
          <w:tcPr>
            <w:tcW w:w="1865" w:type="dxa"/>
            <w:tcBorders>
              <w:top w:val="double" w:sz="4"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double" w:sz="4"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acesso_telefone_celular </w:t>
            </w:r>
          </w:p>
        </w:tc>
        <w:tc>
          <w:tcPr>
            <w:tcW w:w="1482"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double" w:sz="4"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4"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acesso_computador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2"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acesso_internet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4"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escolaridade_pai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A a H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2"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8"/>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escolaridade_mae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A a H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4"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tem_empregado_domestic 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rPr>
                <w:kern w:val="0"/>
                <w:szCs w:val="22"/>
                <w:lang w:val="pt-BR" w:eastAsia="pt-BR" w:bidi="ar-SA"/>
              </w:rPr>
            </w:pPr>
            <w:r>
              <w:rPr>
                <w:kern w:val="0"/>
                <w:sz w:val="20"/>
                <w:szCs w:val="22"/>
                <w:lang w:val="pt-BR" w:eastAsia="pt-BR" w:bidi="ar-SA"/>
              </w:rPr>
              <w:t xml:space="preserve">A, B, C, D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2"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tem_banheiro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4"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tem_quarto_dormir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2"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tem_carro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4"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tem_motocicleta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2"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tem_geladeira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4"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tem_freezer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2"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rPr>
                <w:kern w:val="0"/>
                <w:szCs w:val="22"/>
                <w:lang w:val="pt-BR" w:eastAsia="pt-BR" w:bidi="ar-SA"/>
              </w:rPr>
            </w:pPr>
            <w:r>
              <w:rPr>
                <w:kern w:val="0"/>
                <w:sz w:val="20"/>
                <w:szCs w:val="22"/>
                <w:lang w:val="pt-BR" w:eastAsia="pt-BR" w:bidi="ar-SA"/>
              </w:rPr>
              <w:t xml:space="preserve">tem_maquina_lavar_roupa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8"/>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29"/>
              <w:jc w:val="start"/>
              <w:rPr>
                <w:kern w:val="0"/>
                <w:szCs w:val="22"/>
                <w:lang w:val="pt-BR" w:eastAsia="pt-BR" w:bidi="ar-SA"/>
              </w:rPr>
            </w:pPr>
            <w:r>
              <w:rPr>
                <w:kern w:val="0"/>
                <w:sz w:val="20"/>
                <w:szCs w:val="22"/>
                <w:lang w:val="pt-BR" w:eastAsia="pt-BR" w:bidi="ar-SA"/>
              </w:rPr>
              <w:t xml:space="preserve">tem_maquina_secar_roup a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8"/>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2"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tem_micro_ondas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4"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rPr>
                <w:kern w:val="0"/>
                <w:szCs w:val="22"/>
                <w:lang w:val="pt-BR" w:eastAsia="pt-BR" w:bidi="ar-SA"/>
              </w:rPr>
            </w:pPr>
            <w:r>
              <w:rPr>
                <w:kern w:val="0"/>
                <w:sz w:val="20"/>
                <w:szCs w:val="22"/>
                <w:lang w:val="pt-BR" w:eastAsia="pt-BR" w:bidi="ar-SA"/>
              </w:rPr>
              <w:t xml:space="preserve">tem_maquina_lavar_louca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2"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tem_aspirador_po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A, B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4"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tem_televisao_cores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 xml:space="preserve">A, B, C, D,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1" w:hRule="atLeast"/>
        </w:trPr>
        <w:tc>
          <w:tcPr>
            <w:tcW w:w="1865" w:type="dxa"/>
            <w:tcBorders>
              <w:top w:val="single" w:sz="8" w:space="0" w:color="000000"/>
              <w:start w:val="single" w:sz="6" w:space="0" w:color="000000"/>
              <w:bottom w:val="double" w:sz="4"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double" w:sz="4"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tem_aparelho_dvd </w:t>
            </w:r>
          </w:p>
        </w:tc>
        <w:tc>
          <w:tcPr>
            <w:tcW w:w="1482"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A, B </w:t>
            </w:r>
          </w:p>
        </w:tc>
        <w:tc>
          <w:tcPr>
            <w:tcW w:w="1832" w:type="dxa"/>
            <w:tcBorders>
              <w:top w:val="single" w:sz="8" w:space="0" w:color="000000"/>
              <w:start w:val="double" w:sz="4" w:space="0" w:color="000000"/>
              <w:bottom w:val="double" w:sz="4"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0" w:hRule="atLeast"/>
        </w:trPr>
        <w:tc>
          <w:tcPr>
            <w:tcW w:w="1865" w:type="dxa"/>
            <w:tcBorders>
              <w:top w:val="double" w:sz="4"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double" w:sz="4"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tem_tv_assinatura </w:t>
            </w:r>
          </w:p>
        </w:tc>
        <w:tc>
          <w:tcPr>
            <w:tcW w:w="1482"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double" w:sz="4"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A, B </w:t>
            </w:r>
          </w:p>
        </w:tc>
        <w:tc>
          <w:tcPr>
            <w:tcW w:w="1832" w:type="dxa"/>
            <w:tcBorders>
              <w:top w:val="double" w:sz="4"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4"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17"/>
              <w:ind w:hanging="0" w:start="0" w:end="0"/>
              <w:jc w:val="start"/>
              <w:rPr>
                <w:kern w:val="0"/>
                <w:szCs w:val="22"/>
                <w:lang w:val="pt-BR" w:eastAsia="pt-BR" w:bidi="ar-SA"/>
              </w:rPr>
            </w:pPr>
            <w:r>
              <w:rPr>
                <w:kern w:val="0"/>
                <w:sz w:val="20"/>
                <w:szCs w:val="22"/>
                <w:lang w:val="pt-BR" w:eastAsia="pt-BR" w:bidi="ar-SA"/>
              </w:rPr>
              <w:t xml:space="preserve">QUESTIONARIO </w:t>
            </w:r>
          </w:p>
          <w:p>
            <w:pPr>
              <w:pStyle w:val="Normal"/>
              <w:widowControl/>
              <w:spacing w:lineRule="auto" w:line="259" w:before="0" w:after="0"/>
              <w:ind w:hanging="0" w:start="0" w:end="0"/>
              <w:rPr>
                <w:kern w:val="0"/>
                <w:szCs w:val="22"/>
                <w:lang w:val="pt-BR" w:eastAsia="pt-BR" w:bidi="ar-SA"/>
              </w:rPr>
            </w:pPr>
            <w:r>
              <w:rPr>
                <w:kern w:val="0"/>
                <w:sz w:val="20"/>
                <w:szCs w:val="22"/>
                <w:lang w:val="pt-BR" w:eastAsia="pt-BR" w:bidi="ar-SA"/>
              </w:rPr>
              <w:t xml:space="preserve">SOCIOECONOMICO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tem_telefone_fixo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CHAR(1)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Sim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A, B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2"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PIB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ano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17"/>
              <w:ind w:hanging="0" w:start="4" w:end="0"/>
              <w:jc w:val="start"/>
              <w:rPr>
                <w:kern w:val="0"/>
                <w:szCs w:val="22"/>
                <w:lang w:val="pt-BR" w:eastAsia="pt-BR" w:bidi="ar-SA"/>
              </w:rPr>
            </w:pPr>
            <w:r>
              <w:rPr>
                <w:kern w:val="0"/>
                <w:sz w:val="20"/>
                <w:szCs w:val="22"/>
                <w:lang w:val="pt-BR" w:eastAsia="pt-BR" w:bidi="ar-SA"/>
              </w:rPr>
              <w:t xml:space="preserve">1998 a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2999 </w:t>
            </w:r>
          </w:p>
        </w:tc>
        <w:tc>
          <w:tcPr>
            <w:tcW w:w="1832"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PRIMARY KEY(ano,</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codigo_municipio) </w:t>
            </w:r>
          </w:p>
        </w:tc>
      </w:tr>
      <w:tr>
        <w:trPr>
          <w:trHeight w:val="2343"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PIB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codigo_municipio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NUMERIC(7,0)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17"/>
              <w:ind w:hanging="0" w:start="4" w:end="0"/>
              <w:rPr>
                <w:kern w:val="0"/>
                <w:szCs w:val="22"/>
                <w:lang w:val="pt-BR" w:eastAsia="pt-BR" w:bidi="ar-SA"/>
              </w:rPr>
            </w:pPr>
            <w:r>
              <w:rPr>
                <w:kern w:val="0"/>
                <w:sz w:val="20"/>
                <w:szCs w:val="22"/>
                <w:lang w:val="pt-BR" w:eastAsia="pt-BR" w:bidi="ar-SA"/>
              </w:rPr>
              <w:t>PRIMARY KEY(ano,</w:t>
            </w:r>
          </w:p>
          <w:p>
            <w:pPr>
              <w:pStyle w:val="Normal"/>
              <w:widowControl/>
              <w:spacing w:lineRule="auto" w:line="259" w:before="0" w:after="17"/>
              <w:ind w:hanging="0" w:start="4" w:end="0"/>
              <w:jc w:val="start"/>
              <w:rPr>
                <w:kern w:val="0"/>
                <w:szCs w:val="22"/>
                <w:lang w:val="pt-BR" w:eastAsia="pt-BR" w:bidi="ar-SA"/>
              </w:rPr>
            </w:pPr>
            <w:r>
              <w:rPr>
                <w:kern w:val="0"/>
                <w:sz w:val="20"/>
                <w:szCs w:val="22"/>
                <w:lang w:val="pt-BR" w:eastAsia="pt-BR" w:bidi="ar-SA"/>
              </w:rPr>
              <w:t xml:space="preserve">codigo_municipio), </w:t>
            </w:r>
          </w:p>
          <w:p>
            <w:pPr>
              <w:pStyle w:val="Normal"/>
              <w:widowControl/>
              <w:spacing w:lineRule="auto" w:line="259" w:before="0" w:after="17"/>
              <w:ind w:hanging="0" w:start="4" w:end="0"/>
              <w:jc w:val="start"/>
              <w:rPr>
                <w:kern w:val="0"/>
                <w:szCs w:val="22"/>
                <w:lang w:val="pt-BR" w:eastAsia="pt-BR" w:bidi="ar-SA"/>
              </w:rPr>
            </w:pPr>
            <w:r>
              <w:rPr>
                <w:kern w:val="0"/>
                <w:sz w:val="20"/>
                <w:szCs w:val="22"/>
                <w:lang w:val="pt-BR" w:eastAsia="pt-BR" w:bidi="ar-SA"/>
              </w:rPr>
              <w:t xml:space="preserve">FOREIGN </w:t>
            </w:r>
          </w:p>
          <w:p>
            <w:pPr>
              <w:pStyle w:val="Normal"/>
              <w:widowControl/>
              <w:spacing w:lineRule="auto" w:line="278" w:before="0" w:after="0"/>
              <w:ind w:hanging="0" w:start="4" w:end="0"/>
              <w:jc w:val="start"/>
              <w:rPr>
                <w:kern w:val="0"/>
                <w:szCs w:val="22"/>
                <w:lang w:val="pt-BR" w:eastAsia="pt-BR" w:bidi="ar-SA"/>
              </w:rPr>
            </w:pPr>
            <w:r>
              <w:rPr>
                <w:kern w:val="0"/>
                <w:sz w:val="20"/>
                <w:szCs w:val="22"/>
                <w:lang w:val="pt-BR" w:eastAsia="pt-BR" w:bidi="ar-SA"/>
              </w:rPr>
              <w:t xml:space="preserve">KEY(codigo_municip io) REFERENCES municipio(codigo_mu nicipio) ON DELETE </w:t>
            </w:r>
          </w:p>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CASCADE </w:t>
            </w:r>
          </w:p>
        </w:tc>
      </w:tr>
      <w:tr>
        <w:trPr>
          <w:trHeight w:val="475"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PIB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imposto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rPr>
                <w:kern w:val="0"/>
                <w:szCs w:val="22"/>
                <w:lang w:val="pt-BR" w:eastAsia="pt-BR" w:bidi="ar-SA"/>
              </w:rPr>
            </w:pPr>
            <w:r>
              <w:rPr>
                <w:kern w:val="0"/>
                <w:sz w:val="20"/>
                <w:szCs w:val="22"/>
                <w:lang w:val="pt-BR" w:eastAsia="pt-BR" w:bidi="ar-SA"/>
              </w:rPr>
              <w:t xml:space="preserve">DECIMAL(15,2)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478"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PIB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pib_preco_corrente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rPr>
                <w:kern w:val="0"/>
                <w:szCs w:val="22"/>
                <w:lang w:val="pt-BR" w:eastAsia="pt-BR" w:bidi="ar-SA"/>
              </w:rPr>
            </w:pPr>
            <w:r>
              <w:rPr>
                <w:kern w:val="0"/>
                <w:sz w:val="20"/>
                <w:szCs w:val="22"/>
                <w:lang w:val="pt-BR" w:eastAsia="pt-BR" w:bidi="ar-SA"/>
              </w:rPr>
              <w:t xml:space="preserve">DECIMAL(15,2)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742"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PIB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pib_per_capita_preco_cor rente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rPr>
                <w:kern w:val="0"/>
                <w:szCs w:val="22"/>
                <w:lang w:val="pt-BR" w:eastAsia="pt-BR" w:bidi="ar-SA"/>
              </w:rPr>
            </w:pPr>
            <w:r>
              <w:rPr>
                <w:kern w:val="0"/>
                <w:sz w:val="20"/>
                <w:szCs w:val="22"/>
                <w:lang w:val="pt-BR" w:eastAsia="pt-BR" w:bidi="ar-SA"/>
              </w:rPr>
              <w:t xml:space="preserve">DECIMAL(15,2)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Nao </w:t>
            </w:r>
          </w:p>
        </w:tc>
        <w:tc>
          <w:tcPr>
            <w:tcW w:w="991" w:type="dxa"/>
            <w:tcBorders>
              <w:top w:val="single" w:sz="8" w:space="0" w:color="000000"/>
              <w:start w:val="double" w:sz="4" w:space="0" w:color="000000"/>
              <w:bottom w:val="single" w:sz="8" w:space="0" w:color="000000"/>
              <w:end w:val="double" w:sz="4"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single" w:sz="8" w:space="0" w:color="000000"/>
              <w:end w:val="single" w:sz="6" w:space="0" w:color="000000"/>
            </w:tcBorders>
            <w:vAlign w:val="center"/>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r>
        <w:trPr>
          <w:trHeight w:val="478" w:hRule="atLeast"/>
        </w:trPr>
        <w:tc>
          <w:tcPr>
            <w:tcW w:w="1865" w:type="dxa"/>
            <w:tcBorders>
              <w:top w:val="single" w:sz="8" w:space="0" w:color="000000"/>
              <w:start w:val="single" w:sz="6" w:space="0" w:color="000000"/>
              <w:bottom w:val="single" w:sz="8"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REGIAO </w:t>
            </w:r>
          </w:p>
        </w:tc>
        <w:tc>
          <w:tcPr>
            <w:tcW w:w="2204" w:type="dxa"/>
            <w:tcBorders>
              <w:top w:val="single" w:sz="8" w:space="0" w:color="000000"/>
              <w:start w:val="single" w:sz="8" w:space="0" w:color="000000"/>
              <w:bottom w:val="single" w:sz="8"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codigo_regiao </w:t>
            </w:r>
          </w:p>
        </w:tc>
        <w:tc>
          <w:tcPr>
            <w:tcW w:w="1482"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SMALLINT </w:t>
            </w:r>
          </w:p>
        </w:tc>
        <w:tc>
          <w:tcPr>
            <w:tcW w:w="530"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Sim </w:t>
            </w:r>
          </w:p>
        </w:tc>
        <w:tc>
          <w:tcPr>
            <w:tcW w:w="991" w:type="dxa"/>
            <w:tcBorders>
              <w:top w:val="single" w:sz="8" w:space="0" w:color="000000"/>
              <w:start w:val="double" w:sz="4" w:space="0" w:color="000000"/>
              <w:bottom w:val="single" w:sz="8"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0 a 9 </w:t>
            </w:r>
          </w:p>
        </w:tc>
        <w:tc>
          <w:tcPr>
            <w:tcW w:w="1832" w:type="dxa"/>
            <w:tcBorders>
              <w:top w:val="single" w:sz="8" w:space="0" w:color="000000"/>
              <w:start w:val="double" w:sz="4" w:space="0" w:color="000000"/>
              <w:bottom w:val="single" w:sz="8"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PRIMARY KEY </w:t>
            </w:r>
          </w:p>
        </w:tc>
      </w:tr>
      <w:tr>
        <w:trPr>
          <w:trHeight w:val="474" w:hRule="atLeast"/>
        </w:trPr>
        <w:tc>
          <w:tcPr>
            <w:tcW w:w="1865" w:type="dxa"/>
            <w:tcBorders>
              <w:top w:val="single" w:sz="8" w:space="0" w:color="000000"/>
              <w:start w:val="single" w:sz="6" w:space="0" w:color="000000"/>
              <w:bottom w:val="double" w:sz="4" w:space="0" w:color="000000"/>
              <w:end w:val="single" w:sz="8" w:space="0" w:color="000000"/>
            </w:tcBorders>
          </w:tcPr>
          <w:p>
            <w:pPr>
              <w:pStyle w:val="Normal"/>
              <w:widowControl/>
              <w:spacing w:lineRule="auto" w:line="259" w:before="0" w:after="0"/>
              <w:ind w:hanging="0" w:start="0" w:end="0"/>
              <w:jc w:val="start"/>
              <w:rPr>
                <w:kern w:val="0"/>
                <w:szCs w:val="22"/>
                <w:lang w:val="pt-BR" w:eastAsia="pt-BR" w:bidi="ar-SA"/>
              </w:rPr>
            </w:pPr>
            <w:r>
              <w:rPr>
                <w:kern w:val="0"/>
                <w:sz w:val="20"/>
                <w:szCs w:val="22"/>
                <w:lang w:val="pt-BR" w:eastAsia="pt-BR" w:bidi="ar-SA"/>
              </w:rPr>
              <w:t xml:space="preserve">REGIAO </w:t>
            </w:r>
          </w:p>
        </w:tc>
        <w:tc>
          <w:tcPr>
            <w:tcW w:w="2204" w:type="dxa"/>
            <w:tcBorders>
              <w:top w:val="single" w:sz="8" w:space="0" w:color="000000"/>
              <w:start w:val="single" w:sz="8" w:space="0" w:color="000000"/>
              <w:bottom w:val="double" w:sz="4" w:space="0" w:color="000000"/>
              <w:end w:val="double" w:sz="4" w:space="0" w:color="000000"/>
            </w:tcBorders>
          </w:tcPr>
          <w:p>
            <w:pPr>
              <w:pStyle w:val="Normal"/>
              <w:widowControl/>
              <w:spacing w:lineRule="auto" w:line="259" w:before="0" w:after="0"/>
              <w:ind w:hanging="0" w:start="5" w:end="0"/>
              <w:jc w:val="start"/>
              <w:rPr>
                <w:kern w:val="0"/>
                <w:szCs w:val="22"/>
                <w:lang w:val="pt-BR" w:eastAsia="pt-BR" w:bidi="ar-SA"/>
              </w:rPr>
            </w:pPr>
            <w:r>
              <w:rPr>
                <w:kern w:val="0"/>
                <w:sz w:val="20"/>
                <w:szCs w:val="22"/>
                <w:lang w:val="pt-BR" w:eastAsia="pt-BR" w:bidi="ar-SA"/>
              </w:rPr>
              <w:t xml:space="preserve">nome_regiao </w:t>
            </w:r>
          </w:p>
        </w:tc>
        <w:tc>
          <w:tcPr>
            <w:tcW w:w="1482"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6" w:end="0"/>
              <w:rPr>
                <w:kern w:val="0"/>
                <w:szCs w:val="22"/>
                <w:lang w:val="pt-BR" w:eastAsia="pt-BR" w:bidi="ar-SA"/>
              </w:rPr>
            </w:pPr>
            <w:r>
              <w:rPr>
                <w:kern w:val="0"/>
                <w:sz w:val="20"/>
                <w:szCs w:val="22"/>
                <w:lang w:val="pt-BR" w:eastAsia="pt-BR" w:bidi="ar-SA"/>
              </w:rPr>
              <w:t xml:space="preserve">VARCHAR(50) </w:t>
            </w:r>
          </w:p>
        </w:tc>
        <w:tc>
          <w:tcPr>
            <w:tcW w:w="530"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6" w:end="0"/>
              <w:jc w:val="start"/>
              <w:rPr>
                <w:kern w:val="0"/>
                <w:szCs w:val="22"/>
                <w:lang w:val="pt-BR" w:eastAsia="pt-BR" w:bidi="ar-SA"/>
              </w:rPr>
            </w:pPr>
            <w:r>
              <w:rPr>
                <w:kern w:val="0"/>
                <w:sz w:val="20"/>
                <w:szCs w:val="22"/>
                <w:lang w:val="pt-BR" w:eastAsia="pt-BR" w:bidi="ar-SA"/>
              </w:rPr>
              <w:t xml:space="preserve">Nao </w:t>
            </w:r>
          </w:p>
        </w:tc>
        <w:tc>
          <w:tcPr>
            <w:tcW w:w="606"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Sim </w:t>
            </w:r>
          </w:p>
        </w:tc>
        <w:tc>
          <w:tcPr>
            <w:tcW w:w="991" w:type="dxa"/>
            <w:tcBorders>
              <w:top w:val="single" w:sz="8" w:space="0" w:color="000000"/>
              <w:start w:val="double" w:sz="4" w:space="0" w:color="000000"/>
              <w:bottom w:val="double" w:sz="4" w:space="0" w:color="000000"/>
              <w:end w:val="double" w:sz="4"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c>
          <w:tcPr>
            <w:tcW w:w="1832" w:type="dxa"/>
            <w:tcBorders>
              <w:top w:val="single" w:sz="8" w:space="0" w:color="000000"/>
              <w:start w:val="double" w:sz="4" w:space="0" w:color="000000"/>
              <w:bottom w:val="double" w:sz="4" w:space="0" w:color="000000"/>
              <w:end w:val="single" w:sz="6" w:space="0" w:color="000000"/>
            </w:tcBorders>
          </w:tcPr>
          <w:p>
            <w:pPr>
              <w:pStyle w:val="Normal"/>
              <w:widowControl/>
              <w:spacing w:lineRule="auto" w:line="259" w:before="0" w:after="0"/>
              <w:ind w:hanging="0" w:start="4" w:end="0"/>
              <w:jc w:val="start"/>
              <w:rPr>
                <w:kern w:val="0"/>
                <w:szCs w:val="22"/>
                <w:lang w:val="pt-BR" w:eastAsia="pt-BR" w:bidi="ar-SA"/>
              </w:rPr>
            </w:pPr>
            <w:r>
              <w:rPr>
                <w:kern w:val="0"/>
                <w:sz w:val="20"/>
                <w:szCs w:val="22"/>
                <w:lang w:val="pt-BR" w:eastAsia="pt-BR" w:bidi="ar-SA"/>
              </w:rPr>
              <w:t xml:space="preserve"> </w:t>
            </w:r>
          </w:p>
        </w:tc>
      </w:tr>
    </w:tbl>
    <w:p>
      <w:pPr>
        <w:pStyle w:val="Heading1"/>
        <w:numPr>
          <w:ilvl w:val="0"/>
          <w:numId w:val="0"/>
        </w:numPr>
        <w:spacing w:lineRule="auto" w:line="259" w:beforeAutospacing="0" w:before="240" w:afterAutospacing="0" w:after="0"/>
        <w:ind w:hanging="0" w:start="480" w:end="0"/>
        <w:jc w:val="start"/>
        <w:rPr>
          <w:b/>
          <w:bCs/>
          <w:color w:themeColor="text1" w:val="000000"/>
          <w:sz w:val="28"/>
          <w:szCs w:val="28"/>
        </w:rPr>
      </w:pPr>
      <w:r>
        <w:rPr/>
        <w:t xml:space="preserve">5.  Análise dos dados utilizando mapas  </w:t>
      </w:r>
    </w:p>
    <w:p>
      <w:pPr>
        <w:pStyle w:val="Heading2"/>
        <w:spacing w:beforeAutospacing="0" w:before="240" w:after="14"/>
        <w:rPr/>
      </w:pPr>
      <w:r>
        <w:rPr/>
        <w:t xml:space="preserve"> </w:t>
      </w:r>
      <w:r>
        <w:rPr/>
        <w:tab/>
        <w:t>5.1. Nota Média Geral (ENEM 2021) vs. PIB Total por Estado</w:t>
      </w:r>
    </w:p>
    <w:p>
      <w:pPr>
        <w:pStyle w:val="Normal"/>
        <w:spacing w:lineRule="auto" w:line="360"/>
        <w:rPr>
          <w:szCs w:val="24"/>
        </w:rPr>
      </w:pPr>
      <w:r>
        <w:rPr/>
        <w:drawing>
          <wp:inline distT="0" distB="0" distL="0" distR="0">
            <wp:extent cx="5731510" cy="2641600"/>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15"/>
                    <a:stretch>
                      <a:fillRect/>
                    </a:stretch>
                  </pic:blipFill>
                  <pic:spPr bwMode="auto">
                    <a:xfrm>
                      <a:off x="0" y="0"/>
                      <a:ext cx="5731510" cy="2641600"/>
                    </a:xfrm>
                    <a:prstGeom prst="rect">
                      <a:avLst/>
                    </a:prstGeom>
                    <a:noFill/>
                  </pic:spPr>
                </pic:pic>
              </a:graphicData>
            </a:graphic>
          </wp:inline>
        </w:drawing>
      </w:r>
    </w:p>
    <w:p>
      <w:pPr>
        <w:pStyle w:val="Normal"/>
        <w:spacing w:lineRule="auto" w:line="360"/>
        <w:ind w:firstLine="720" w:start="130" w:end="3"/>
        <w:rPr>
          <w:szCs w:val="24"/>
        </w:rPr>
      </w:pPr>
      <w:r>
        <w:rPr>
          <w:szCs w:val="24"/>
        </w:rPr>
        <w:t>Observa-se pelas variações nas tonalidades de ambos os gráficos que as maiores notas médias no ENEM 2021 e os maiores valores totais do PIB no mesmo ano estão concentrados na região Sul e Sudeste, com destaque para São Paulo e Minas Gerais. Outro ponto relevante é o estado do Amazonas, que apresenta a menor média de notas, assim como um PIB total relativamente baixo, apesar de não ser o menor do país.</w:t>
      </w:r>
    </w:p>
    <w:p>
      <w:pPr>
        <w:pStyle w:val="Heading2"/>
        <w:ind w:hanging="10" w:start="900" w:end="3"/>
        <w:rPr>
          <w:b/>
          <w:bCs/>
        </w:rPr>
      </w:pPr>
      <w:r>
        <w:rPr/>
        <w:t>5.2. Renda Média dos Participantes (ENEM 2021) vs. PIB Total por Estado</w:t>
      </w:r>
    </w:p>
    <w:p>
      <w:pPr>
        <w:pStyle w:val="Normal"/>
        <w:spacing w:lineRule="auto" w:line="360"/>
        <w:rPr>
          <w:szCs w:val="24"/>
        </w:rPr>
      </w:pPr>
      <w:r>
        <w:rPr/>
        <w:drawing>
          <wp:inline distT="0" distB="0" distL="0" distR="0">
            <wp:extent cx="5731510" cy="2641600"/>
            <wp:effectExtent l="0" t="0" r="0" b="0"/>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pic:cNvPicPr>
                      <a:picLocks noChangeAspect="1" noChangeArrowheads="1"/>
                    </pic:cNvPicPr>
                  </pic:nvPicPr>
                  <pic:blipFill>
                    <a:blip r:embed="rId16"/>
                    <a:stretch>
                      <a:fillRect/>
                    </a:stretch>
                  </pic:blipFill>
                  <pic:spPr bwMode="auto">
                    <a:xfrm>
                      <a:off x="0" y="0"/>
                      <a:ext cx="5731510" cy="2641600"/>
                    </a:xfrm>
                    <a:prstGeom prst="rect">
                      <a:avLst/>
                    </a:prstGeom>
                    <a:noFill/>
                  </pic:spPr>
                </pic:pic>
              </a:graphicData>
            </a:graphic>
          </wp:inline>
        </w:drawing>
      </w:r>
    </w:p>
    <w:p>
      <w:pPr>
        <w:pStyle w:val="Normal"/>
        <w:spacing w:lineRule="auto" w:line="360"/>
        <w:ind w:firstLine="720" w:start="130" w:end="3"/>
        <w:rPr>
          <w:szCs w:val="24"/>
        </w:rPr>
      </w:pPr>
      <w:r>
        <w:rPr>
          <w:szCs w:val="24"/>
        </w:rPr>
        <w:t>Neste também, observa-se que os mapas de renda média dos participantes e do PIB total dos estados apresentam padrões de cores bastante semelhantes. Os estados com as maiores médias estão localizados, principalmente, na região Sul e Sudeste, além do Centro-Oeste, que também se destaca. Por outro lado, as regiões Norte e Nordeste apresentam as áreas com as médias mais baixas, visíveis pelas tonalidades mais escuras.</w:t>
      </w:r>
    </w:p>
    <w:p>
      <w:pPr>
        <w:pStyle w:val="Normal"/>
        <w:spacing w:lineRule="auto" w:line="360"/>
        <w:ind w:firstLine="720" w:start="130" w:end="3"/>
        <w:rPr>
          <w:szCs w:val="24"/>
        </w:rPr>
      </w:pPr>
      <w:r>
        <w:rPr>
          <w:szCs w:val="24"/>
        </w:rPr>
        <w:t>Vale destacar que, na renda mensal dos participantes, o ENEM utiliza como categorização máxima o item Q (renda mensal acima de R$ 22.000,00), o qual foi mapeado para R$ 26.000,00 para viabilizar a geração do gráfico. Sugerindo que a discrepância real entre as rendas dos participantes pode ser ainda maior, mas o resultado atual já demonstra padrões consistentes.</w:t>
      </w:r>
    </w:p>
    <w:p>
      <w:pPr>
        <w:pStyle w:val="Heading2"/>
        <w:spacing w:lineRule="auto" w:line="360"/>
        <w:ind w:firstLine="770" w:start="130" w:end="3"/>
        <w:rPr>
          <w:rFonts w:ascii="Times New Roman" w:hAnsi="Times New Roman" w:eastAsia="Times New Roman" w:cs="Times New Roman"/>
          <w:b/>
          <w:bCs/>
          <w:color w:val="auto"/>
          <w:sz w:val="24"/>
          <w:szCs w:val="24"/>
        </w:rPr>
      </w:pPr>
      <w:r>
        <w:rPr>
          <w:rFonts w:eastAsia="Times New Roman" w:cs="Times New Roman" w:ascii="Times New Roman" w:hAnsi="Times New Roman"/>
          <w:b/>
          <w:bCs/>
          <w:color w:val="auto"/>
          <w:sz w:val="24"/>
          <w:szCs w:val="24"/>
        </w:rPr>
        <w:t xml:space="preserve">5.3. Escolaridade Média </w:t>
      </w:r>
      <w:r>
        <w:rPr>
          <w:rFonts w:eastAsia="Times New Roman" w:cs="Times New Roman" w:ascii="Times New Roman" w:hAnsi="Times New Roman"/>
          <w:b/>
          <w:bCs/>
          <w:color w:val="auto"/>
          <w:sz w:val="24"/>
          <w:szCs w:val="24"/>
          <w:u w:val="none"/>
        </w:rPr>
        <w:t xml:space="preserve">dos </w:t>
      </w:r>
      <w:r>
        <w:rPr>
          <w:rFonts w:eastAsia="Times New Roman" w:cs="Times New Roman" w:ascii="Times New Roman" w:hAnsi="Times New Roman"/>
          <w:b/>
          <w:bCs/>
          <w:color w:val="auto"/>
          <w:sz w:val="24"/>
          <w:szCs w:val="24"/>
        </w:rPr>
        <w:t>Pais (ENEM 2021) vs. PIB Total por Estado</w:t>
      </w:r>
    </w:p>
    <w:p>
      <w:pPr>
        <w:pStyle w:val="Normal"/>
        <w:spacing w:lineRule="auto" w:line="360"/>
        <w:rPr>
          <w:szCs w:val="24"/>
        </w:rPr>
      </w:pPr>
      <w:r>
        <w:rPr/>
        <w:drawing>
          <wp:inline distT="0" distB="0" distL="0" distR="0">
            <wp:extent cx="5731510" cy="2641600"/>
            <wp:effectExtent l="0" t="0" r="0" b="0"/>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a:picLocks noChangeAspect="1" noChangeArrowheads="1"/>
                    </pic:cNvPicPr>
                  </pic:nvPicPr>
                  <pic:blipFill>
                    <a:blip r:embed="rId17"/>
                    <a:stretch>
                      <a:fillRect/>
                    </a:stretch>
                  </pic:blipFill>
                  <pic:spPr bwMode="auto">
                    <a:xfrm>
                      <a:off x="0" y="0"/>
                      <a:ext cx="5731510" cy="2641600"/>
                    </a:xfrm>
                    <a:prstGeom prst="rect">
                      <a:avLst/>
                    </a:prstGeom>
                    <a:noFill/>
                  </pic:spPr>
                </pic:pic>
              </a:graphicData>
            </a:graphic>
          </wp:inline>
        </w:drawing>
      </w:r>
    </w:p>
    <w:p>
      <w:pPr>
        <w:pStyle w:val="Normal"/>
        <w:spacing w:lineRule="auto" w:line="360"/>
        <w:ind w:firstLine="720" w:start="130" w:end="3"/>
        <w:rPr>
          <w:szCs w:val="24"/>
        </w:rPr>
      </w:pPr>
      <w:r>
        <w:rPr>
          <w:szCs w:val="24"/>
        </w:rPr>
        <w:t>A escolaridade média dos pais dos participantes reflete não só o perfil de renda média anteriormente mencionado, mas também o PIB total por estado.</w:t>
      </w:r>
    </w:p>
    <w:p>
      <w:pPr>
        <w:pStyle w:val="Normal"/>
        <w:spacing w:lineRule="auto" w:line="360"/>
        <w:ind w:firstLine="720" w:start="130" w:end="3"/>
        <w:rPr>
          <w:szCs w:val="24"/>
        </w:rPr>
      </w:pPr>
      <w:r>
        <w:rPr>
          <w:szCs w:val="24"/>
        </w:rPr>
        <w:t>Para explorar melhor a correlação entre a escolaridade dos pais e o desempenho dos participantes, foi necessário atribuir pesos a cada categoria de escolaridade definida pelo ENEM:</w:t>
      </w:r>
    </w:p>
    <w:tbl>
      <w:tblPr>
        <w:tblW w:w="900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645"/>
        <w:gridCol w:w="8355"/>
      </w:tblGrid>
      <w:tr>
        <w:trPr/>
        <w:tc>
          <w:tcPr>
            <w:tcW w:w="6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A</w:t>
            </w:r>
          </w:p>
        </w:tc>
        <w:tc>
          <w:tcPr>
            <w:tcW w:w="835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rPr>
                <w:sz w:val="20"/>
                <w:szCs w:val="20"/>
              </w:rPr>
            </w:pPr>
            <w:r>
              <w:rPr>
                <w:sz w:val="20"/>
                <w:szCs w:val="20"/>
              </w:rPr>
              <w:t>Nunca estudou</w:t>
            </w:r>
          </w:p>
        </w:tc>
      </w:tr>
      <w:tr>
        <w:trPr/>
        <w:tc>
          <w:tcPr>
            <w:tcW w:w="6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B</w:t>
            </w:r>
          </w:p>
        </w:tc>
        <w:tc>
          <w:tcPr>
            <w:tcW w:w="835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rPr>
                <w:sz w:val="20"/>
                <w:szCs w:val="20"/>
              </w:rPr>
            </w:pPr>
            <w:r>
              <w:rPr>
                <w:sz w:val="20"/>
                <w:szCs w:val="20"/>
              </w:rPr>
              <w:t>Não completou a 4° série/5° ano do ensino fundamental</w:t>
            </w:r>
          </w:p>
        </w:tc>
      </w:tr>
      <w:tr>
        <w:trPr/>
        <w:tc>
          <w:tcPr>
            <w:tcW w:w="6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C</w:t>
            </w:r>
          </w:p>
        </w:tc>
        <w:tc>
          <w:tcPr>
            <w:tcW w:w="835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360" w:before="0" w:after="14"/>
              <w:rPr>
                <w:sz w:val="20"/>
                <w:szCs w:val="20"/>
              </w:rPr>
            </w:pPr>
            <w:r>
              <w:rPr>
                <w:sz w:val="20"/>
                <w:szCs w:val="20"/>
              </w:rPr>
              <w:t>Completou a 4ª série/5º ano, mas não completou a 8ª série/9º ano do Ensino Fundamental.</w:t>
            </w:r>
          </w:p>
        </w:tc>
      </w:tr>
      <w:tr>
        <w:trPr/>
        <w:tc>
          <w:tcPr>
            <w:tcW w:w="6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D</w:t>
            </w:r>
          </w:p>
        </w:tc>
        <w:tc>
          <w:tcPr>
            <w:tcW w:w="835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360" w:before="0" w:after="14"/>
              <w:rPr>
                <w:sz w:val="20"/>
                <w:szCs w:val="20"/>
              </w:rPr>
            </w:pPr>
            <w:r>
              <w:rPr>
                <w:sz w:val="20"/>
                <w:szCs w:val="20"/>
              </w:rPr>
              <w:t>Completou a 8ª série/9º ano do Ensino Fundamental, mas não completou o Ensino Médio.</w:t>
            </w:r>
          </w:p>
        </w:tc>
      </w:tr>
      <w:tr>
        <w:trPr/>
        <w:tc>
          <w:tcPr>
            <w:tcW w:w="6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E</w:t>
            </w:r>
          </w:p>
        </w:tc>
        <w:tc>
          <w:tcPr>
            <w:tcW w:w="835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360" w:before="0" w:after="14"/>
              <w:rPr>
                <w:sz w:val="20"/>
                <w:szCs w:val="20"/>
              </w:rPr>
            </w:pPr>
            <w:r>
              <w:rPr>
                <w:sz w:val="20"/>
                <w:szCs w:val="20"/>
              </w:rPr>
              <w:t>Completou o Ensino Médio, mas não completou a Faculdade.</w:t>
            </w:r>
          </w:p>
        </w:tc>
      </w:tr>
      <w:tr>
        <w:trPr/>
        <w:tc>
          <w:tcPr>
            <w:tcW w:w="6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F</w:t>
            </w:r>
          </w:p>
        </w:tc>
        <w:tc>
          <w:tcPr>
            <w:tcW w:w="835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360" w:before="0" w:after="14"/>
              <w:rPr>
                <w:sz w:val="20"/>
                <w:szCs w:val="20"/>
              </w:rPr>
            </w:pPr>
            <w:r>
              <w:rPr>
                <w:sz w:val="20"/>
                <w:szCs w:val="20"/>
              </w:rPr>
              <w:t>Completou a Faculdade, mas não completou a Pós-graduação.</w:t>
            </w:r>
          </w:p>
        </w:tc>
      </w:tr>
      <w:tr>
        <w:trPr/>
        <w:tc>
          <w:tcPr>
            <w:tcW w:w="6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G</w:t>
            </w:r>
          </w:p>
        </w:tc>
        <w:tc>
          <w:tcPr>
            <w:tcW w:w="835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spacing w:lineRule="auto" w:line="360" w:before="0" w:after="14"/>
              <w:rPr>
                <w:sz w:val="20"/>
                <w:szCs w:val="20"/>
              </w:rPr>
            </w:pPr>
            <w:r>
              <w:rPr>
                <w:sz w:val="20"/>
                <w:szCs w:val="20"/>
              </w:rPr>
              <w:t>Completou a Pós-graduação.</w:t>
            </w:r>
          </w:p>
        </w:tc>
      </w:tr>
      <w:tr>
        <w:trPr/>
        <w:tc>
          <w:tcPr>
            <w:tcW w:w="64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H</w:t>
            </w:r>
          </w:p>
        </w:tc>
        <w:tc>
          <w:tcPr>
            <w:tcW w:w="8355" w:type="dxa"/>
            <w:tcBorders>
              <w:top w:val="single" w:sz="8" w:space="0" w:color="000000"/>
              <w:start w:val="single" w:sz="8" w:space="0" w:color="000000"/>
              <w:bottom w:val="single" w:sz="8" w:space="0" w:color="000000"/>
              <w:end w:val="single" w:sz="8" w:space="0" w:color="000000"/>
            </w:tcBorders>
            <w:shd w:color="auto" w:fill="auto" w:val="clear"/>
          </w:tcPr>
          <w:p>
            <w:pPr>
              <w:pStyle w:val="Normal"/>
              <w:spacing w:lineRule="auto" w:line="360" w:before="0" w:after="14"/>
              <w:rPr>
                <w:sz w:val="20"/>
                <w:szCs w:val="20"/>
              </w:rPr>
            </w:pPr>
            <w:r>
              <w:rPr>
                <w:sz w:val="20"/>
                <w:szCs w:val="20"/>
              </w:rPr>
              <w:t>Não sei.</w:t>
            </w:r>
          </w:p>
        </w:tc>
      </w:tr>
    </w:tbl>
    <w:p>
      <w:pPr>
        <w:pStyle w:val="Normal"/>
        <w:spacing w:lineRule="auto" w:line="360" w:beforeAutospacing="0" w:before="240" w:after="14"/>
        <w:ind w:firstLine="708" w:start="0" w:end="3"/>
        <w:rPr/>
      </w:pPr>
      <w:r>
        <w:rPr/>
        <w:t>Essa classificação, no entanto, não nos indica claramente a importância desses níveis de ensino formal nos resultados das provas. Por isso, buscamos primeiramente entender como esses níveis afetam a renda familiar, que pode ser um dos fatores relevantes para a média das notas. Através das consultas na base de dados obtivemos as seguintes médias de renda mensal por nível de escolaridade dos pais:</w:t>
      </w:r>
    </w:p>
    <w:tbl>
      <w:tblPr>
        <w:tblW w:w="900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4275"/>
        <w:gridCol w:w="4725"/>
      </w:tblGrid>
      <w:tr>
        <w:trPr/>
        <w:tc>
          <w:tcPr>
            <w:tcW w:w="427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A</w:t>
            </w:r>
          </w:p>
        </w:tc>
        <w:tc>
          <w:tcPr>
            <w:tcW w:w="472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rPr>
                <w:sz w:val="20"/>
                <w:szCs w:val="20"/>
              </w:rPr>
            </w:pPr>
            <w:r>
              <w:rPr>
                <w:sz w:val="20"/>
                <w:szCs w:val="20"/>
              </w:rPr>
              <w:t>R$ 1424,18</w:t>
            </w:r>
          </w:p>
        </w:tc>
      </w:tr>
      <w:tr>
        <w:trPr/>
        <w:tc>
          <w:tcPr>
            <w:tcW w:w="427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B</w:t>
            </w:r>
          </w:p>
        </w:tc>
        <w:tc>
          <w:tcPr>
            <w:tcW w:w="472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rPr>
                <w:sz w:val="20"/>
                <w:szCs w:val="20"/>
              </w:rPr>
            </w:pPr>
            <w:r>
              <w:rPr>
                <w:sz w:val="20"/>
                <w:szCs w:val="20"/>
              </w:rPr>
              <w:t>R$ 1689,29</w:t>
            </w:r>
          </w:p>
        </w:tc>
      </w:tr>
      <w:tr>
        <w:trPr/>
        <w:tc>
          <w:tcPr>
            <w:tcW w:w="427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C</w:t>
            </w:r>
          </w:p>
        </w:tc>
        <w:tc>
          <w:tcPr>
            <w:tcW w:w="472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rPr>
                <w:sz w:val="20"/>
                <w:szCs w:val="20"/>
              </w:rPr>
            </w:pPr>
            <w:r>
              <w:rPr>
                <w:sz w:val="20"/>
                <w:szCs w:val="20"/>
              </w:rPr>
              <w:t>R$ 2069,91</w:t>
            </w:r>
          </w:p>
        </w:tc>
      </w:tr>
      <w:tr>
        <w:trPr/>
        <w:tc>
          <w:tcPr>
            <w:tcW w:w="427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D</w:t>
            </w:r>
          </w:p>
        </w:tc>
        <w:tc>
          <w:tcPr>
            <w:tcW w:w="472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rPr>
                <w:sz w:val="20"/>
                <w:szCs w:val="20"/>
              </w:rPr>
            </w:pPr>
            <w:r>
              <w:rPr>
                <w:sz w:val="20"/>
                <w:szCs w:val="20"/>
              </w:rPr>
              <w:t>R$ 2369,60</w:t>
            </w:r>
          </w:p>
        </w:tc>
      </w:tr>
      <w:tr>
        <w:trPr/>
        <w:tc>
          <w:tcPr>
            <w:tcW w:w="427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E</w:t>
            </w:r>
          </w:p>
        </w:tc>
        <w:tc>
          <w:tcPr>
            <w:tcW w:w="472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rPr>
                <w:sz w:val="20"/>
                <w:szCs w:val="20"/>
              </w:rPr>
            </w:pPr>
            <w:r>
              <w:rPr>
                <w:sz w:val="20"/>
                <w:szCs w:val="20"/>
              </w:rPr>
              <w:t>R$ 3170,62</w:t>
            </w:r>
          </w:p>
        </w:tc>
      </w:tr>
      <w:tr>
        <w:trPr/>
        <w:tc>
          <w:tcPr>
            <w:tcW w:w="427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F</w:t>
            </w:r>
          </w:p>
        </w:tc>
        <w:tc>
          <w:tcPr>
            <w:tcW w:w="472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rPr>
                <w:sz w:val="20"/>
                <w:szCs w:val="20"/>
              </w:rPr>
            </w:pPr>
            <w:r>
              <w:rPr>
                <w:sz w:val="20"/>
                <w:szCs w:val="20"/>
              </w:rPr>
              <w:t>R$ 6556,26</w:t>
            </w:r>
          </w:p>
        </w:tc>
      </w:tr>
      <w:tr>
        <w:trPr/>
        <w:tc>
          <w:tcPr>
            <w:tcW w:w="427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G</w:t>
            </w:r>
          </w:p>
        </w:tc>
        <w:tc>
          <w:tcPr>
            <w:tcW w:w="472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rPr>
                <w:sz w:val="20"/>
                <w:szCs w:val="20"/>
              </w:rPr>
            </w:pPr>
            <w:r>
              <w:rPr>
                <w:sz w:val="20"/>
                <w:szCs w:val="20"/>
              </w:rPr>
              <w:t>R$ 9485,81</w:t>
            </w:r>
          </w:p>
        </w:tc>
      </w:tr>
      <w:tr>
        <w:trPr/>
        <w:tc>
          <w:tcPr>
            <w:tcW w:w="427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jc w:val="center"/>
              <w:rPr>
                <w:sz w:val="20"/>
                <w:szCs w:val="20"/>
              </w:rPr>
            </w:pPr>
            <w:r>
              <w:rPr>
                <w:sz w:val="20"/>
                <w:szCs w:val="20"/>
              </w:rPr>
              <w:t>H</w:t>
            </w:r>
          </w:p>
        </w:tc>
        <w:tc>
          <w:tcPr>
            <w:tcW w:w="4725" w:type="dxa"/>
            <w:tcBorders>
              <w:top w:val="single" w:sz="8" w:space="0" w:color="000000"/>
              <w:start w:val="single" w:sz="8" w:space="0" w:color="000000"/>
              <w:bottom w:val="single" w:sz="8" w:space="0" w:color="000000"/>
              <w:end w:val="single" w:sz="8" w:space="0" w:color="000000"/>
            </w:tcBorders>
            <w:shd w:color="auto" w:fill="auto" w:val="clear"/>
          </w:tcPr>
          <w:p>
            <w:pPr>
              <w:pStyle w:val="Normal"/>
              <w:widowControl w:val="false"/>
              <w:pBdr/>
              <w:spacing w:lineRule="auto" w:line="360" w:before="0" w:after="14"/>
              <w:rPr>
                <w:sz w:val="20"/>
                <w:szCs w:val="20"/>
              </w:rPr>
            </w:pPr>
            <w:r>
              <w:rPr>
                <w:sz w:val="20"/>
                <w:szCs w:val="20"/>
              </w:rPr>
              <w:t>Foi desconsiderado.</w:t>
            </w:r>
          </w:p>
        </w:tc>
      </w:tr>
    </w:tbl>
    <w:p>
      <w:pPr>
        <w:pStyle w:val="Normal"/>
        <w:spacing w:lineRule="auto" w:line="360"/>
        <w:ind w:firstLine="10" w:start="120" w:end="3"/>
        <w:rPr/>
      </w:pPr>
      <w:r>
        <w:rPr/>
        <w:t xml:space="preserve">     </w:t>
      </w:r>
      <w:r>
        <w:rPr/>
        <w:tab/>
        <w:t>A partir dessa informação, foi possível então traçar o mapa coroplético classificando A como 0%, G como 100% e os níveis intermediários proporcionais a essa variação.</w:t>
      </w:r>
    </w:p>
    <w:p>
      <w:pPr>
        <w:pStyle w:val="Normal"/>
        <w:spacing w:lineRule="auto" w:line="360"/>
        <w:ind w:firstLine="720" w:start="130" w:end="3"/>
        <w:rPr>
          <w:szCs w:val="24"/>
        </w:rPr>
      </w:pPr>
      <w:r>
        <w:rPr>
          <w:szCs w:val="24"/>
        </w:rPr>
        <w:t>Note que assim como no mapa Renda Média dos Participantes (ENEM 2021), neste também mapeamos o item Q (renda mensal acima de R$ 22.000,00) para R$ 26.000,00.</w:t>
      </w:r>
    </w:p>
    <w:p>
      <w:pPr>
        <w:pStyle w:val="Heading2"/>
        <w:spacing w:beforeAutospacing="0" w:before="240" w:after="14"/>
        <w:ind w:firstLine="770" w:start="130" w:end="3"/>
        <w:rPr/>
      </w:pPr>
      <w:r>
        <w:rPr/>
        <w:t>5.4. Acesso à Internet, Computador e Celular (ENEM 2021) vs. PIB Total por Estado</w:t>
      </w:r>
    </w:p>
    <w:p>
      <w:pPr>
        <w:pStyle w:val="Normal"/>
        <w:spacing w:lineRule="auto" w:line="360"/>
        <w:rPr>
          <w:szCs w:val="24"/>
        </w:rPr>
      </w:pPr>
      <w:r>
        <w:rPr/>
        <w:drawing>
          <wp:inline distT="0" distB="0" distL="0" distR="0">
            <wp:extent cx="5731510" cy="2641600"/>
            <wp:effectExtent l="0" t="0" r="0" b="0"/>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pic:cNvPicPr>
                      <a:picLocks noChangeAspect="1" noChangeArrowheads="1"/>
                    </pic:cNvPicPr>
                  </pic:nvPicPr>
                  <pic:blipFill>
                    <a:blip r:embed="rId18"/>
                    <a:stretch>
                      <a:fillRect/>
                    </a:stretch>
                  </pic:blipFill>
                  <pic:spPr bwMode="auto">
                    <a:xfrm>
                      <a:off x="0" y="0"/>
                      <a:ext cx="5731510" cy="2641600"/>
                    </a:xfrm>
                    <a:prstGeom prst="rect">
                      <a:avLst/>
                    </a:prstGeom>
                    <a:noFill/>
                  </pic:spPr>
                </pic:pic>
              </a:graphicData>
            </a:graphic>
          </wp:inline>
        </w:drawing>
      </w:r>
    </w:p>
    <w:p>
      <w:pPr>
        <w:pStyle w:val="Normal"/>
        <w:spacing w:lineRule="auto" w:line="360"/>
        <w:ind w:firstLine="720" w:start="130" w:end="3"/>
        <w:rPr>
          <w:szCs w:val="24"/>
        </w:rPr>
      </w:pPr>
      <w:r>
        <w:rPr>
          <w:szCs w:val="24"/>
        </w:rPr>
        <w:t>Observa-se novamente a tendência de áreas mais claras na região Sul e Sudeste e áreas mais escuras no Norte do país. O Amazonas, que apresentou a menor nota média, também possui o menor percentual de acesso a essas ferramentas básicas para o estudo. O ENEM não disponibiliza dados sobre acesso a livros didáticos para que pudéssemos incluí-lo no mapa. A distribuição destes acessos apresenta um gradiente semelhante ao do PIB total, com São Paulo em evidência.</w:t>
      </w:r>
    </w:p>
    <w:p>
      <w:pPr>
        <w:pStyle w:val="Heading2"/>
        <w:spacing w:lineRule="auto" w:line="360"/>
        <w:ind w:firstLine="680" w:start="130" w:end="3"/>
        <w:rPr/>
      </w:pPr>
      <w:r>
        <w:rPr/>
        <w:t>5.5. Distribuição dos Participantes por estado (ENEM 2021)</w:t>
      </w:r>
    </w:p>
    <w:p>
      <w:pPr>
        <w:pStyle w:val="Normal"/>
        <w:spacing w:lineRule="auto" w:line="360"/>
        <w:rPr>
          <w:szCs w:val="24"/>
        </w:rPr>
      </w:pPr>
      <w:r>
        <w:rPr/>
        <w:drawing>
          <wp:inline distT="0" distB="0" distL="0" distR="0">
            <wp:extent cx="5731510" cy="2654300"/>
            <wp:effectExtent l="0" t="0" r="0" b="0"/>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a:picLocks noChangeAspect="1" noChangeArrowheads="1"/>
                    </pic:cNvPicPr>
                  </pic:nvPicPr>
                  <pic:blipFill>
                    <a:blip r:embed="rId19"/>
                    <a:stretch>
                      <a:fillRect/>
                    </a:stretch>
                  </pic:blipFill>
                  <pic:spPr bwMode="auto">
                    <a:xfrm>
                      <a:off x="0" y="0"/>
                      <a:ext cx="5731510" cy="2654300"/>
                    </a:xfrm>
                    <a:prstGeom prst="rect">
                      <a:avLst/>
                    </a:prstGeom>
                    <a:noFill/>
                  </pic:spPr>
                </pic:pic>
              </a:graphicData>
            </a:graphic>
          </wp:inline>
        </w:drawing>
      </w:r>
    </w:p>
    <w:p>
      <w:pPr>
        <w:pStyle w:val="Normal"/>
        <w:spacing w:lineRule="auto" w:line="360"/>
        <w:ind w:firstLine="720" w:start="130" w:end="3"/>
        <w:rPr>
          <w:szCs w:val="24"/>
        </w:rPr>
      </w:pPr>
      <w:r>
        <w:rPr>
          <w:szCs w:val="24"/>
        </w:rPr>
        <w:t>Este mapa traz uma informação importante para compreender estados como Roraima: apesar de seu PIB ser menor ao do Amazonas, os valores em todos os mapas analisados são consideravelmente próximos aos encontrados nos estados do Centro-Oeste. Observe que Roraima é um dos estados com menor participação no ENEM, cerca de 8 mil inscritos, isso é compatível com sua população de aproximadamente 652 mil habitantes em 2021, número próximo à população da cidade de Contagem em 2022, aproximadamente 621 mil habitantes. Outros estados como o Distrito Federal também apresentam situação semelhante.</w:t>
      </w:r>
    </w:p>
    <w:p>
      <w:pPr>
        <w:pStyle w:val="Normal"/>
        <w:spacing w:lineRule="auto" w:line="360"/>
        <w:ind w:firstLine="720" w:start="130" w:end="3"/>
        <w:rPr>
          <w:szCs w:val="24"/>
        </w:rPr>
      </w:pPr>
      <w:r>
        <w:rPr>
          <w:szCs w:val="24"/>
        </w:rPr>
        <w:t>Por outro lado, São Paulo, com uma população estimada em 46,6 milhões em 2021, registrou o maior número de participantes, cerca de 510 mil.</w:t>
      </w:r>
    </w:p>
    <w:p>
      <w:pPr>
        <w:pStyle w:val="Heading2"/>
        <w:spacing w:lineRule="auto" w:line="360"/>
        <w:ind w:firstLine="770" w:start="130" w:end="3"/>
        <w:rPr/>
      </w:pPr>
      <w:r>
        <w:rPr/>
        <w:t>5.6. Conclusão</w:t>
      </w:r>
    </w:p>
    <w:p>
      <w:pPr>
        <w:pStyle w:val="Normal"/>
        <w:spacing w:lineRule="auto" w:line="360"/>
        <w:ind w:firstLine="720" w:start="130" w:end="3"/>
        <w:rPr>
          <w:szCs w:val="24"/>
        </w:rPr>
      </w:pPr>
      <w:r>
        <w:rPr>
          <w:szCs w:val="24"/>
        </w:rPr>
        <w:t>Os mapas sugerem uma forte correlação entre o PIB dos estados brasileiros e os resultados do ENEM em 2021. Estados com maior PIB apresentam fatores favoráveis às médias de notas mais altas, como maior renda familiar, melhor escolaridade dos pais e maior acesso a tecnologias básicas para estudo.</w:t>
      </w:r>
    </w:p>
    <w:p>
      <w:pPr>
        <w:pStyle w:val="Normal"/>
        <w:spacing w:lineRule="auto" w:line="360"/>
        <w:ind w:firstLine="720" w:start="130" w:end="3"/>
        <w:rPr>
          <w:szCs w:val="24"/>
        </w:rPr>
      </w:pPr>
      <w:r>
        <w:rPr>
          <w:szCs w:val="24"/>
        </w:rPr>
        <w:t>Apesar disso, os mapas não respondem com clareza questões relevantes para conclusão da análise. Como se pais com maior nível de escolaridade incentivam mais os estudos dos filhos ou quais seriam os obstáculos para famílias com menor escolaridade. Poderia ser a renda familiar limitada, a falta de acesso a dispositivos tecnológicos ou à internet, ou mesmo outros fatores não disponíveis nos dados, como acesso a livros didáticos e qualidade das estruturas públicas como escolas e bibliotecas.</w:t>
      </w:r>
    </w:p>
    <w:p>
      <w:pPr>
        <w:pStyle w:val="Normal"/>
        <w:spacing w:lineRule="auto" w:line="360" w:before="0" w:after="99"/>
        <w:ind w:firstLine="720" w:start="130" w:end="3"/>
        <w:rPr/>
      </w:pPr>
      <w:r>
        <w:rPr/>
        <w:t>Uma possível interpretação para o que se observa é que menor escolaridade tende a associar-se a uma menor renda familiar mensal, dificultando a compra de computadores e celulares, e a assinatura de um plano de internet. Pode-se considerar também, apesar de estar fora dos dados analisados, que o acesso a livros didáticos também é prejudicado pela ausência de internet para uso de plataformas que os disponibilizam e a impossibilidade financeira de comprá-los. Essas variáveis se combinam para traçar a situação que vemos no mapa Nota Média Geral (ENEM 2021).</w:t>
      </w:r>
    </w:p>
    <w:p>
      <w:pPr>
        <w:pStyle w:val="Heading1"/>
        <w:numPr>
          <w:ilvl w:val="0"/>
          <w:numId w:val="0"/>
        </w:numPr>
        <w:spacing w:beforeAutospacing="0" w:before="240" w:after="52"/>
        <w:ind w:hanging="0" w:start="705"/>
        <w:rPr/>
      </w:pPr>
      <w:r>
        <w:rPr/>
        <w:t>6. Análise dos dados utilizando gráficos</w:t>
      </w:r>
    </w:p>
    <w:p>
      <w:pPr>
        <w:pStyle w:val="Heading2"/>
        <w:rPr/>
      </w:pPr>
      <w:r>
        <w:rPr/>
        <w:t xml:space="preserve">  </w:t>
      </w:r>
      <w:r>
        <w:rPr/>
        <w:tab/>
        <w:t>6.1. Participantes</w:t>
      </w:r>
    </w:p>
    <w:p>
      <w:pPr>
        <w:pStyle w:val="Normal"/>
        <w:spacing w:lineRule="auto" w:line="360"/>
        <w:rPr/>
      </w:pPr>
      <w:r>
        <w:rPr/>
        <w:tab/>
        <w:t>Devido a pandemia, o ENEM 2021 teve a menor participação em mais de uma década. Com apenas 2.378.379 participantes no primeiro dia, e 2.245.844 participantes no segundo dia.</w:t>
      </w:r>
    </w:p>
    <w:p>
      <w:pPr>
        <w:pStyle w:val="Normal"/>
        <w:rPr/>
      </w:pPr>
      <w:r>
        <w:drawing>
          <wp:anchor behindDoc="0" distT="0" distB="0" distL="0" distR="0" simplePos="0" locked="0" layoutInCell="0" allowOverlap="1" relativeHeight="8">
            <wp:simplePos x="0" y="0"/>
            <wp:positionH relativeFrom="column">
              <wp:align>center</wp:align>
            </wp:positionH>
            <wp:positionV relativeFrom="paragraph">
              <wp:posOffset>85725</wp:posOffset>
            </wp:positionV>
            <wp:extent cx="2459355" cy="2459355"/>
            <wp:effectExtent l="0" t="0" r="0" b="0"/>
            <wp:wrapTopAndBottom/>
            <wp:docPr id="7"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1"/>
                    <pic:cNvPicPr>
                      <a:picLocks noChangeAspect="1" noChangeArrowheads="1"/>
                    </pic:cNvPicPr>
                  </pic:nvPicPr>
                  <pic:blipFill>
                    <a:blip r:embed="rId20"/>
                    <a:stretch>
                      <a:fillRect/>
                    </a:stretch>
                  </pic:blipFill>
                  <pic:spPr bwMode="auto">
                    <a:xfrm>
                      <a:off x="0" y="0"/>
                      <a:ext cx="2459355" cy="2459355"/>
                    </a:xfrm>
                    <a:prstGeom prst="rect">
                      <a:avLst/>
                    </a:prstGeom>
                    <a:noFill/>
                  </pic:spPr>
                </pic:pic>
              </a:graphicData>
            </a:graphic>
          </wp:anchor>
        </w:drawing>
      </w:r>
      <w:r>
        <w:rPr/>
        <w:softHyphen/>
      </w:r>
    </w:p>
    <w:p>
      <w:pPr>
        <w:pStyle w:val="Normal"/>
        <w:spacing w:lineRule="auto" w:line="360"/>
        <w:rPr/>
      </w:pPr>
      <w:r>
        <w:rPr/>
        <w:tab/>
        <w:t>O número de participantes foi distribuído nas seguintes faixas etárias:</w:t>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00040" cy="2700020"/>
            <wp:effectExtent l="0" t="0" r="0" b="0"/>
            <wp:wrapTopAndBottom/>
            <wp:docPr id="8"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2"/>
                    <pic:cNvPicPr>
                      <a:picLocks noChangeAspect="1" noChangeArrowheads="1"/>
                    </pic:cNvPicPr>
                  </pic:nvPicPr>
                  <pic:blipFill>
                    <a:blip r:embed="rId21"/>
                    <a:stretch>
                      <a:fillRect/>
                    </a:stretch>
                  </pic:blipFill>
                  <pic:spPr bwMode="auto">
                    <a:xfrm>
                      <a:off x="0" y="0"/>
                      <a:ext cx="5400040" cy="2700020"/>
                    </a:xfrm>
                    <a:prstGeom prst="rect">
                      <a:avLst/>
                    </a:prstGeom>
                    <a:noFill/>
                  </pic:spPr>
                </pic:pic>
              </a:graphicData>
            </a:graphic>
          </wp:anchor>
        </w:drawing>
      </w:r>
    </w:p>
    <w:p>
      <w:pPr>
        <w:pStyle w:val="Normal"/>
        <w:rPr/>
      </w:pPr>
      <w:r>
        <w:rPr/>
        <w:t>______________________________________________________________________</w:t>
      </w:r>
    </w:p>
    <w:p>
      <w:pPr>
        <w:pStyle w:val="Heading2"/>
        <w:spacing w:beforeAutospacing="0" w:before="240" w:after="14"/>
        <w:ind w:firstLine="770" w:start="130" w:end="3"/>
        <w:rPr/>
      </w:pPr>
      <w:r>
        <w:rPr/>
        <w:t>6.2. Nota Média Geral (ENEM 2021) vs. PIB per Capita por Município</w:t>
      </w:r>
    </w:p>
    <w:p>
      <w:pPr>
        <w:pStyle w:val="Normal"/>
        <w:spacing w:lineRule="auto" w:line="360"/>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00040" cy="3239770"/>
            <wp:effectExtent l="0" t="0" r="0" b="0"/>
            <wp:wrapTopAndBottom/>
            <wp:docPr id="9"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3"/>
                    <pic:cNvPicPr>
                      <a:picLocks noChangeAspect="1" noChangeArrowheads="1"/>
                    </pic:cNvPicPr>
                  </pic:nvPicPr>
                  <pic:blipFill>
                    <a:blip r:embed="rId22"/>
                    <a:stretch>
                      <a:fillRect/>
                    </a:stretch>
                  </pic:blipFill>
                  <pic:spPr bwMode="auto">
                    <a:xfrm>
                      <a:off x="0" y="0"/>
                      <a:ext cx="5400040" cy="3239770"/>
                    </a:xfrm>
                    <a:prstGeom prst="rect">
                      <a:avLst/>
                    </a:prstGeom>
                    <a:noFill/>
                  </pic:spPr>
                </pic:pic>
              </a:graphicData>
            </a:graphic>
          </wp:anchor>
        </w:drawing>
      </w:r>
    </w:p>
    <w:p>
      <w:pPr>
        <w:pStyle w:val="Normal"/>
        <w:spacing w:lineRule="auto" w:line="360"/>
        <w:rPr/>
      </w:pPr>
      <w:r>
        <w:rPr/>
        <w:tab/>
        <w:t xml:space="preserve">A análise do gráfico de dispersão revela que o PIB per capita exerce uma influência positiva, porém limitada e não linear, sobre a nota do ENEM. A linha de tendência ascendente confirma que, municípios com maior poder econômico tendem a ter médias mais altas, pois a arrecadação favorece a infraestrutura básica escolar e urbana. No entanto, o gráfico demonstra que o dinheiro atua mais na elevação do "piso" (evitando notas muito baixas) do que na garantia do "teto". Isso fica evidente na grande dispersão vertical observada nos municípios de menor renda (lado esquerdo), onde locais com o mesmo orçamento apresentam resultados diferentes, provando que outros fatores também exercem influência. </w:t>
      </w:r>
    </w:p>
    <w:p>
      <w:pPr>
        <w:pStyle w:val="Normal"/>
        <w:spacing w:lineRule="auto" w:line="360"/>
        <w:rPr/>
      </w:pPr>
      <w:r>
        <w:rPr/>
        <w:tab/>
        <w:t>Além disso, é possível notar que municípios "super-ricos" (outliers) não alcançam necessariamente as maiores notas do país, indicando que, após certo patamar de desenvolvimento econômico, o acréscimo de riqueza bruta deixa de se traduzir em ganho pedagógico real. Portanto, o PIB influencia criando as condições materiais necessárias, mas não é o fator determinante para o sucesso acadêmico.</w:t>
      </w:r>
    </w:p>
    <w:p>
      <w:pPr>
        <w:pStyle w:val="Heading2"/>
        <w:ind w:firstLine="770" w:start="130" w:end="3"/>
        <w:rPr>
          <w:b/>
          <w:bCs/>
        </w:rPr>
      </w:pPr>
      <w:r>
        <w:rPr/>
        <w:t>6.3. Acesso tecnológico vs PIB per capita</w:t>
      </w:r>
    </w:p>
    <w:p>
      <w:pPr>
        <w:pStyle w:val="Normal"/>
        <w:spacing w:lineRule="auto" w:line="360"/>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400040" cy="3599815"/>
            <wp:effectExtent l="0" t="0" r="0" b="0"/>
            <wp:wrapSquare wrapText="right"/>
            <wp:docPr id="10"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4"/>
                    <pic:cNvPicPr>
                      <a:picLocks noChangeAspect="1" noChangeArrowheads="1"/>
                    </pic:cNvPicPr>
                  </pic:nvPicPr>
                  <pic:blipFill>
                    <a:blip r:embed="rId23"/>
                    <a:stretch>
                      <a:fillRect/>
                    </a:stretch>
                  </pic:blipFill>
                  <pic:spPr bwMode="auto">
                    <a:xfrm>
                      <a:off x="0" y="0"/>
                      <a:ext cx="5400040" cy="3599815"/>
                    </a:xfrm>
                    <a:prstGeom prst="rect">
                      <a:avLst/>
                    </a:prstGeom>
                    <a:noFill/>
                  </pic:spPr>
                </pic:pic>
              </a:graphicData>
            </a:graphic>
          </wp:anchor>
        </w:drawing>
      </w:r>
      <w:r>
        <w:rPr/>
        <w:tab/>
        <w:t>Para mensurar a infraestrutura digital dos participantes do ENEM em cada município, foi desenvolvido um indicador composto, denominado "Índice de Acesso Tecnológico". Este índice varia de 0 a 100 e unifica três dimensões da conectividade: acesso à internet, posse de computadores e posse de telefones celulares.</w:t>
      </w:r>
    </w:p>
    <w:p>
      <w:pPr>
        <w:pStyle w:val="Normal"/>
        <w:numPr>
          <w:ilvl w:val="0"/>
          <w:numId w:val="3"/>
        </w:numPr>
        <w:suppressAutoHyphens w:val="true"/>
        <w:spacing w:lineRule="auto" w:line="360" w:before="0" w:after="160"/>
        <w:ind w:hanging="360" w:start="720" w:end="0"/>
        <w:rPr/>
      </w:pPr>
      <w:r>
        <w:rPr>
          <w:i/>
          <w:iCs/>
        </w:rPr>
        <w:t>Normalização dos Dados</w:t>
      </w:r>
      <w:r>
        <w:rPr/>
        <w:t>: Como os dados originais do questionário socioeconômico são categóricos (de A a E), foi aplicada uma conversão para transformar essas respostas em valores numéricos lineares.</w:t>
      </w:r>
    </w:p>
    <w:tbl>
      <w:tblPr>
        <w:tblW w:w="9648" w:type="dxa"/>
        <w:jc w:val="start"/>
        <w:tblInd w:w="0" w:type="dxa"/>
        <w:tblLayout w:type="fixed"/>
        <w:tblCellMar>
          <w:top w:w="28" w:type="dxa"/>
          <w:start w:w="28" w:type="dxa"/>
          <w:bottom w:w="28" w:type="dxa"/>
          <w:end w:w="28" w:type="dxa"/>
        </w:tblCellMar>
        <w:tblLook w:val="0000" w:noHBand="0" w:noVBand="0" w:firstColumn="0" w:lastRow="0" w:lastColumn="0" w:firstRow="0"/>
      </w:tblPr>
      <w:tblGrid>
        <w:gridCol w:w="2987"/>
        <w:gridCol w:w="1669"/>
        <w:gridCol w:w="2087"/>
        <w:gridCol w:w="2905"/>
      </w:tblGrid>
      <w:tr>
        <w:trPr>
          <w:tblHeader w:val="true"/>
        </w:trPr>
        <w:tc>
          <w:tcPr>
            <w:tcW w:w="2987"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rStyle w:val="Strong"/>
              </w:rPr>
              <w:t>Item Avaliado</w:t>
            </w:r>
          </w:p>
        </w:tc>
        <w:tc>
          <w:tcPr>
            <w:tcW w:w="1669"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rStyle w:val="Strong"/>
              </w:rPr>
              <w:t>Questionário</w:t>
            </w:r>
          </w:p>
        </w:tc>
        <w:tc>
          <w:tcPr>
            <w:tcW w:w="2087"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rStyle w:val="Strong"/>
              </w:rPr>
              <w:t>Significado</w:t>
            </w:r>
          </w:p>
        </w:tc>
        <w:tc>
          <w:tcPr>
            <w:tcW w:w="2905" w:type="dxa"/>
            <w:tcBorders>
              <w:top w:val="single" w:sz="2" w:space="0" w:color="000000"/>
              <w:start w:val="single" w:sz="2" w:space="0" w:color="000000"/>
              <w:bottom w:val="single" w:sz="2" w:space="0" w:color="000000"/>
              <w:end w:val="single" w:sz="2" w:space="0" w:color="000000"/>
            </w:tcBorders>
            <w:vAlign w:val="center"/>
          </w:tcPr>
          <w:p>
            <w:pPr>
              <w:pStyle w:val="Contedodatabela"/>
              <w:spacing w:lineRule="auto" w:line="271" w:before="0" w:after="0"/>
              <w:rPr/>
            </w:pPr>
            <w:r>
              <w:rPr>
                <w:rStyle w:val="Strong"/>
                <w:rFonts w:ascii="Google Sans Text;sans-serif" w:hAnsi="Google Sans Text;sans-serif"/>
              </w:rPr>
              <w:t>Valor Atribuído (Pontos)</w:t>
            </w:r>
          </w:p>
        </w:tc>
      </w:tr>
      <w:tr>
        <w:trPr/>
        <w:tc>
          <w:tcPr>
            <w:tcW w:w="2987" w:type="dxa"/>
            <w:vMerge w:val="restart"/>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Internet</w:t>
            </w:r>
          </w:p>
        </w:tc>
        <w:tc>
          <w:tcPr>
            <w:tcW w:w="1669"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A</w:t>
            </w:r>
          </w:p>
        </w:tc>
        <w:tc>
          <w:tcPr>
            <w:tcW w:w="2087"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Não tem</w:t>
            </w:r>
          </w:p>
        </w:tc>
        <w:tc>
          <w:tcPr>
            <w:tcW w:w="2905"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0</w:t>
            </w:r>
          </w:p>
        </w:tc>
      </w:tr>
      <w:tr>
        <w:trPr>
          <w:trHeight w:val="372" w:hRule="atLeast"/>
        </w:trPr>
        <w:tc>
          <w:tcPr>
            <w:tcW w:w="2987" w:type="dxa"/>
            <w:vMerge w:val="continue"/>
            <w:tcBorders>
              <w:top w:val="single" w:sz="2" w:space="0" w:color="000000"/>
              <w:start w:val="single" w:sz="2" w:space="0" w:color="000000"/>
              <w:bottom w:val="single" w:sz="2" w:space="0" w:color="000000"/>
              <w:end w:val="single" w:sz="2" w:space="0" w:color="000000"/>
            </w:tcBorders>
            <w:vAlign w:val="center"/>
          </w:tcPr>
          <w:p>
            <w:pPr>
              <w:pStyle w:val="Contedodatabela"/>
              <w:spacing w:before="0" w:after="160"/>
              <w:rPr>
                <w:rFonts w:ascii="Times New Roman" w:hAnsi="Times New Roman" w:cs="Times New Roman"/>
              </w:rPr>
            </w:pPr>
            <w:r>
              <w:rPr>
                <w:rFonts w:cs="Times New Roman" w:ascii="Times New Roman" w:hAnsi="Times New Roman"/>
              </w:rPr>
            </w:r>
          </w:p>
        </w:tc>
        <w:tc>
          <w:tcPr>
            <w:tcW w:w="1669"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B</w:t>
            </w:r>
          </w:p>
        </w:tc>
        <w:tc>
          <w:tcPr>
            <w:tcW w:w="2087"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Tem</w:t>
            </w:r>
          </w:p>
        </w:tc>
        <w:tc>
          <w:tcPr>
            <w:tcW w:w="2905"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100</w:t>
            </w:r>
          </w:p>
        </w:tc>
      </w:tr>
      <w:tr>
        <w:trPr/>
        <w:tc>
          <w:tcPr>
            <w:tcW w:w="2987" w:type="dxa"/>
            <w:vMerge w:val="restart"/>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Computador / Celular</w:t>
            </w:r>
          </w:p>
        </w:tc>
        <w:tc>
          <w:tcPr>
            <w:tcW w:w="1669"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A</w:t>
            </w:r>
          </w:p>
        </w:tc>
        <w:tc>
          <w:tcPr>
            <w:tcW w:w="2087"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Não tem</w:t>
            </w:r>
          </w:p>
        </w:tc>
        <w:tc>
          <w:tcPr>
            <w:tcW w:w="2905"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0</w:t>
            </w:r>
          </w:p>
        </w:tc>
      </w:tr>
      <w:tr>
        <w:trPr/>
        <w:tc>
          <w:tcPr>
            <w:tcW w:w="2987" w:type="dxa"/>
            <w:vMerge w:val="continue"/>
            <w:tcBorders>
              <w:top w:val="single" w:sz="2" w:space="0" w:color="000000"/>
              <w:start w:val="single" w:sz="2" w:space="0" w:color="000000"/>
              <w:bottom w:val="single" w:sz="2" w:space="0" w:color="000000"/>
              <w:end w:val="single" w:sz="2" w:space="0" w:color="000000"/>
            </w:tcBorders>
            <w:vAlign w:val="center"/>
          </w:tcPr>
          <w:p>
            <w:pPr>
              <w:pStyle w:val="Contedodatabela"/>
              <w:spacing w:lineRule="auto" w:line="271" w:before="0" w:after="140"/>
              <w:rPr>
                <w:rFonts w:ascii="Times New Roman" w:hAnsi="Times New Roman" w:cs="Times New Roman"/>
              </w:rPr>
            </w:pPr>
            <w:r>
              <w:rPr>
                <w:rFonts w:cs="Times New Roman" w:ascii="Times New Roman" w:hAnsi="Times New Roman"/>
              </w:rPr>
            </w:r>
          </w:p>
        </w:tc>
        <w:tc>
          <w:tcPr>
            <w:tcW w:w="1669"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B</w:t>
            </w:r>
          </w:p>
        </w:tc>
        <w:tc>
          <w:tcPr>
            <w:tcW w:w="2087"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Um aparelho</w:t>
            </w:r>
          </w:p>
        </w:tc>
        <w:tc>
          <w:tcPr>
            <w:tcW w:w="2905"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25</w:t>
            </w:r>
          </w:p>
        </w:tc>
      </w:tr>
      <w:tr>
        <w:trPr/>
        <w:tc>
          <w:tcPr>
            <w:tcW w:w="2987" w:type="dxa"/>
            <w:vMerge w:val="continue"/>
            <w:tcBorders>
              <w:top w:val="single" w:sz="2" w:space="0" w:color="000000"/>
              <w:start w:val="single" w:sz="2" w:space="0" w:color="000000"/>
              <w:bottom w:val="single" w:sz="2" w:space="0" w:color="000000"/>
              <w:end w:val="single" w:sz="2" w:space="0" w:color="000000"/>
            </w:tcBorders>
            <w:vAlign w:val="center"/>
          </w:tcPr>
          <w:p>
            <w:pPr>
              <w:pStyle w:val="Contedodatabela"/>
              <w:spacing w:before="0" w:after="160"/>
              <w:rPr>
                <w:rFonts w:ascii="Times New Roman" w:hAnsi="Times New Roman" w:cs="Times New Roman"/>
              </w:rPr>
            </w:pPr>
            <w:r>
              <w:rPr>
                <w:rFonts w:cs="Times New Roman" w:ascii="Times New Roman" w:hAnsi="Times New Roman"/>
              </w:rPr>
            </w:r>
          </w:p>
        </w:tc>
        <w:tc>
          <w:tcPr>
            <w:tcW w:w="1669"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C</w:t>
            </w:r>
          </w:p>
        </w:tc>
        <w:tc>
          <w:tcPr>
            <w:tcW w:w="2087"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Dois aparelhos</w:t>
            </w:r>
          </w:p>
        </w:tc>
        <w:tc>
          <w:tcPr>
            <w:tcW w:w="2905"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50</w:t>
            </w:r>
          </w:p>
        </w:tc>
      </w:tr>
      <w:tr>
        <w:trPr/>
        <w:tc>
          <w:tcPr>
            <w:tcW w:w="2987" w:type="dxa"/>
            <w:vMerge w:val="continue"/>
            <w:tcBorders>
              <w:top w:val="single" w:sz="2" w:space="0" w:color="000000"/>
              <w:start w:val="single" w:sz="2" w:space="0" w:color="000000"/>
              <w:bottom w:val="single" w:sz="2" w:space="0" w:color="000000"/>
              <w:end w:val="single" w:sz="2" w:space="0" w:color="000000"/>
            </w:tcBorders>
            <w:vAlign w:val="center"/>
          </w:tcPr>
          <w:p>
            <w:pPr>
              <w:pStyle w:val="Contedodatabela"/>
              <w:spacing w:before="0" w:after="160"/>
              <w:rPr>
                <w:rFonts w:ascii="Times New Roman" w:hAnsi="Times New Roman" w:cs="Times New Roman"/>
              </w:rPr>
            </w:pPr>
            <w:r>
              <w:rPr>
                <w:rFonts w:cs="Times New Roman" w:ascii="Times New Roman" w:hAnsi="Times New Roman"/>
              </w:rPr>
            </w:r>
          </w:p>
        </w:tc>
        <w:tc>
          <w:tcPr>
            <w:tcW w:w="1669"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D</w:t>
            </w:r>
          </w:p>
        </w:tc>
        <w:tc>
          <w:tcPr>
            <w:tcW w:w="2087"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Três aparelhos</w:t>
            </w:r>
          </w:p>
        </w:tc>
        <w:tc>
          <w:tcPr>
            <w:tcW w:w="2905"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75</w:t>
            </w:r>
          </w:p>
        </w:tc>
      </w:tr>
      <w:tr>
        <w:trPr/>
        <w:tc>
          <w:tcPr>
            <w:tcW w:w="2987" w:type="dxa"/>
            <w:vMerge w:val="continue"/>
            <w:tcBorders>
              <w:top w:val="single" w:sz="2" w:space="0" w:color="000000"/>
              <w:start w:val="single" w:sz="2" w:space="0" w:color="000000"/>
              <w:bottom w:val="single" w:sz="2" w:space="0" w:color="000000"/>
              <w:end w:val="single" w:sz="2" w:space="0" w:color="000000"/>
            </w:tcBorders>
            <w:vAlign w:val="center"/>
          </w:tcPr>
          <w:p>
            <w:pPr>
              <w:pStyle w:val="Contedodatabela"/>
              <w:spacing w:before="0" w:after="160"/>
              <w:rPr>
                <w:sz w:val="4"/>
                <w:szCs w:val="4"/>
              </w:rPr>
            </w:pPr>
            <w:r>
              <w:rPr>
                <w:sz w:val="4"/>
                <w:szCs w:val="4"/>
              </w:rPr>
            </w:r>
          </w:p>
        </w:tc>
        <w:tc>
          <w:tcPr>
            <w:tcW w:w="1669"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E</w:t>
            </w:r>
          </w:p>
        </w:tc>
        <w:tc>
          <w:tcPr>
            <w:tcW w:w="2087"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Quatro ou mais</w:t>
            </w:r>
          </w:p>
        </w:tc>
        <w:tc>
          <w:tcPr>
            <w:tcW w:w="2905" w:type="dxa"/>
            <w:tcBorders>
              <w:top w:val="single" w:sz="2" w:space="0" w:color="000000"/>
              <w:start w:val="single" w:sz="2" w:space="0" w:color="000000"/>
              <w:bottom w:val="single" w:sz="2" w:space="0" w:color="000000"/>
              <w:end w:val="single" w:sz="2" w:space="0" w:color="000000"/>
            </w:tcBorders>
            <w:vAlign w:val="center"/>
          </w:tcPr>
          <w:p>
            <w:pPr>
              <w:pStyle w:val="Normal"/>
              <w:widowControl/>
              <w:bidi w:val="0"/>
              <w:spacing w:lineRule="auto" w:line="250" w:before="0" w:after="14"/>
              <w:ind w:hanging="10" w:start="130" w:end="3"/>
              <w:jc w:val="both"/>
              <w:rPr/>
            </w:pPr>
            <w:r>
              <w:rPr/>
              <w:t>100</w:t>
            </w:r>
          </w:p>
        </w:tc>
      </w:tr>
    </w:tbl>
    <w:p>
      <w:pPr>
        <w:pStyle w:val="Normal"/>
        <w:numPr>
          <w:ilvl w:val="0"/>
          <w:numId w:val="3"/>
        </w:numPr>
        <w:suppressAutoHyphens w:val="true"/>
        <w:spacing w:lineRule="auto" w:line="360" w:before="0" w:after="160"/>
        <w:ind w:hanging="360" w:start="720" w:end="0"/>
        <w:rPr/>
      </w:pPr>
      <w:r>
        <w:rPr>
          <w:i/>
          <w:iCs/>
        </w:rPr>
        <w:t>Cálculo do Índice Municipal</w:t>
      </w:r>
      <w:r>
        <w:rPr/>
        <w:t>: Após a conversão individual de cada aluno, calculou-se a média aritmética das três dimensões para cada município.</w:t>
      </w:r>
    </w:p>
    <w:p>
      <w:pPr>
        <w:pStyle w:val="Normal"/>
        <w:spacing w:lineRule="auto" w:line="360"/>
        <w:ind w:hanging="10" w:start="720" w:end="3"/>
        <w:jc w:val="start"/>
        <w:rPr/>
      </w:pPr>
      <w:r>
        <w:rPr/>
      </w:r>
      <m:oMathPara xmlns:m="http://schemas.openxmlformats.org/officeDocument/2006/math">
        <m:oMathParaPr>
          <m:jc m:val="left"/>
        </m:oMathParaPr>
        <m:oMath>
          <m:r>
            <m:t xml:space="preserve">Índice</m:t>
          </m:r>
          <m:r>
            <m:rPr>
              <m:lit/>
              <m:nor/>
            </m:rPr>
            <m:t xml:space="preserve">=</m:t>
          </m:r>
          <m:f>
            <m:num>
              <m:r>
                <m:t xml:space="preserve">Internet</m:t>
              </m:r>
              <m:r>
                <m:rPr>
                  <m:lit/>
                  <m:nor/>
                </m:rPr>
                <m:t xml:space="preserve">+</m:t>
              </m:r>
              <m:r>
                <m:t xml:space="preserve">Computador</m:t>
              </m:r>
              <m:r>
                <m:rPr>
                  <m:lit/>
                  <m:nor/>
                </m:rPr>
                <m:t xml:space="preserve">+</m:t>
              </m:r>
              <m:r>
                <m:t xml:space="preserve">Celular</m:t>
              </m:r>
            </m:num>
            <m:den>
              <m:r>
                <m:t xml:space="preserve">3</m:t>
              </m:r>
            </m:den>
          </m:f>
        </m:oMath>
      </m:oMathPara>
    </w:p>
    <w:p>
      <w:pPr>
        <w:pStyle w:val="Normal"/>
        <w:spacing w:lineRule="auto" w:line="360"/>
        <w:rPr/>
      </w:pPr>
      <w:r>
        <w:rPr/>
        <w:tab/>
        <w:t>Observa-se no gráfico que, nos municípios com PIB per capita de até R$ 20.000, existe um crescimento acelerado do índice, onde pequenos aumentos na renda municipal resultam em um aumento no acesso a equipamentos e internet. Isso confirma a hipótese de que o desenvolvimento econômico é pré-requisito fundamental para tirar a população da exclusão digital básica.</w:t>
      </w:r>
    </w:p>
    <w:p>
      <w:pPr>
        <w:pStyle w:val="Normal"/>
        <w:spacing w:lineRule="auto" w:line="360"/>
        <w:rPr/>
      </w:pPr>
      <w:r>
        <w:rPr/>
        <w:tab/>
        <w:t xml:space="preserve">À medida que avançamos para faixas de renda mais altas (acima de R$ 50.000), a curva tende a uma estabilização, uma possível interpretação é que devido à saturação natural do consumo atinge-se um patamar onde quase todos já possuem os bens mínimos. </w:t>
      </w:r>
    </w:p>
    <w:p>
      <w:pPr>
        <w:pStyle w:val="Normal"/>
        <w:spacing w:lineRule="auto" w:line="360"/>
        <w:rPr/>
      </w:pPr>
      <w:r>
        <w:rPr/>
        <w:tab/>
        <w:t>Por fim, a distribuição por cores revela que a desigualdade regional observada é fortemente explicada pela disparidade econômica. Os clusters de municípios do Norte e Nordeste concentram-se na base do gráfico justamente por apresentarem, em sua maioria, PIBs per capita menores. Em contrapartida, os municípios do Sul e Sudeste dominam o topo do gráfico, confirmando que a concentração de riqueza nessas regiões é o fator determinante que garante aos seus estudantes um patamar superior de infraestrutura digital.</w:t>
      </w:r>
    </w:p>
    <w:p>
      <w:pPr>
        <w:pStyle w:val="Heading2"/>
        <w:ind w:firstLine="770" w:start="130" w:end="3"/>
        <w:rPr>
          <w:b/>
          <w:bCs/>
        </w:rPr>
      </w:pPr>
      <w:r>
        <w:rPr/>
        <w:t>6.4. Impacto da Renda Familiar na Nota do ENEM</w:t>
      </w:r>
    </w:p>
    <w:p>
      <w:pPr>
        <w:pStyle w:val="Normal"/>
        <w:rPr/>
      </w:pPr>
      <w:r>
        <w:drawing>
          <wp:anchor behindDoc="0" distT="0" distB="0" distL="0" distR="0" simplePos="0" locked="0" layoutInCell="0" allowOverlap="1" relativeHeight="13">
            <wp:simplePos x="0" y="0"/>
            <wp:positionH relativeFrom="margin">
              <wp:posOffset>269875</wp:posOffset>
            </wp:positionH>
            <wp:positionV relativeFrom="paragraph">
              <wp:posOffset>67310</wp:posOffset>
            </wp:positionV>
            <wp:extent cx="5400040" cy="3684270"/>
            <wp:effectExtent l="0" t="0" r="0" b="0"/>
            <wp:wrapSquare wrapText="largest"/>
            <wp:docPr id="11"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6"/>
                    <pic:cNvPicPr>
                      <a:picLocks noChangeAspect="1" noChangeArrowheads="1"/>
                    </pic:cNvPicPr>
                  </pic:nvPicPr>
                  <pic:blipFill>
                    <a:blip r:embed="rId24"/>
                    <a:stretch>
                      <a:fillRect/>
                    </a:stretch>
                  </pic:blipFill>
                  <pic:spPr bwMode="auto">
                    <a:xfrm>
                      <a:off x="0" y="0"/>
                      <a:ext cx="5400040" cy="3684270"/>
                    </a:xfrm>
                    <a:prstGeom prst="rect">
                      <a:avLst/>
                    </a:prstGeom>
                    <a:noFill/>
                  </pic:spPr>
                </pic:pic>
              </a:graphicData>
            </a:graphic>
          </wp:anchor>
        </w:drawing>
      </w:r>
      <w:r>
        <w:rPr/>
        <w:tab/>
      </w:r>
    </w:p>
    <w:p>
      <w:pPr>
        <w:pStyle w:val="Normal"/>
        <w:spacing w:lineRule="auto" w:line="360"/>
        <w:rPr/>
      </w:pPr>
      <w:r>
        <w:rPr/>
        <w:t xml:space="preserve">     </w:t>
      </w:r>
      <w:r>
        <w:rPr/>
        <w:tab/>
        <w:t>O gráfico revela uma conexão direta e positiva entre a condição financeira das famílias e o desempenho escolar, sendo que conforme a renda familiar média de um município aumenta, a nota média dos alunos no ENEM também tende a subir. Tal tendência pode ser confirmada, ao analisarmos a linha de tendência, que indica que o poder de compra atua como um facilitador para o acesso a uma educação de melhor qualidade.</w:t>
      </w:r>
    </w:p>
    <w:p>
      <w:pPr>
        <w:pStyle w:val="Normal"/>
        <w:spacing w:lineRule="auto" w:line="360"/>
        <w:rPr/>
      </w:pPr>
      <w:r>
        <w:rPr/>
        <w:tab/>
        <w:t>Além do fator econômico, os municípios das regiões Norte e Nordeste concentram-se no canto inferior esquerdo, acumulando os menores índices tanto de renda quanto de nota. Em contrapartida, os municípios do Sul e Sudeste dominam o quadrante superior direito, onde estão as maiores rendas e os melhores desempenhos.</w:t>
      </w:r>
    </w:p>
    <w:p>
      <w:pPr>
        <w:pStyle w:val="Normal"/>
        <w:spacing w:lineRule="auto" w:line="360"/>
        <w:rPr/>
      </w:pPr>
      <w:r>
        <w:rPr/>
        <w:tab/>
        <w:t>Apesar da tendência apresentada, ainda é possível notar municípios com a mesma faixa de renda podem ter notas muito diferentes. Isso sugere que, embora a renda familiar seja importante para o sucesso, ela não age sozinha, outros fatores devem influenciar o desempenho no ENEM.</w:t>
      </w:r>
    </w:p>
    <w:p>
      <w:pPr>
        <w:pStyle w:val="Heading2"/>
        <w:ind w:firstLine="770" w:start="130" w:end="3"/>
        <w:rPr>
          <w:b/>
          <w:bCs/>
        </w:rPr>
      </w:pPr>
      <w:r>
        <w:rPr/>
        <w:t>6.5. Impacto da Escolaridade dos Pais na Nota do ENEM</w:t>
      </w:r>
    </w:p>
    <w:p>
      <w:pPr>
        <w:pStyle w:val="Normal"/>
        <w:jc w:val="center"/>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00040" cy="3779520"/>
            <wp:effectExtent l="0" t="0" r="0" b="0"/>
            <wp:wrapSquare wrapText="largest"/>
            <wp:docPr id="12"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5"/>
                    <pic:cNvPicPr>
                      <a:picLocks noChangeAspect="1" noChangeArrowheads="1"/>
                    </pic:cNvPicPr>
                  </pic:nvPicPr>
                  <pic:blipFill>
                    <a:blip r:embed="rId25"/>
                    <a:stretch>
                      <a:fillRect/>
                    </a:stretch>
                  </pic:blipFill>
                  <pic:spPr bwMode="auto">
                    <a:xfrm>
                      <a:off x="0" y="0"/>
                      <a:ext cx="5400040" cy="3779520"/>
                    </a:xfrm>
                    <a:prstGeom prst="rect">
                      <a:avLst/>
                    </a:prstGeom>
                    <a:noFill/>
                  </pic:spPr>
                </pic:pic>
              </a:graphicData>
            </a:graphic>
          </wp:anchor>
        </w:drawing>
      </w:r>
    </w:p>
    <w:p>
      <w:pPr>
        <w:pStyle w:val="Normal"/>
        <w:spacing w:lineRule="auto" w:line="360"/>
        <w:rPr/>
      </w:pPr>
      <w:r>
        <w:rPr/>
        <w:tab/>
        <w:t>Nesse gráfico, podemos notar a formação de uma "nuvem" de pontos que está mais alinhada à linha de tendência, o que sugere que o nível educacional da família é um indicador forte do desempenho do estudante. Isso indica que, filhos de pais com maior instrução tendem a obter notas superiores, com isso a herança educacional é um dos fatores para um alto desempenho na nota do ENEM.</w:t>
      </w:r>
    </w:p>
    <w:p>
      <w:pPr>
        <w:pStyle w:val="Normal"/>
        <w:spacing w:lineRule="auto" w:line="360"/>
        <w:rPr/>
      </w:pPr>
      <w:r>
        <w:rPr/>
        <w:tab/>
        <w:t>A desigualdade regional manifesta-se aqui com a mesma intensidade vista anteriormente. Os municípios do Sul e Sudeste ocupam majoritariamente o topo do gráfico, associando alta escolaridade parental a altas notas. Já os municípios do Norte e Nordeste concentram-se na base, mostrando que a menor oportunidade de estudo dos pais impacta o resultado de seus filhos.</w:t>
      </w:r>
    </w:p>
    <w:p>
      <w:pPr>
        <w:pStyle w:val="Heading2"/>
        <w:ind w:firstLine="770" w:start="130" w:end="3"/>
        <w:rPr>
          <w:b/>
          <w:bCs/>
        </w:rPr>
      </w:pPr>
      <w:r>
        <w:rPr/>
        <w:t>6.6. A influência do tipo de escola na nota do ENEM</w:t>
      </w:r>
    </w:p>
    <w:p>
      <w:pPr>
        <w:pStyle w:val="Normal"/>
        <w:rPr/>
      </w:pPr>
      <w:r>
        <w:rPr/>
        <w:drawing>
          <wp:anchor behindDoc="0" distT="0" distB="0" distL="0" distR="0" simplePos="0" locked="0" layoutInCell="0" allowOverlap="1" relativeHeight="14">
            <wp:simplePos x="0" y="0"/>
            <wp:positionH relativeFrom="margin">
              <wp:align>center</wp:align>
            </wp:positionH>
            <wp:positionV relativeFrom="paragraph">
              <wp:posOffset>38735</wp:posOffset>
            </wp:positionV>
            <wp:extent cx="5400040" cy="2025015"/>
            <wp:effectExtent l="0" t="0" r="0" b="0"/>
            <wp:wrapSquare wrapText="largest"/>
            <wp:docPr id="13"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7"/>
                    <pic:cNvPicPr>
                      <a:picLocks noChangeAspect="1" noChangeArrowheads="1"/>
                    </pic:cNvPicPr>
                  </pic:nvPicPr>
                  <pic:blipFill>
                    <a:blip r:embed="rId26"/>
                    <a:stretch>
                      <a:fillRect/>
                    </a:stretch>
                  </pic:blipFill>
                  <pic:spPr bwMode="auto">
                    <a:xfrm>
                      <a:off x="0" y="0"/>
                      <a:ext cx="5400040" cy="2025015"/>
                    </a:xfrm>
                    <a:prstGeom prst="rect">
                      <a:avLst/>
                    </a:prstGeom>
                    <a:noFill/>
                  </pic:spPr>
                </pic:pic>
              </a:graphicData>
            </a:graphic>
          </wp:anchor>
        </w:drawing>
      </w:r>
    </w:p>
    <w:p>
      <w:pPr>
        <w:pStyle w:val="Normal"/>
        <w:spacing w:lineRule="auto" w:line="360"/>
        <w:rPr/>
      </w:pPr>
      <w:r>
        <w:rPr/>
        <w:t>A linha tracejada que corta o gráfico na diagonal representa o ponto de empate, onde a nota média da rede pública seria exatamente igual à da rede privada. Portanto, a leitura deve ser feita pela posição dos pontos em relação a essa linha: os pontos posicionados acima da diagonal representam municípios onde a rede privada obteve desempenho superior, enquanto os pontos abaixo indicariam uma vantagem da rede pública.</w:t>
      </w:r>
    </w:p>
    <w:p>
      <w:pPr>
        <w:pStyle w:val="Normal"/>
        <w:spacing w:lineRule="auto" w:line="360"/>
        <w:rPr/>
      </w:pPr>
      <w:r>
        <w:rPr/>
        <w:tab/>
        <w:t xml:space="preserve">Observa-se uma concentração massiva acima da linha de igualdade, demonstrando que, em quase todos os municípios analisados, a rede privada supera a rede pública. Diferente das análises anteriores baseadas em PIB ou Renda, onde se observavam exceções e variações regionais, a vantagem da escola particular é evidente, ocorrendo independentemente de o município ser rico ou pobre. </w:t>
      </w:r>
    </w:p>
    <w:p>
      <w:pPr>
        <w:pStyle w:val="Normal"/>
        <w:spacing w:lineRule="auto" w:line="360"/>
        <w:rPr/>
      </w:pPr>
      <w:r>
        <w:rPr/>
        <w:tab/>
        <w:t xml:space="preserve">O histograma auxiliar quantifica a gravidade dessa disparidade, indicando que a vantagem média da rede privada se concentra entre 60 e 80 pontos. Isso sugere que o tipo de escola atua como um divisor no desempenho do candidato. </w:t>
      </w:r>
    </w:p>
    <w:p>
      <w:pPr>
        <w:pStyle w:val="Normal"/>
        <w:spacing w:lineRule="auto" w:line="360"/>
        <w:rPr/>
      </w:pPr>
      <w:r>
        <w:rPr/>
      </w:r>
    </w:p>
    <w:p>
      <w:pPr>
        <w:pStyle w:val="Normal"/>
        <w:spacing w:lineRule="auto" w:line="360"/>
        <w:rPr>
          <w:b/>
          <w:bCs/>
          <w:sz w:val="28"/>
          <w:szCs w:val="28"/>
        </w:rPr>
      </w:pPr>
      <w:r>
        <w:rPr>
          <w:b/>
          <w:bCs/>
          <w:sz w:val="28"/>
          <w:szCs w:val="28"/>
        </w:rPr>
        <w:t>7. Conclusão</w:t>
      </w:r>
    </w:p>
    <w:p>
      <w:pPr>
        <w:pStyle w:val="Normal"/>
        <w:spacing w:lineRule="auto" w:line="360"/>
        <w:rPr>
          <w:b w:val="false"/>
          <w:bCs w:val="false"/>
          <w:sz w:val="24"/>
          <w:szCs w:val="24"/>
        </w:rPr>
      </w:pPr>
      <w:r>
        <w:rPr>
          <w:b w:val="false"/>
          <w:bCs w:val="false"/>
          <w:sz w:val="24"/>
          <w:szCs w:val="24"/>
        </w:rPr>
        <w:t>Em suma, o desenvolvimento deste trabalho permitiu consolidar na prática os conceitos de modelagem e manipulação de dados, superando os desafios técnicos de integração entre fontes heterogêneas (INEP e IBGE) para estruturar um banco de dados relacional consistente. Sob a ótica analítica, os resultados confirmaram a forte correlação entre o desenvolvimento econômico (PIB) e o desempenho no ENEM, evidenciando que a renda municipal atua como um facilitador do acesso tecnológico e educacional. No entanto, a análise revelou que a riqueza por si só não elimina as desigualdades, visto que a disparidade entre as redes pública e privada persiste independentemente do PIB do município. Dessa forma, o projeto cumpriu seu objetivo ao transformar dados brutos e desconexos em informação estruturada, oferecendo uma base sólida para a compreensão das desigualdades regionais no cenário educacional brasileiro.</w:t>
      </w:r>
    </w:p>
    <w:p>
      <w:pPr>
        <w:pStyle w:val="Normal"/>
        <w:spacing w:lineRule="auto" w:line="360"/>
        <w:rPr>
          <w:b w:val="false"/>
          <w:bCs w:val="false"/>
          <w:sz w:val="24"/>
          <w:szCs w:val="24"/>
        </w:rPr>
      </w:pPr>
      <w:r>
        <w:rPr>
          <w:b w:val="false"/>
          <w:bCs w:val="false"/>
          <w:sz w:val="24"/>
          <w:szCs w:val="24"/>
        </w:rPr>
        <w:t xml:space="preserve">Link do repositório do github: </w:t>
      </w:r>
      <w:r>
        <w:rPr>
          <w:b w:val="false"/>
          <w:bCs w:val="false"/>
          <w:color w:val="2A6099"/>
          <w:sz w:val="24"/>
          <w:szCs w:val="24"/>
          <w:u w:val="single"/>
        </w:rPr>
        <w:t>https://github.com/swords-0/Trabalho-de-IBD</w:t>
      </w:r>
    </w:p>
    <w:p>
      <w:pPr>
        <w:pStyle w:val="Heading1"/>
        <w:numPr>
          <w:ilvl w:val="0"/>
          <w:numId w:val="0"/>
        </w:numPr>
        <w:spacing w:before="0" w:after="0"/>
        <w:ind w:hanging="0" w:start="832"/>
        <w:rPr/>
      </w:pPr>
      <w:r>
        <w:rPr/>
      </w:r>
    </w:p>
    <w:p>
      <w:pPr>
        <w:pStyle w:val="Heading1"/>
        <w:numPr>
          <w:ilvl w:val="0"/>
          <w:numId w:val="0"/>
        </w:numPr>
        <w:spacing w:lineRule="auto" w:line="259" w:before="0" w:afterAutospacing="0" w:after="52"/>
        <w:ind w:hanging="360" w:start="832"/>
        <w:rPr/>
      </w:pPr>
      <w:r>
        <w:rPr/>
        <w:t>8</w:t>
      </w:r>
      <w:r>
        <w:rPr/>
        <w:t xml:space="preserve">. Referências Bibliográficas </w:t>
      </w:r>
    </w:p>
    <w:p>
      <w:pPr>
        <w:pStyle w:val="ListParagraph"/>
        <w:numPr>
          <w:ilvl w:val="0"/>
          <w:numId w:val="2"/>
        </w:numPr>
        <w:spacing w:lineRule="auto" w:line="276" w:beforeAutospacing="0" w:before="240" w:after="14"/>
        <w:ind w:hanging="360" w:start="720" w:end="0"/>
        <w:contextualSpacing/>
        <w:rPr/>
      </w:pPr>
      <w:r>
        <w:rPr/>
        <w:t xml:space="preserve">INSTITUTO NACIONAL DE ESTUDOS E PESQUISAS EDUCACIONAIS ANÍSIO </w:t>
      </w:r>
    </w:p>
    <w:p>
      <w:pPr>
        <w:pStyle w:val="ListParagraph"/>
        <w:numPr>
          <w:ilvl w:val="0"/>
          <w:numId w:val="2"/>
        </w:numPr>
        <w:spacing w:lineRule="auto" w:line="276" w:before="0" w:after="257"/>
        <w:ind w:hanging="360" w:start="720" w:end="0"/>
        <w:contextualSpacing/>
        <w:jc w:val="start"/>
        <w:rPr/>
      </w:pPr>
      <w:r>
        <w:rPr/>
        <w:t xml:space="preserve">TEIXEIRA. Microdados do Exame Nacional do Ensino Médio (ENEM). 2021. Disponível em: https://www.gov.br/inep/pt-br/acesso-a-informacao/dados-abertos/microdados/enem. Acesso em: 12 out. 2025. </w:t>
      </w:r>
    </w:p>
    <w:p>
      <w:pPr>
        <w:pStyle w:val="ListParagraph"/>
        <w:numPr>
          <w:ilvl w:val="0"/>
          <w:numId w:val="2"/>
        </w:numPr>
        <w:spacing w:lineRule="auto" w:line="276"/>
        <w:ind w:hanging="360" w:start="720" w:end="0"/>
        <w:rPr/>
      </w:pPr>
      <w:r>
        <w:rPr/>
        <w:t xml:space="preserve">INSTITUTO BRASILEIRO DE GEOGRAFIA E ESTATÍSTICA. Produto Interno Bruto dos </w:t>
      </w:r>
    </w:p>
    <w:p>
      <w:pPr>
        <w:pStyle w:val="ListParagraph"/>
        <w:numPr>
          <w:ilvl w:val="0"/>
          <w:numId w:val="2"/>
        </w:numPr>
        <w:spacing w:lineRule="auto" w:line="276"/>
        <w:ind w:hanging="360" w:start="720" w:end="0"/>
        <w:rPr/>
      </w:pPr>
      <w:r>
        <w:rPr/>
        <w:t xml:space="preserve">Municípios. 2021. Disponível em: https://www.ibge.gov.br/estatisticas/economicas/contasnacionais/9088-produto-interno-bruto-dos-municipios.html?=&amp;t=downloads. Acesso em: 12 out. </w:t>
      </w:r>
    </w:p>
    <w:p>
      <w:pPr>
        <w:pStyle w:val="ListParagraph"/>
        <w:numPr>
          <w:ilvl w:val="0"/>
          <w:numId w:val="2"/>
        </w:numPr>
        <w:spacing w:lineRule="auto" w:line="276" w:before="0" w:after="218"/>
        <w:ind w:hanging="360" w:start="720" w:end="0"/>
        <w:contextualSpacing/>
        <w:rPr/>
      </w:pPr>
      <w:r>
        <w:rPr/>
        <w:t xml:space="preserve">2025. </w:t>
      </w:r>
    </w:p>
    <w:p>
      <w:pPr>
        <w:pStyle w:val="ListParagraph"/>
        <w:numPr>
          <w:ilvl w:val="0"/>
          <w:numId w:val="2"/>
        </w:numPr>
        <w:spacing w:lineRule="auto" w:line="276" w:before="240" w:after="240"/>
        <w:ind w:hanging="360" w:start="720" w:end="3"/>
        <w:contextualSpacing/>
        <w:rPr/>
      </w:pPr>
      <w:r>
        <w:rPr/>
        <w:t xml:space="preserve">GOVERNO DO ESTADO DE RORAIMA. </w:t>
        <w:tab/>
        <w:t xml:space="preserve">Secretaria de Estado da Saúde de Roraima. Coordenadoria Geral de </w:t>
        <w:tab/>
        <w:t xml:space="preserve">Vigilância em Saúde. Análise de Situação de Saúde (ASIS) - </w:t>
        <w:tab/>
        <w:t xml:space="preserve">Dados Demográficos, Socioeconômicos e Ambientais, 2000-2022. Boa </w:t>
        <w:tab/>
        <w:t xml:space="preserve">Vista, 2024. Disponível em: </w:t>
        <w:tab/>
      </w:r>
      <w:hyperlink r:id="rId27">
        <w:r>
          <w:rPr>
            <w:rStyle w:val="Hyperlink"/>
            <w:color w:val="auto"/>
          </w:rPr>
          <w:t>https://vigilancia.saude.rr.gov.br/wp-content/uploads/2024/03/informacao_cds_estadoderoraima_2024_0001.pdf</w:t>
        </w:r>
      </w:hyperlink>
      <w:r>
        <w:rPr/>
        <w:t xml:space="preserve">. </w:t>
        <w:tab/>
        <w:t>Acesso em: 21 nov. 2025.</w:t>
      </w:r>
    </w:p>
    <w:p>
      <w:pPr>
        <w:pStyle w:val="ListParagraph"/>
        <w:numPr>
          <w:ilvl w:val="0"/>
          <w:numId w:val="2"/>
        </w:numPr>
        <w:spacing w:lineRule="auto" w:line="276" w:before="240" w:after="240"/>
        <w:ind w:hanging="360" w:start="720" w:end="3"/>
        <w:contextualSpacing/>
        <w:rPr/>
      </w:pPr>
      <w:r>
        <w:rPr/>
        <w:t xml:space="preserve">Instituto Brasileiro de </w:t>
        <w:tab/>
        <w:t xml:space="preserve">Geografia e Estatística (IBGE). Cidades e Estados - Contagem. </w:t>
        <w:tab/>
        <w:t xml:space="preserve">Disponível em: </w:t>
        <w:tab/>
      </w:r>
      <w:hyperlink r:id="rId28">
        <w:r>
          <w:rPr>
            <w:rStyle w:val="Hyperlink"/>
            <w:color w:val="auto"/>
          </w:rPr>
          <w:t>https://www.ibge.gov.br/cidades-e-estados/mg/contagem.html</w:t>
        </w:r>
      </w:hyperlink>
      <w:r>
        <w:rPr/>
        <w:t xml:space="preserve">. Acesso </w:t>
        <w:tab/>
        <w:t>em: 21 nov. 2025.</w:t>
      </w:r>
    </w:p>
    <w:p>
      <w:pPr>
        <w:pStyle w:val="ListParagraph"/>
        <w:numPr>
          <w:ilvl w:val="0"/>
          <w:numId w:val="2"/>
        </w:numPr>
        <w:spacing w:lineRule="auto" w:line="276" w:before="240" w:after="240"/>
        <w:ind w:hanging="360" w:start="720" w:end="3"/>
        <w:contextualSpacing/>
        <w:rPr>
          <w:color w:val="auto"/>
        </w:rPr>
      </w:pPr>
      <w:r>
        <w:rPr>
          <w:color w:val="auto"/>
        </w:rPr>
        <w:t xml:space="preserve">G1 SP. População do estado </w:t>
      </w:r>
      <w:r>
        <w:rPr/>
        <w:tab/>
      </w:r>
      <w:r>
        <w:rPr>
          <w:color w:val="auto"/>
        </w:rPr>
        <w:t xml:space="preserve">de SP vai de 46,3 para 46,6 milhões em 2021, segundo IBGE; </w:t>
      </w:r>
      <w:r>
        <w:rPr/>
        <w:tab/>
      </w:r>
      <w:r>
        <w:rPr>
          <w:color w:val="auto"/>
        </w:rPr>
        <w:t xml:space="preserve">estimativa desconsidera pandemia. Disponível em: </w:t>
      </w:r>
      <w:r>
        <w:rPr/>
        <w:tab/>
      </w:r>
      <w:hyperlink r:id="rId29">
        <w:r>
          <w:rPr>
            <w:rStyle w:val="Hyperlink"/>
            <w:color w:val="auto"/>
          </w:rPr>
          <w:t>https://g1.globo.com/sp/sao-paulo/noticia/2021ml</w:t>
        </w:r>
      </w:hyperlink>
      <w:r>
        <w:rPr>
          <w:color w:val="auto"/>
        </w:rPr>
        <w:t xml:space="preserve">. </w:t>
      </w:r>
      <w:r>
        <w:rPr/>
        <w:tab/>
      </w:r>
      <w:r>
        <w:rPr>
          <w:color w:val="auto"/>
        </w:rPr>
        <w:t>Acesso em: 21 nov. 2025.</w:t>
      </w:r>
    </w:p>
    <w:p>
      <w:pPr>
        <w:pStyle w:val="ListParagraph"/>
        <w:numPr>
          <w:ilvl w:val="0"/>
          <w:numId w:val="2"/>
        </w:numPr>
        <w:spacing w:lineRule="auto" w:line="276"/>
        <w:ind w:hanging="360" w:start="720" w:end="3"/>
        <w:rPr>
          <w:color w:val="auto"/>
        </w:rPr>
      </w:pPr>
      <w:r>
        <w:rPr>
          <w:color w:val="auto"/>
        </w:rPr>
        <w:t xml:space="preserve">Vestibular Brasil Escola. Enem 2021 termina com a menor participação em mais de uma década. Brasil Escola. Disponível em: </w:t>
      </w:r>
      <w:hyperlink r:id="rId30">
        <w:r>
          <w:rPr>
            <w:rStyle w:val="Hyperlink"/>
            <w:color w:val="auto"/>
          </w:rPr>
          <w:t>https://vestibular.brasilescola.uol.com.br/enem/enem-2021-termina-com-a-menor-participacao-em-mais-de-uma-decada/351631.html</w:t>
        </w:r>
      </w:hyperlink>
      <w:r>
        <w:rPr>
          <w:color w:val="auto"/>
        </w:rPr>
        <w:t>. Acesso em: 21 nov. 2025.</w:t>
      </w:r>
    </w:p>
    <w:p>
      <w:pPr>
        <w:pStyle w:val="Normal"/>
        <w:spacing w:before="0" w:after="218"/>
        <w:ind w:hanging="10" w:start="10" w:end="0"/>
        <w:rPr/>
      </w:pPr>
      <w:r>
        <w:rPr/>
      </w:r>
    </w:p>
    <w:p>
      <w:pPr>
        <w:pStyle w:val="Normal"/>
        <w:spacing w:lineRule="auto" w:line="259" w:before="0" w:after="0"/>
        <w:ind w:hanging="0" w:start="127" w:end="0"/>
        <w:jc w:val="start"/>
        <w:rPr/>
      </w:pPr>
      <w:r>
        <w:rPr/>
        <w:t xml:space="preserve"> </w:t>
      </w:r>
    </w:p>
    <w:sectPr>
      <w:headerReference w:type="even" r:id="rId31"/>
      <w:headerReference w:type="default" r:id="rId32"/>
      <w:headerReference w:type="first" r:id="rId33"/>
      <w:footerReference w:type="even" r:id="rId34"/>
      <w:footerReference w:type="default" r:id="rId35"/>
      <w:footerReference w:type="first" r:id="rId36"/>
      <w:type w:val="nextPage"/>
      <w:pgSz w:w="11906" w:h="16838"/>
      <w:pgMar w:left="1560" w:right="847" w:gutter="0" w:header="720" w:top="1672" w:footer="793" w:bottom="1057"/>
      <w:pgNumType w:start="3"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ptos">
    <w:charset w:val="01" w:characterSet="utf-8"/>
    <w:family w:val="roman"/>
    <w:pitch w:val="variable"/>
  </w:font>
  <w:font w:name="Google Sans Text">
    <w:altName w:val="sans-serif"/>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0</w:t>
    </w:r>
    <w:r>
      <w:rPr/>
      <w:fldChar w:fldCharType="end"/>
    </w:r>
  </w:p>
  <w:p>
    <w:pPr>
      <w:pStyle w:val="Normal"/>
      <w:spacing w:lineRule="auto" w:line="259" w:before="0" w:after="160"/>
      <w:ind w:hanging="0" w:start="0" w:end="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2</w:t>
    </w:r>
    <w:r>
      <w:rPr/>
      <w:fldChar w:fldCharType="end"/>
    </w:r>
  </w:p>
  <w:p>
    <w:pPr>
      <w:pStyle w:val="Footer"/>
      <w:jc w:val="end"/>
      <w:rPr/>
    </w:pPr>
    <w:r>
      <w:rPr/>
    </w:r>
  </w:p>
  <w:p>
    <w:pPr>
      <w:pStyle w:val="Normal"/>
      <w:spacing w:lineRule="auto" w:line="259" w:before="0" w:after="160"/>
      <w:ind w:hanging="0" w:start="0" w:end="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2</w:t>
    </w:r>
    <w:r>
      <w:rPr/>
      <w:fldChar w:fldCharType="end"/>
    </w:r>
  </w:p>
  <w:p>
    <w:pPr>
      <w:pStyle w:val="Footer"/>
      <w:jc w:val="end"/>
      <w:rPr/>
    </w:pPr>
    <w:r>
      <w:rPr/>
    </w:r>
  </w:p>
  <w:p>
    <w:pPr>
      <w:pStyle w:val="Normal"/>
      <w:spacing w:lineRule="auto" w:line="259" w:before="0" w:after="160"/>
      <w:ind w:hanging="0" w:start="0" w:end="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0</w:t>
    </w:r>
    <w:r>
      <w:rPr/>
      <w:fldChar w:fldCharType="end"/>
    </w:r>
  </w:p>
  <w:p>
    <w:pPr>
      <w:pStyle w:val="Normal"/>
      <w:spacing w:lineRule="auto" w:line="259" w:before="0" w:after="160"/>
      <w:ind w:hanging="0" w:start="0" w:end="0"/>
      <w:jc w:val="start"/>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3</w:t>
    </w:r>
    <w:r>
      <w:rPr/>
      <w:fldChar w:fldCharType="end"/>
    </w:r>
  </w:p>
  <w:p>
    <w:pPr>
      <w:pStyle w:val="Footer"/>
      <w:jc w:val="end"/>
      <w:rPr/>
    </w:pPr>
    <w:r>
      <w:rPr/>
    </w:r>
  </w:p>
  <w:p>
    <w:pPr>
      <w:pStyle w:val="Normal"/>
      <w:spacing w:lineRule="auto" w:line="259" w:before="0" w:after="160"/>
      <w:ind w:hanging="0" w:start="0" w:end="0"/>
      <w:jc w:val="star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3</w:t>
    </w:r>
    <w:r>
      <w:rPr/>
      <w:fldChar w:fldCharType="end"/>
    </w:r>
  </w:p>
  <w:p>
    <w:pPr>
      <w:pStyle w:val="Footer"/>
      <w:jc w:val="end"/>
      <w:rPr/>
    </w:pPr>
    <w:r>
      <w:rPr/>
    </w:r>
  </w:p>
  <w:p>
    <w:pPr>
      <w:pStyle w:val="Normal"/>
      <w:spacing w:lineRule="auto" w:line="259" w:before="0" w:after="160"/>
      <w:ind w:hanging="0" w:start="0" w:end="0"/>
      <w:jc w:val="start"/>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0</w:t>
    </w:r>
    <w:r>
      <w:rPr/>
      <w:fldChar w:fldCharType="end"/>
    </w:r>
  </w:p>
  <w:p>
    <w:pPr>
      <w:pStyle w:val="Normal"/>
      <w:tabs>
        <w:tab w:val="clear" w:pos="708"/>
        <w:tab w:val="center" w:pos="9160" w:leader="none"/>
      </w:tabs>
      <w:spacing w:lineRule="auto" w:line="259" w:before="0" w:after="0"/>
      <w:ind w:hanging="0" w:start="0" w:end="0"/>
      <w:jc w:val="start"/>
      <w:rPr/>
    </w:pPr>
    <w:r>
      <w:rPr>
        <w:sz w:val="20"/>
        <w:szCs w:val="20"/>
      </w:rPr>
      <w:t xml:space="preserve"> </w:t>
    </w:r>
    <w:r>
      <w:rPr/>
      <w:tab/>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14</w:t>
    </w:r>
    <w:r>
      <w:rPr/>
      <w:fldChar w:fldCharType="end"/>
    </w:r>
  </w:p>
  <w:p>
    <w:pPr>
      <w:pStyle w:val="Footer"/>
      <w:jc w:val="end"/>
      <w:rPr/>
    </w:pPr>
    <w:r>
      <w:rPr/>
    </w:r>
  </w:p>
  <w:p>
    <w:pPr>
      <w:pStyle w:val="Normal"/>
      <w:tabs>
        <w:tab w:val="clear" w:pos="708"/>
        <w:tab w:val="center" w:pos="9160" w:leader="none"/>
      </w:tabs>
      <w:spacing w:lineRule="auto" w:line="259" w:before="0" w:after="0"/>
      <w:ind w:hanging="0" w:start="0" w:end="0"/>
      <w:jc w:val="start"/>
      <w:rPr/>
    </w:pPr>
    <w:r>
      <w:rPr>
        <w:sz w:val="20"/>
        <w:szCs w:val="20"/>
      </w:rPr>
      <w:t xml:space="preserve"> </w:t>
    </w:r>
    <w:r>
      <w:rPr/>
      <w:tab/>
      <w:t xml:space="preserve">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14</w:t>
    </w:r>
    <w:r>
      <w:rPr/>
      <w:fldChar w:fldCharType="end"/>
    </w:r>
  </w:p>
  <w:p>
    <w:pPr>
      <w:pStyle w:val="Footer"/>
      <w:jc w:val="end"/>
      <w:rPr/>
    </w:pPr>
    <w:r>
      <w:rPr/>
    </w:r>
  </w:p>
  <w:p>
    <w:pPr>
      <w:pStyle w:val="Normal"/>
      <w:tabs>
        <w:tab w:val="clear" w:pos="708"/>
        <w:tab w:val="center" w:pos="9160" w:leader="none"/>
      </w:tabs>
      <w:spacing w:lineRule="auto" w:line="259" w:before="0" w:after="0"/>
      <w:ind w:hanging="0" w:start="0" w:end="0"/>
      <w:jc w:val="start"/>
      <w:rPr/>
    </w:pPr>
    <w:r>
      <w:rPr>
        <w:sz w:val="20"/>
        <w:szCs w:val="20"/>
      </w:rPr>
      <w:t xml:space="preserve"> </w:t>
    </w:r>
    <w:r>
      <w:rPr/>
      <w:tab/>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24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80"/>
      <w:gridCol w:w="3080"/>
      <w:gridCol w:w="3080"/>
    </w:tblGrid>
    <w:tr>
      <w:trPr>
        <w:trHeight w:val="300" w:hRule="atLeast"/>
      </w:trPr>
      <w:tc>
        <w:tcPr>
          <w:tcW w:w="3080" w:type="dxa"/>
          <w:tcBorders/>
        </w:tcPr>
        <w:p>
          <w:pPr>
            <w:pStyle w:val="Header"/>
            <w:widowControl/>
            <w:bidi w:val="0"/>
            <w:spacing w:before="0" w:after="0"/>
            <w:ind w:hanging="10" w:start="-115" w:end="3"/>
            <w:jc w:val="start"/>
            <w:rPr>
              <w:kern w:val="0"/>
              <w:szCs w:val="22"/>
              <w:lang w:val="pt-BR" w:eastAsia="pt-BR" w:bidi="ar-SA"/>
            </w:rPr>
          </w:pPr>
          <w:r>
            <w:rPr>
              <w:kern w:val="0"/>
              <w:szCs w:val="22"/>
              <w:lang w:val="pt-BR" w:eastAsia="pt-BR" w:bidi="ar-SA"/>
            </w:rPr>
          </w:r>
        </w:p>
      </w:tc>
      <w:tc>
        <w:tcPr>
          <w:tcW w:w="3080" w:type="dxa"/>
          <w:tcBorders/>
        </w:tcPr>
        <w:p>
          <w:pPr>
            <w:pStyle w:val="Header"/>
            <w:widowControl/>
            <w:bidi w:val="0"/>
            <w:spacing w:before="0" w:after="0"/>
            <w:jc w:val="center"/>
            <w:rPr>
              <w:kern w:val="0"/>
              <w:szCs w:val="22"/>
              <w:lang w:val="pt-BR" w:eastAsia="pt-BR" w:bidi="ar-SA"/>
            </w:rPr>
          </w:pPr>
          <w:r>
            <w:rPr>
              <w:kern w:val="0"/>
              <w:szCs w:val="22"/>
              <w:lang w:val="pt-BR" w:eastAsia="pt-BR" w:bidi="ar-SA"/>
            </w:rPr>
          </w:r>
        </w:p>
      </w:tc>
      <w:tc>
        <w:tcPr>
          <w:tcW w:w="3080" w:type="dxa"/>
          <w:tcBorders/>
        </w:tcPr>
        <w:p>
          <w:pPr>
            <w:pStyle w:val="Header"/>
            <w:widowControl/>
            <w:bidi w:val="0"/>
            <w:spacing w:before="0" w:after="0"/>
            <w:ind w:hanging="10" w:start="130" w:end="-115"/>
            <w:jc w:val="end"/>
            <w:rPr>
              <w:kern w:val="0"/>
              <w:szCs w:val="22"/>
              <w:lang w:val="pt-BR" w:eastAsia="pt-BR" w:bidi="ar-SA"/>
            </w:rPr>
          </w:pPr>
          <w:r>
            <w:rPr>
              <w:kern w:val="0"/>
              <w:szCs w:val="22"/>
              <w:lang w:val="pt-BR" w:eastAsia="pt-BR" w:bidi="ar-SA"/>
            </w:rPr>
          </w:r>
        </w:p>
      </w:tc>
    </w:tr>
  </w:tbl>
  <w:p>
    <w:pPr>
      <w:pStyle w:val="Header"/>
      <w:bidi w:val="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24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80"/>
      <w:gridCol w:w="3080"/>
      <w:gridCol w:w="3080"/>
    </w:tblGrid>
    <w:tr>
      <w:trPr>
        <w:trHeight w:val="300" w:hRule="atLeast"/>
      </w:trPr>
      <w:tc>
        <w:tcPr>
          <w:tcW w:w="3080" w:type="dxa"/>
          <w:tcBorders/>
        </w:tcPr>
        <w:p>
          <w:pPr>
            <w:pStyle w:val="Header"/>
            <w:widowControl/>
            <w:bidi w:val="0"/>
            <w:spacing w:before="0" w:after="0"/>
            <w:ind w:hanging="10" w:start="-115" w:end="3"/>
            <w:jc w:val="start"/>
            <w:rPr>
              <w:kern w:val="0"/>
              <w:szCs w:val="22"/>
              <w:lang w:val="pt-BR" w:eastAsia="pt-BR" w:bidi="ar-SA"/>
            </w:rPr>
          </w:pPr>
          <w:r>
            <w:rPr>
              <w:kern w:val="0"/>
              <w:szCs w:val="22"/>
              <w:lang w:val="pt-BR" w:eastAsia="pt-BR" w:bidi="ar-SA"/>
            </w:rPr>
          </w:r>
        </w:p>
      </w:tc>
      <w:tc>
        <w:tcPr>
          <w:tcW w:w="3080" w:type="dxa"/>
          <w:tcBorders/>
        </w:tcPr>
        <w:p>
          <w:pPr>
            <w:pStyle w:val="Header"/>
            <w:widowControl/>
            <w:bidi w:val="0"/>
            <w:spacing w:before="0" w:after="0"/>
            <w:jc w:val="center"/>
            <w:rPr>
              <w:kern w:val="0"/>
              <w:szCs w:val="22"/>
              <w:lang w:val="pt-BR" w:eastAsia="pt-BR" w:bidi="ar-SA"/>
            </w:rPr>
          </w:pPr>
          <w:r>
            <w:rPr>
              <w:kern w:val="0"/>
              <w:szCs w:val="22"/>
              <w:lang w:val="pt-BR" w:eastAsia="pt-BR" w:bidi="ar-SA"/>
            </w:rPr>
          </w:r>
        </w:p>
      </w:tc>
      <w:tc>
        <w:tcPr>
          <w:tcW w:w="3080" w:type="dxa"/>
          <w:tcBorders/>
        </w:tcPr>
        <w:p>
          <w:pPr>
            <w:pStyle w:val="Header"/>
            <w:widowControl/>
            <w:bidi w:val="0"/>
            <w:spacing w:before="0" w:after="0"/>
            <w:ind w:hanging="10" w:start="130" w:end="-115"/>
            <w:jc w:val="end"/>
            <w:rPr>
              <w:kern w:val="0"/>
              <w:szCs w:val="22"/>
              <w:lang w:val="pt-BR" w:eastAsia="pt-BR" w:bidi="ar-SA"/>
            </w:rPr>
          </w:pPr>
          <w:r>
            <w:rPr>
              <w:kern w:val="0"/>
              <w:szCs w:val="22"/>
              <w:lang w:val="pt-BR" w:eastAsia="pt-BR" w:bidi="ar-SA"/>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24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80"/>
      <w:gridCol w:w="3080"/>
      <w:gridCol w:w="3080"/>
    </w:tblGrid>
    <w:tr>
      <w:trPr>
        <w:trHeight w:val="300" w:hRule="atLeast"/>
      </w:trPr>
      <w:tc>
        <w:tcPr>
          <w:tcW w:w="3080" w:type="dxa"/>
          <w:tcBorders/>
        </w:tcPr>
        <w:p>
          <w:pPr>
            <w:pStyle w:val="Header"/>
            <w:widowControl/>
            <w:bidi w:val="0"/>
            <w:spacing w:before="0" w:after="0"/>
            <w:ind w:hanging="10" w:start="-115" w:end="3"/>
            <w:jc w:val="start"/>
            <w:rPr>
              <w:kern w:val="0"/>
              <w:szCs w:val="22"/>
              <w:lang w:val="pt-BR" w:eastAsia="pt-BR" w:bidi="ar-SA"/>
            </w:rPr>
          </w:pPr>
          <w:r>
            <w:rPr>
              <w:kern w:val="0"/>
              <w:szCs w:val="22"/>
              <w:lang w:val="pt-BR" w:eastAsia="pt-BR" w:bidi="ar-SA"/>
            </w:rPr>
          </w:r>
        </w:p>
      </w:tc>
      <w:tc>
        <w:tcPr>
          <w:tcW w:w="3080" w:type="dxa"/>
          <w:tcBorders/>
        </w:tcPr>
        <w:p>
          <w:pPr>
            <w:pStyle w:val="Header"/>
            <w:widowControl/>
            <w:bidi w:val="0"/>
            <w:spacing w:before="0" w:after="0"/>
            <w:jc w:val="center"/>
            <w:rPr>
              <w:kern w:val="0"/>
              <w:szCs w:val="22"/>
              <w:lang w:val="pt-BR" w:eastAsia="pt-BR" w:bidi="ar-SA"/>
            </w:rPr>
          </w:pPr>
          <w:r>
            <w:rPr>
              <w:kern w:val="0"/>
              <w:szCs w:val="22"/>
              <w:lang w:val="pt-BR" w:eastAsia="pt-BR" w:bidi="ar-SA"/>
            </w:rPr>
          </w:r>
        </w:p>
      </w:tc>
      <w:tc>
        <w:tcPr>
          <w:tcW w:w="3080" w:type="dxa"/>
          <w:tcBorders/>
        </w:tcPr>
        <w:p>
          <w:pPr>
            <w:pStyle w:val="Header"/>
            <w:widowControl/>
            <w:bidi w:val="0"/>
            <w:spacing w:before="0" w:after="0"/>
            <w:ind w:hanging="10" w:start="130" w:end="-115"/>
            <w:jc w:val="end"/>
            <w:rPr>
              <w:kern w:val="0"/>
              <w:szCs w:val="22"/>
              <w:lang w:val="pt-BR" w:eastAsia="pt-BR" w:bidi="ar-SA"/>
            </w:rPr>
          </w:pPr>
          <w:r>
            <w:rPr>
              <w:kern w:val="0"/>
              <w:szCs w:val="22"/>
              <w:lang w:val="pt-BR" w:eastAsia="pt-BR" w:bidi="ar-SA"/>
            </w:rPr>
          </w:r>
        </w:p>
      </w:tc>
    </w:tr>
  </w:tbl>
  <w:p>
    <w:pPr>
      <w:pStyle w:val="Header"/>
      <w:bidi w:val="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1395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4650"/>
      <w:gridCol w:w="4650"/>
      <w:gridCol w:w="4650"/>
    </w:tblGrid>
    <w:tr>
      <w:trPr>
        <w:trHeight w:val="300" w:hRule="atLeast"/>
      </w:trPr>
      <w:tc>
        <w:tcPr>
          <w:tcW w:w="4650" w:type="dxa"/>
          <w:tcBorders/>
        </w:tcPr>
        <w:p>
          <w:pPr>
            <w:pStyle w:val="Header"/>
            <w:widowControl/>
            <w:bidi w:val="0"/>
            <w:spacing w:before="0" w:after="0"/>
            <w:ind w:hanging="10" w:start="-115" w:end="3"/>
            <w:jc w:val="start"/>
            <w:rPr>
              <w:kern w:val="0"/>
              <w:szCs w:val="22"/>
              <w:lang w:val="pt-BR" w:eastAsia="pt-BR" w:bidi="ar-SA"/>
            </w:rPr>
          </w:pPr>
          <w:r>
            <w:rPr>
              <w:kern w:val="0"/>
              <w:szCs w:val="22"/>
              <w:lang w:val="pt-BR" w:eastAsia="pt-BR" w:bidi="ar-SA"/>
            </w:rPr>
          </w:r>
        </w:p>
      </w:tc>
      <w:tc>
        <w:tcPr>
          <w:tcW w:w="4650" w:type="dxa"/>
          <w:tcBorders/>
        </w:tcPr>
        <w:p>
          <w:pPr>
            <w:pStyle w:val="Header"/>
            <w:widowControl/>
            <w:bidi w:val="0"/>
            <w:spacing w:before="0" w:after="0"/>
            <w:jc w:val="center"/>
            <w:rPr>
              <w:kern w:val="0"/>
              <w:szCs w:val="22"/>
              <w:lang w:val="pt-BR" w:eastAsia="pt-BR" w:bidi="ar-SA"/>
            </w:rPr>
          </w:pPr>
          <w:r>
            <w:rPr>
              <w:kern w:val="0"/>
              <w:szCs w:val="22"/>
              <w:lang w:val="pt-BR" w:eastAsia="pt-BR" w:bidi="ar-SA"/>
            </w:rPr>
          </w:r>
        </w:p>
      </w:tc>
      <w:tc>
        <w:tcPr>
          <w:tcW w:w="4650" w:type="dxa"/>
          <w:tcBorders/>
        </w:tcPr>
        <w:p>
          <w:pPr>
            <w:pStyle w:val="Header"/>
            <w:widowControl/>
            <w:bidi w:val="0"/>
            <w:spacing w:before="0" w:after="0"/>
            <w:ind w:hanging="10" w:start="130" w:end="-115"/>
            <w:jc w:val="end"/>
            <w:rPr>
              <w:kern w:val="0"/>
              <w:szCs w:val="22"/>
              <w:lang w:val="pt-BR" w:eastAsia="pt-BR" w:bidi="ar-SA"/>
            </w:rPr>
          </w:pPr>
          <w:r>
            <w:rPr>
              <w:kern w:val="0"/>
              <w:szCs w:val="22"/>
              <w:lang w:val="pt-BR" w:eastAsia="pt-BR" w:bidi="ar-SA"/>
            </w:rPr>
          </w:r>
        </w:p>
      </w:tc>
    </w:tr>
  </w:tbl>
  <w:p>
    <w:pPr>
      <w:pStyle w:val="Header"/>
      <w:bidi w:val="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1395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4650"/>
      <w:gridCol w:w="4650"/>
      <w:gridCol w:w="4650"/>
    </w:tblGrid>
    <w:tr>
      <w:trPr>
        <w:trHeight w:val="300" w:hRule="atLeast"/>
      </w:trPr>
      <w:tc>
        <w:tcPr>
          <w:tcW w:w="4650" w:type="dxa"/>
          <w:tcBorders/>
        </w:tcPr>
        <w:p>
          <w:pPr>
            <w:pStyle w:val="Header"/>
            <w:widowControl/>
            <w:bidi w:val="0"/>
            <w:spacing w:before="0" w:after="0"/>
            <w:ind w:hanging="10" w:start="-115" w:end="3"/>
            <w:jc w:val="start"/>
            <w:rPr>
              <w:kern w:val="0"/>
              <w:szCs w:val="22"/>
              <w:lang w:val="pt-BR" w:eastAsia="pt-BR" w:bidi="ar-SA"/>
            </w:rPr>
          </w:pPr>
          <w:r>
            <w:rPr>
              <w:kern w:val="0"/>
              <w:szCs w:val="22"/>
              <w:lang w:val="pt-BR" w:eastAsia="pt-BR" w:bidi="ar-SA"/>
            </w:rPr>
          </w:r>
        </w:p>
      </w:tc>
      <w:tc>
        <w:tcPr>
          <w:tcW w:w="4650" w:type="dxa"/>
          <w:tcBorders/>
        </w:tcPr>
        <w:p>
          <w:pPr>
            <w:pStyle w:val="Header"/>
            <w:widowControl/>
            <w:bidi w:val="0"/>
            <w:spacing w:before="0" w:after="0"/>
            <w:jc w:val="center"/>
            <w:rPr>
              <w:kern w:val="0"/>
              <w:szCs w:val="22"/>
              <w:lang w:val="pt-BR" w:eastAsia="pt-BR" w:bidi="ar-SA"/>
            </w:rPr>
          </w:pPr>
          <w:r>
            <w:rPr>
              <w:kern w:val="0"/>
              <w:szCs w:val="22"/>
              <w:lang w:val="pt-BR" w:eastAsia="pt-BR" w:bidi="ar-SA"/>
            </w:rPr>
          </w:r>
        </w:p>
      </w:tc>
      <w:tc>
        <w:tcPr>
          <w:tcW w:w="4650" w:type="dxa"/>
          <w:tcBorders/>
        </w:tcPr>
        <w:p>
          <w:pPr>
            <w:pStyle w:val="Header"/>
            <w:widowControl/>
            <w:bidi w:val="0"/>
            <w:spacing w:before="0" w:after="0"/>
            <w:ind w:hanging="10" w:start="130" w:end="-115"/>
            <w:jc w:val="end"/>
            <w:rPr>
              <w:kern w:val="0"/>
              <w:szCs w:val="22"/>
              <w:lang w:val="pt-BR" w:eastAsia="pt-BR" w:bidi="ar-SA"/>
            </w:rPr>
          </w:pPr>
          <w:r>
            <w:rPr>
              <w:kern w:val="0"/>
              <w:szCs w:val="22"/>
              <w:lang w:val="pt-BR" w:eastAsia="pt-BR" w:bidi="ar-SA"/>
            </w:rPr>
          </w:r>
        </w:p>
      </w:tc>
    </w:tr>
  </w:tbl>
  <w:p>
    <w:pPr>
      <w:pStyle w:val="Header"/>
      <w:bidi w:val="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1395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4650"/>
      <w:gridCol w:w="4650"/>
      <w:gridCol w:w="4650"/>
    </w:tblGrid>
    <w:tr>
      <w:trPr>
        <w:trHeight w:val="300" w:hRule="atLeast"/>
      </w:trPr>
      <w:tc>
        <w:tcPr>
          <w:tcW w:w="4650" w:type="dxa"/>
          <w:tcBorders/>
        </w:tcPr>
        <w:p>
          <w:pPr>
            <w:pStyle w:val="Header"/>
            <w:widowControl/>
            <w:bidi w:val="0"/>
            <w:spacing w:before="0" w:after="0"/>
            <w:ind w:hanging="10" w:start="-115" w:end="3"/>
            <w:jc w:val="start"/>
            <w:rPr>
              <w:kern w:val="0"/>
              <w:szCs w:val="22"/>
              <w:lang w:val="pt-BR" w:eastAsia="pt-BR" w:bidi="ar-SA"/>
            </w:rPr>
          </w:pPr>
          <w:r>
            <w:rPr>
              <w:kern w:val="0"/>
              <w:szCs w:val="22"/>
              <w:lang w:val="pt-BR" w:eastAsia="pt-BR" w:bidi="ar-SA"/>
            </w:rPr>
          </w:r>
        </w:p>
      </w:tc>
      <w:tc>
        <w:tcPr>
          <w:tcW w:w="4650" w:type="dxa"/>
          <w:tcBorders/>
        </w:tcPr>
        <w:p>
          <w:pPr>
            <w:pStyle w:val="Header"/>
            <w:widowControl/>
            <w:bidi w:val="0"/>
            <w:spacing w:before="0" w:after="0"/>
            <w:jc w:val="center"/>
            <w:rPr>
              <w:kern w:val="0"/>
              <w:szCs w:val="22"/>
              <w:lang w:val="pt-BR" w:eastAsia="pt-BR" w:bidi="ar-SA"/>
            </w:rPr>
          </w:pPr>
          <w:r>
            <w:rPr>
              <w:kern w:val="0"/>
              <w:szCs w:val="22"/>
              <w:lang w:val="pt-BR" w:eastAsia="pt-BR" w:bidi="ar-SA"/>
            </w:rPr>
          </w:r>
        </w:p>
      </w:tc>
      <w:tc>
        <w:tcPr>
          <w:tcW w:w="4650" w:type="dxa"/>
          <w:tcBorders/>
        </w:tcPr>
        <w:p>
          <w:pPr>
            <w:pStyle w:val="Header"/>
            <w:widowControl/>
            <w:bidi w:val="0"/>
            <w:spacing w:before="0" w:after="0"/>
            <w:ind w:hanging="10" w:start="130" w:end="-115"/>
            <w:jc w:val="end"/>
            <w:rPr>
              <w:kern w:val="0"/>
              <w:szCs w:val="22"/>
              <w:lang w:val="pt-BR" w:eastAsia="pt-BR" w:bidi="ar-SA"/>
            </w:rPr>
          </w:pPr>
          <w:r>
            <w:rPr>
              <w:kern w:val="0"/>
              <w:szCs w:val="22"/>
              <w:lang w:val="pt-BR" w:eastAsia="pt-BR" w:bidi="ar-SA"/>
            </w:rPr>
          </w:r>
        </w:p>
      </w:tc>
    </w:tr>
  </w:tbl>
  <w:p>
    <w:pPr>
      <w:pStyle w:val="Header"/>
      <w:bidi w:val="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495"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165"/>
      <w:gridCol w:w="3165"/>
      <w:gridCol w:w="3165"/>
    </w:tblGrid>
    <w:tr>
      <w:trPr>
        <w:trHeight w:val="300" w:hRule="atLeast"/>
      </w:trPr>
      <w:tc>
        <w:tcPr>
          <w:tcW w:w="3165" w:type="dxa"/>
          <w:tcBorders/>
        </w:tcPr>
        <w:p>
          <w:pPr>
            <w:pStyle w:val="Header"/>
            <w:widowControl/>
            <w:bidi w:val="0"/>
            <w:spacing w:before="0" w:after="0"/>
            <w:ind w:hanging="10" w:start="-115" w:end="3"/>
            <w:jc w:val="start"/>
            <w:rPr>
              <w:kern w:val="0"/>
              <w:szCs w:val="22"/>
              <w:lang w:val="pt-BR" w:eastAsia="pt-BR" w:bidi="ar-SA"/>
            </w:rPr>
          </w:pPr>
          <w:r>
            <w:rPr>
              <w:kern w:val="0"/>
              <w:szCs w:val="22"/>
              <w:lang w:val="pt-BR" w:eastAsia="pt-BR" w:bidi="ar-SA"/>
            </w:rPr>
          </w:r>
        </w:p>
      </w:tc>
      <w:tc>
        <w:tcPr>
          <w:tcW w:w="3165" w:type="dxa"/>
          <w:tcBorders/>
        </w:tcPr>
        <w:p>
          <w:pPr>
            <w:pStyle w:val="Header"/>
            <w:widowControl/>
            <w:bidi w:val="0"/>
            <w:spacing w:before="0" w:after="0"/>
            <w:jc w:val="center"/>
            <w:rPr>
              <w:kern w:val="0"/>
              <w:szCs w:val="22"/>
              <w:lang w:val="pt-BR" w:eastAsia="pt-BR" w:bidi="ar-SA"/>
            </w:rPr>
          </w:pPr>
          <w:r>
            <w:rPr>
              <w:kern w:val="0"/>
              <w:szCs w:val="22"/>
              <w:lang w:val="pt-BR" w:eastAsia="pt-BR" w:bidi="ar-SA"/>
            </w:rPr>
          </w:r>
        </w:p>
      </w:tc>
      <w:tc>
        <w:tcPr>
          <w:tcW w:w="3165" w:type="dxa"/>
          <w:tcBorders/>
        </w:tcPr>
        <w:p>
          <w:pPr>
            <w:pStyle w:val="Header"/>
            <w:widowControl/>
            <w:bidi w:val="0"/>
            <w:spacing w:before="0" w:after="0"/>
            <w:rPr>
              <w:kern w:val="0"/>
              <w:szCs w:val="22"/>
              <w:lang w:val="pt-BR" w:eastAsia="pt-BR" w:bidi="ar-SA"/>
            </w:rPr>
          </w:pPr>
          <w:r>
            <w:rPr>
              <w:kern w:val="0"/>
              <w:szCs w:val="22"/>
              <w:lang w:val="pt-BR" w:eastAsia="pt-BR" w:bidi="ar-SA"/>
            </w:rPr>
          </w:r>
        </w:p>
      </w:tc>
    </w:tr>
  </w:tbl>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495"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165"/>
      <w:gridCol w:w="3165"/>
      <w:gridCol w:w="3165"/>
    </w:tblGrid>
    <w:tr>
      <w:trPr>
        <w:trHeight w:val="300" w:hRule="atLeast"/>
      </w:trPr>
      <w:tc>
        <w:tcPr>
          <w:tcW w:w="3165" w:type="dxa"/>
          <w:tcBorders/>
        </w:tcPr>
        <w:p>
          <w:pPr>
            <w:pStyle w:val="Header"/>
            <w:widowControl/>
            <w:bidi w:val="0"/>
            <w:spacing w:before="0" w:after="0"/>
            <w:ind w:hanging="10" w:start="-115" w:end="3"/>
            <w:jc w:val="start"/>
            <w:rPr>
              <w:kern w:val="0"/>
              <w:szCs w:val="22"/>
              <w:lang w:val="pt-BR" w:eastAsia="pt-BR" w:bidi="ar-SA"/>
            </w:rPr>
          </w:pPr>
          <w:r>
            <w:rPr>
              <w:kern w:val="0"/>
              <w:szCs w:val="22"/>
              <w:lang w:val="pt-BR" w:eastAsia="pt-BR" w:bidi="ar-SA"/>
            </w:rPr>
          </w:r>
        </w:p>
      </w:tc>
      <w:tc>
        <w:tcPr>
          <w:tcW w:w="3165" w:type="dxa"/>
          <w:tcBorders/>
        </w:tcPr>
        <w:p>
          <w:pPr>
            <w:pStyle w:val="Header"/>
            <w:widowControl/>
            <w:bidi w:val="0"/>
            <w:spacing w:before="0" w:after="0"/>
            <w:jc w:val="center"/>
            <w:rPr>
              <w:kern w:val="0"/>
              <w:szCs w:val="22"/>
              <w:lang w:val="pt-BR" w:eastAsia="pt-BR" w:bidi="ar-SA"/>
            </w:rPr>
          </w:pPr>
          <w:r>
            <w:rPr>
              <w:kern w:val="0"/>
              <w:szCs w:val="22"/>
              <w:lang w:val="pt-BR" w:eastAsia="pt-BR" w:bidi="ar-SA"/>
            </w:rPr>
          </w:r>
        </w:p>
      </w:tc>
      <w:tc>
        <w:tcPr>
          <w:tcW w:w="3165" w:type="dxa"/>
          <w:tcBorders/>
        </w:tcPr>
        <w:p>
          <w:pPr>
            <w:pStyle w:val="Header"/>
            <w:widowControl/>
            <w:bidi w:val="0"/>
            <w:spacing w:before="0" w:after="0"/>
            <w:ind w:hanging="10" w:start="130" w:end="-115"/>
            <w:jc w:val="end"/>
            <w:rPr>
              <w:kern w:val="0"/>
              <w:szCs w:val="22"/>
              <w:lang w:val="pt-BR" w:eastAsia="pt-BR" w:bidi="ar-SA"/>
            </w:rPr>
          </w:pPr>
          <w:r>
            <w:rPr>
              <w:kern w:val="0"/>
              <w:szCs w:val="22"/>
              <w:lang w:val="pt-BR" w:eastAsia="pt-BR" w:bidi="ar-SA"/>
            </w:rPr>
          </w:r>
        </w:p>
      </w:tc>
    </w:tr>
  </w:tbl>
  <w:p>
    <w:pPr>
      <w:pStyle w:val="Header"/>
      <w:bidi w:val="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495"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165"/>
      <w:gridCol w:w="3165"/>
      <w:gridCol w:w="3165"/>
    </w:tblGrid>
    <w:tr>
      <w:trPr>
        <w:trHeight w:val="300" w:hRule="atLeast"/>
      </w:trPr>
      <w:tc>
        <w:tcPr>
          <w:tcW w:w="3165" w:type="dxa"/>
          <w:tcBorders/>
        </w:tcPr>
        <w:p>
          <w:pPr>
            <w:pStyle w:val="Header"/>
            <w:widowControl/>
            <w:bidi w:val="0"/>
            <w:spacing w:before="0" w:after="0"/>
            <w:ind w:hanging="10" w:start="-115" w:end="3"/>
            <w:jc w:val="start"/>
            <w:rPr>
              <w:kern w:val="0"/>
              <w:szCs w:val="22"/>
              <w:lang w:val="pt-BR" w:eastAsia="pt-BR" w:bidi="ar-SA"/>
            </w:rPr>
          </w:pPr>
          <w:r>
            <w:rPr>
              <w:kern w:val="0"/>
              <w:szCs w:val="22"/>
              <w:lang w:val="pt-BR" w:eastAsia="pt-BR" w:bidi="ar-SA"/>
            </w:rPr>
          </w:r>
        </w:p>
      </w:tc>
      <w:tc>
        <w:tcPr>
          <w:tcW w:w="3165" w:type="dxa"/>
          <w:tcBorders/>
        </w:tcPr>
        <w:p>
          <w:pPr>
            <w:pStyle w:val="Header"/>
            <w:widowControl/>
            <w:bidi w:val="0"/>
            <w:spacing w:before="0" w:after="0"/>
            <w:jc w:val="center"/>
            <w:rPr>
              <w:kern w:val="0"/>
              <w:szCs w:val="22"/>
              <w:lang w:val="pt-BR" w:eastAsia="pt-BR" w:bidi="ar-SA"/>
            </w:rPr>
          </w:pPr>
          <w:r>
            <w:rPr>
              <w:kern w:val="0"/>
              <w:szCs w:val="22"/>
              <w:lang w:val="pt-BR" w:eastAsia="pt-BR" w:bidi="ar-SA"/>
            </w:rPr>
          </w:r>
        </w:p>
      </w:tc>
      <w:tc>
        <w:tcPr>
          <w:tcW w:w="3165" w:type="dxa"/>
          <w:tcBorders/>
        </w:tcPr>
        <w:p>
          <w:pPr>
            <w:pStyle w:val="Header"/>
            <w:widowControl/>
            <w:bidi w:val="0"/>
            <w:spacing w:before="0" w:after="0"/>
            <w:ind w:hanging="10" w:start="130" w:end="-115"/>
            <w:jc w:val="end"/>
            <w:rPr>
              <w:kern w:val="0"/>
              <w:szCs w:val="22"/>
              <w:lang w:val="pt-BR" w:eastAsia="pt-BR" w:bidi="ar-SA"/>
            </w:rPr>
          </w:pPr>
          <w:r>
            <w:rPr>
              <w:kern w:val="0"/>
              <w:szCs w:val="22"/>
              <w:lang w:val="pt-BR" w:eastAsia="pt-BR" w:bidi="ar-SA"/>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000000"/>
      </w:rPr>
    </w:lvl>
    <w:lvl w:ilvl="1">
      <w:start w:val="1"/>
      <w:numFmt w:val="lowerLetter"/>
      <w:lvlText w:val="%2"/>
      <w:lvlJc w:val="start"/>
      <w:pPr>
        <w:tabs>
          <w:tab w:val="num" w:pos="0"/>
        </w:tabs>
        <w:ind w:start="1554"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000000"/>
      </w:rPr>
    </w:lvl>
    <w:lvl w:ilvl="2">
      <w:start w:val="1"/>
      <w:numFmt w:val="lowerRoman"/>
      <w:lvlText w:val="%3"/>
      <w:lvlJc w:val="start"/>
      <w:pPr>
        <w:tabs>
          <w:tab w:val="num" w:pos="0"/>
        </w:tabs>
        <w:ind w:start="2274"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000000"/>
      </w:rPr>
    </w:lvl>
    <w:lvl w:ilvl="3">
      <w:start w:val="1"/>
      <w:numFmt w:val="decimal"/>
      <w:lvlText w:val="%4"/>
      <w:lvlJc w:val="start"/>
      <w:pPr>
        <w:tabs>
          <w:tab w:val="num" w:pos="0"/>
        </w:tabs>
        <w:ind w:start="2994"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000000"/>
      </w:rPr>
    </w:lvl>
    <w:lvl w:ilvl="4">
      <w:start w:val="1"/>
      <w:numFmt w:val="lowerLetter"/>
      <w:lvlText w:val="%5"/>
      <w:lvlJc w:val="start"/>
      <w:pPr>
        <w:tabs>
          <w:tab w:val="num" w:pos="0"/>
        </w:tabs>
        <w:ind w:start="3714"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000000"/>
      </w:rPr>
    </w:lvl>
    <w:lvl w:ilvl="5">
      <w:start w:val="1"/>
      <w:numFmt w:val="lowerRoman"/>
      <w:lvlText w:val="%6"/>
      <w:lvlJc w:val="start"/>
      <w:pPr>
        <w:tabs>
          <w:tab w:val="num" w:pos="0"/>
        </w:tabs>
        <w:ind w:start="4434"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000000"/>
      </w:rPr>
    </w:lvl>
    <w:lvl w:ilvl="6">
      <w:start w:val="1"/>
      <w:numFmt w:val="decimal"/>
      <w:lvlText w:val="%7"/>
      <w:lvlJc w:val="start"/>
      <w:pPr>
        <w:tabs>
          <w:tab w:val="num" w:pos="0"/>
        </w:tabs>
        <w:ind w:start="5154"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000000"/>
      </w:rPr>
    </w:lvl>
    <w:lvl w:ilvl="7">
      <w:start w:val="1"/>
      <w:numFmt w:val="lowerLetter"/>
      <w:lvlText w:val="%8"/>
      <w:lvlJc w:val="start"/>
      <w:pPr>
        <w:tabs>
          <w:tab w:val="num" w:pos="0"/>
        </w:tabs>
        <w:ind w:start="5874"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000000"/>
      </w:rPr>
    </w:lvl>
    <w:lvl w:ilvl="8">
      <w:start w:val="1"/>
      <w:numFmt w:val="lowerRoman"/>
      <w:lvlText w:val="%9"/>
      <w:lvlJc w:val="start"/>
      <w:pPr>
        <w:tabs>
          <w:tab w:val="num" w:pos="0"/>
        </w:tabs>
        <w:ind w:start="6594" w:hanging="0"/>
      </w:pPr>
      <w:rPr>
        <w:dstrike w:val="false"/>
        <w:strike w:val="false"/>
        <w:vertAlign w:val="baseline"/>
        <w:position w:val="0"/>
        <w:sz w:val="28"/>
        <w:sz w:val="28"/>
        <w:i w:val="false"/>
        <w:u w:val="none" w:color="000000"/>
        <w:b/>
        <w:shd w:fill="auto" w:val="clear"/>
        <w:szCs w:val="28"/>
        <w:bCs/>
        <w:rFonts w:ascii="Times New Roman" w:hAnsi="Times New Roman" w:eastAsia="Times New Roman" w:cs="Times New Roman"/>
        <w:color w:val="000000"/>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0" w:before="0" w:after="14"/>
      <w:ind w:hanging="10" w:start="130" w:end="3"/>
      <w:jc w:val="both"/>
    </w:pPr>
    <w:rPr>
      <w:rFonts w:ascii="Times New Roman" w:hAnsi="Times New Roman" w:eastAsia="Times New Roman" w:cs="Times New Roman"/>
      <w:color w:val="000000"/>
      <w:kern w:val="0"/>
      <w:sz w:val="24"/>
      <w:szCs w:val="22"/>
      <w:lang w:val="pt-BR" w:eastAsia="pt-BR" w:bidi="ar-SA"/>
    </w:rPr>
  </w:style>
  <w:style w:type="paragraph" w:styleId="Heading1">
    <w:name w:val="heading 1"/>
    <w:next w:val="Normal"/>
    <w:link w:val="Ttulo1Char"/>
    <w:uiPriority w:val="9"/>
    <w:qFormat/>
    <w:pPr>
      <w:keepNext w:val="true"/>
      <w:keepLines/>
      <w:widowControl/>
      <w:numPr>
        <w:ilvl w:val="0"/>
        <w:numId w:val="1"/>
      </w:numPr>
      <w:bidi w:val="0"/>
      <w:spacing w:lineRule="auto" w:line="259" w:before="0" w:after="52"/>
      <w:ind w:hanging="10" w:start="480"/>
      <w:jc w:val="start"/>
      <w:outlineLvl w:val="0"/>
    </w:pPr>
    <w:rPr>
      <w:rFonts w:ascii="Times New Roman" w:hAnsi="Times New Roman" w:eastAsia="Times New Roman" w:cs="Times New Roman"/>
      <w:b/>
      <w:color w:val="000000"/>
      <w:kern w:val="0"/>
      <w:sz w:val="28"/>
      <w:szCs w:val="22"/>
      <w:lang w:val="pt-BR" w:eastAsia="pt-BR" w:bidi="ar-SA"/>
    </w:rPr>
  </w:style>
  <w:style w:type="paragraph" w:styleId="Heading2">
    <w:name w:val="heading 2"/>
    <w:basedOn w:val="Normal"/>
    <w:next w:val="Normal"/>
    <w:link w:val="Ttulo2Char"/>
    <w:uiPriority w:val="9"/>
    <w:semiHidden/>
    <w:unhideWhenUsed/>
    <w:qFormat/>
    <w:rsid w:val="44b8327e"/>
    <w:pPr>
      <w:spacing w:beforeAutospacing="0" w:before="240" w:after="14"/>
    </w:pPr>
    <w:rPr>
      <w:rFonts w:ascii="Calibri" w:hAnsi="Calibri" w:eastAsia="" w:cs="" w:asciiTheme="minorAscii" w:cstheme="minorBidi" w:eastAsiaTheme="minorEastAsia" w:hAnsiTheme="minorAscii"/>
      <w:b/>
      <w:bCs/>
    </w:rPr>
  </w:style>
  <w:style w:type="character" w:styleId="DefaultParagraphFont" w:default="1">
    <w:name w:val="Default Paragraph Font"/>
    <w:uiPriority w:val="1"/>
    <w:semiHidden/>
    <w:unhideWhenUsed/>
    <w:qFormat/>
    <w:rPr/>
  </w:style>
  <w:style w:type="character" w:styleId="Ttulo1Char" w:customStyle="1">
    <w:name w:val="Título 1 Char"/>
    <w:link w:val="Heading1"/>
    <w:qFormat/>
    <w:rPr>
      <w:rFonts w:ascii="Times New Roman" w:hAnsi="Times New Roman" w:eastAsia="Times New Roman" w:cs="Times New Roman"/>
      <w:b/>
      <w:color w:val="000000"/>
      <w:sz w:val="28"/>
    </w:rPr>
  </w:style>
  <w:style w:type="character" w:styleId="Ttulo2Char" w:customStyle="1">
    <w:name w:val="Título 2 Char"/>
    <w:link w:val="Heading2"/>
    <w:uiPriority w:val="9"/>
    <w:semiHidden/>
    <w:qFormat/>
    <w:rsid w:val="44b8327e"/>
    <w:rPr>
      <w:rFonts w:ascii="Calibri" w:hAnsi="Calibri" w:eastAsia="" w:cs="" w:asciiTheme="minorAscii" w:cstheme="minorBidi" w:eastAsiaTheme="minorEastAsia" w:hAnsiTheme="minorAscii"/>
      <w:b/>
      <w:bCs/>
    </w:rPr>
  </w:style>
  <w:style w:type="character" w:styleId="Strong">
    <w:name w:val="Strong"/>
    <w:qFormat/>
    <w:rsid w:val="00e95a64"/>
    <w:rPr>
      <w:b/>
      <w:bCs/>
    </w:rPr>
  </w:style>
  <w:style w:type="character" w:styleId="Hyperlink">
    <w:name w:val="Hyperlink"/>
    <w:basedOn w:val="DefaultParagraphFont"/>
    <w:uiPriority w:val="99"/>
    <w:unhideWhenUsed/>
    <w:rsid w:val="00e95a64"/>
    <w:rPr>
      <w:color w:val="FFFFFF"/>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ntedodatabela" w:customStyle="1">
    <w:name w:val="Conteúdo da tabela"/>
    <w:basedOn w:val="Normal"/>
    <w:qFormat/>
    <w:rsid w:val="00e95a64"/>
    <w:pPr>
      <w:widowControl w:val="false"/>
      <w:suppressLineNumbers/>
      <w:suppressAutoHyphens w:val="true"/>
      <w:spacing w:lineRule="auto" w:line="276" w:before="0" w:after="160"/>
      <w:ind w:hanging="0" w:start="0" w:end="0"/>
      <w:jc w:val="start"/>
    </w:pPr>
    <w:rPr>
      <w:rFonts w:ascii="Aptos" w:hAnsi="Aptos" w:eastAsia="Aptos" w:cs="Noto Sans Arabic"/>
      <w:color w:val="auto"/>
      <w:kern w:val="2"/>
      <w:szCs w:val="24"/>
      <w:lang w:eastAsia="en-US"/>
    </w:rPr>
  </w:style>
  <w:style w:type="paragraph" w:styleId="HeaderandFooter">
    <w:name w:val="Header and Footer"/>
    <w:basedOn w:val="Normal"/>
    <w:qFormat/>
    <w:pPr/>
    <w:rPr/>
  </w:style>
  <w:style w:type="paragraph" w:styleId="Header">
    <w:name w:val="header"/>
    <w:basedOn w:val="Normal"/>
    <w:uiPriority w:val="99"/>
    <w:unhideWhenUsed/>
    <w:rsid w:val="44b8327e"/>
    <w:pPr>
      <w:tabs>
        <w:tab w:val="clear" w:pos="708"/>
        <w:tab w:val="center" w:pos="4680" w:leader="none"/>
        <w:tab w:val="right" w:pos="9360" w:leader="none"/>
      </w:tabs>
      <w:spacing w:before="0" w:after="0"/>
    </w:pPr>
    <w:rPr/>
  </w:style>
  <w:style w:type="paragraph" w:styleId="ListParagraph">
    <w:name w:val="List Paragraph"/>
    <w:basedOn w:val="Normal"/>
    <w:uiPriority w:val="34"/>
    <w:qFormat/>
    <w:rsid w:val="44b8327e"/>
    <w:pPr>
      <w:spacing w:before="0" w:after="14"/>
      <w:ind w:start="720"/>
      <w:contextualSpacing/>
    </w:pPr>
    <w:rPr/>
  </w:style>
  <w:style w:type="paragraph" w:styleId="Footer">
    <w:name w:val="footer"/>
    <w:basedOn w:val="Normal"/>
    <w:uiPriority w:val="99"/>
    <w:unhideWhenUsed/>
    <w:rsid w:val="44b8327e"/>
    <w:pPr>
      <w:tabs>
        <w:tab w:val="clear" w:pos="708"/>
        <w:tab w:val="center" w:pos="4680" w:leader="none"/>
        <w:tab w:val="right" w:pos="9360" w:leader="none"/>
      </w:tabs>
      <w:spacing w:before="0" w:after="0"/>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hyperlink" Target="https://vigilancia.saude.rr.gov.br/wp-content/uploads/2024/03/informacao_cds_estadoderoraima_2024_0001.pdf" TargetMode="External"/><Relationship Id="rId28" Type="http://schemas.openxmlformats.org/officeDocument/2006/relationships/hyperlink" Target="https://www.ibge.gov.br/cidades-e-estados/mg/contagem.html" TargetMode="External"/><Relationship Id="rId29" Type="http://schemas.openxmlformats.org/officeDocument/2006/relationships/hyperlink" Target="https://g1.globo.com/sp/sao-paulo/noticia/2021ml" TargetMode="External"/><Relationship Id="rId30" Type="http://schemas.openxmlformats.org/officeDocument/2006/relationships/hyperlink" Target="https://vestibular.brasilescola.uol.com.br/enem/enem-2021-termina-com-a-menor-participacao-em-mais-de-uma-decada/351631.html" TargetMode="External"/><Relationship Id="rId31" Type="http://schemas.openxmlformats.org/officeDocument/2006/relationships/header" Target="header7.xml"/><Relationship Id="rId32" Type="http://schemas.openxmlformats.org/officeDocument/2006/relationships/header" Target="header8.xml"/><Relationship Id="rId33" Type="http://schemas.openxmlformats.org/officeDocument/2006/relationships/header" Target="header9.xml"/><Relationship Id="rId34" Type="http://schemas.openxmlformats.org/officeDocument/2006/relationships/footer" Target="footer7.xml"/><Relationship Id="rId35" Type="http://schemas.openxmlformats.org/officeDocument/2006/relationships/footer" Target="footer8.xml"/><Relationship Id="rId36" Type="http://schemas.openxmlformats.org/officeDocument/2006/relationships/footer" Target="footer9.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LibreOffice/25.8.3.2$Linux_X86_64 LibreOffice_project/580$Build-2</Application>
  <AppVersion>15.0000</AppVersion>
  <Pages>20</Pages>
  <Words>3375</Words>
  <Characters>19047</Characters>
  <CharactersWithSpaces>22451</CharactersWithSpaces>
  <Paragraphs>666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2025-11-23T10:27:00Z</dcterms:created>
  <dc:creator>Vinícius Augusto</dc:creator>
  <dc:description/>
  <dc:language>en-US</dc:language>
  <cp:lastModifiedBy/>
  <dcterms:modified xsi:type="dcterms:W3CDTF">2025-11-29T18:50:08Z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