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グローバル大型株の決算で市場が本当に見るポイント"/>
    <w:p>
      <w:pPr>
        <w:pStyle w:val="Heading1"/>
      </w:pPr>
      <w:r>
        <w:rPr>
          <w:rFonts w:hint="eastAsia"/>
        </w:rPr>
        <w:t xml:space="preserve">グローバル大型株の決算で市場が本当に見るポイント</w:t>
      </w:r>
    </w:p>
    <w:bookmarkStart w:id="22" w:name="結論"/>
    <w:p>
      <w:pPr>
        <w:pStyle w:val="Heading2"/>
      </w:pPr>
      <w:r>
        <w:rPr>
          <w:rFonts w:hint="eastAsia"/>
        </w:rPr>
        <w:t xml:space="preserve">結論</w:t>
      </w:r>
    </w:p>
    <w:p>
      <w:pPr>
        <w:pStyle w:val="FirstParagraph"/>
      </w:pPr>
      <w:r>
        <w:rPr>
          <w:rFonts w:hint="eastAsia"/>
        </w:rPr>
        <w:t xml:space="preserve">あなたの監視リストのようなグローバル主力株では、株価を最も動かしやすいのは「今期の着地」そのものよりも、</w:t>
      </w:r>
      <w:r>
        <w:rPr>
          <w:rFonts w:hint="eastAsia"/>
          <w:b/>
          <w:bCs/>
        </w:rPr>
        <w:t xml:space="preserve">次四半期と通期のガイダンス、主力事業の需要の質、粗利率と営業利益率の持続性、キャッシュ化の強さ、そして規制・地政学・資本配分のコメント</w:t>
      </w:r>
      <w:r>
        <w:rPr>
          <w:rFonts w:hint="eastAsia"/>
        </w:rPr>
        <w:t xml:space="preserve">です。実際に、urlTSMChttps://investor.tsmc.com/englishはQ2売上・粗利率・営業利益率のレンジと通期成長見通しを前面に出し、urlASMLhttps://www.asml.com/en/investorsも通期売上と粗利レンジを中心に示し、urlMicrosofthttps://www.microsoft.com/en-us/investorはRPO、urlJPMorgan</w:t>
      </w:r>
      <w:r>
        <w:t xml:space="preserve"> </w:t>
      </w:r>
      <w:r>
        <w:rPr>
          <w:rFonts w:hint="eastAsia"/>
        </w:rPr>
        <w:t xml:space="preserve">Chasehttps://www.jpmorganchase.com/はNII・CET1・信用費用、urlEli</w:t>
      </w:r>
      <w:r>
        <w:t xml:space="preserve"> </w:t>
      </w:r>
      <w:r>
        <w:rPr>
          <w:rFonts w:hint="eastAsia"/>
        </w:rPr>
        <w:t xml:space="preserve">Lillyhttps://investor.lilly.com/は価格よりも数量ドリブンの需要、urlShellhttps://www.shell.com/はCFFOと運転資本の影響を強調しています。したがって、機関投資家や銀行ディーラーがまず値付けするのは「EPSがコンセンサスを何セント上回ったか」ではなく、「来期の期待値を上げたか、下げたか」です。</w:t>
      </w:r>
      <w:r>
        <w:t xml:space="preserve"> </w:t>
      </w:r>
      <w:hyperlink r:id="rId21">
        <w:r>
          <w:rPr>
            <w:rStyle w:val="Hyperlink"/>
          </w:rPr>
          <w:t xml:space="preserve">[1]</w:t>
        </w:r>
      </w:hyperlink>
    </w:p>
    <w:bookmarkEnd w:id="22"/>
    <w:bookmarkStart w:id="26" w:name="まず確認する共通フレーム"/>
    <w:p>
      <w:pPr>
        <w:pStyle w:val="Heading2"/>
      </w:pPr>
      <w:r>
        <w:rPr>
          <w:rFonts w:hint="eastAsia"/>
        </w:rPr>
        <w:t xml:space="preserve">まず確認する共通フレーム</w:t>
      </w:r>
    </w:p>
    <w:p>
      <w:pPr>
        <w:pStyle w:val="FirstParagraph"/>
      </w:pPr>
      <w:r>
        <w:rPr>
          <w:rFonts w:hint="eastAsia"/>
        </w:rPr>
        <w:t xml:space="preserve">最初に見るべきは</w:t>
      </w:r>
      <w:r>
        <w:rPr>
          <w:rFonts w:hint="eastAsia"/>
          <w:b/>
          <w:bCs/>
        </w:rPr>
        <w:t xml:space="preserve">ガイダンスの方向</w:t>
      </w:r>
      <w:r>
        <w:rPr>
          <w:rFonts w:hint="eastAsia"/>
        </w:rPr>
        <w:t xml:space="preserve">です。半導体ではurlTSMChttps://investor.tsmc.com/englishがQ2売上39.0〜40.2Bドル、粗利率65.5〜67.5%、営業利益率56.5〜58.5%を提示し、通期売上も米ドルベースで30%超成長を見込んでいます。装置ではurlASMLhttps://www.asml.com/en/investorsが2026年売上見通しを36〜40Bユーロへ引き上げ、粗利率51〜53%を維持しています。プラットフォームではurlAmazonhttps://ir.aboutamazon.com/が2026年の全社CapExを約2,000億ドルと明示し、urlNetflixhttps://ir.netflix.net/も2026年売上と営業利益率目標を維持しています。つまり「未達か達成か」ではなく、「会社が先の前提をどう置き換えたか」が最優先です。</w:t>
      </w:r>
      <w:r>
        <w:t xml:space="preserve"> </w:t>
      </w:r>
      <w:hyperlink r:id="rId21">
        <w:r>
          <w:rPr>
            <w:rStyle w:val="Hyperlink"/>
          </w:rPr>
          <w:t xml:space="preserve">[2]</w:t>
        </w:r>
      </w:hyperlink>
    </w:p>
    <w:p>
      <w:pPr>
        <w:pStyle w:val="BodyText"/>
      </w:pPr>
      <w:r>
        <w:rPr>
          <w:rFonts w:hint="eastAsia"/>
        </w:rPr>
        <w:t xml:space="preserve">次に見るべきは</w:t>
      </w:r>
      <w:r>
        <w:rPr>
          <w:rFonts w:hint="eastAsia"/>
          <w:b/>
          <w:bCs/>
        </w:rPr>
        <w:t xml:space="preserve">成長の質</w:t>
      </w:r>
      <w:r>
        <w:rPr>
          <w:rFonts w:hint="eastAsia"/>
        </w:rPr>
        <w:t xml:space="preserve">です。売上成長が、数量増なのか、値上げなのか、製品ミックス改善なのか、為替なのかで評価は大きく変わります。urlEli</w:t>
      </w:r>
      <w:r>
        <w:t xml:space="preserve"> </w:t>
      </w:r>
      <w:r>
        <w:rPr>
          <w:rFonts w:hint="eastAsia"/>
        </w:rPr>
        <w:t xml:space="preserve">Lillyhttps://investor.lilly.com/はQ1売上が56%増でも、その主因を数量増としつつ、MounjaroとZepboundの実現価格低下を明記しています。urlApplehttps://investor.apple.com/はサービス売上増とサービス粗利率改善を示す一方、10-Qで製品・サービスの粗利改善に「製品ミックス」と「ドル安」を挙げています。urlRochehttps://www.roche.com/はCERでは増収でも、スイスフラン高で報告ベースは減収でした。urlNestléhttps://www.nestle.com/はQ1のOG</w:t>
      </w:r>
      <w:r>
        <w:t xml:space="preserve"> 3.5%をRIG </w:t>
      </w:r>
      <w:r>
        <w:rPr>
          <w:rFonts w:hint="eastAsia"/>
        </w:rPr>
        <w:t xml:space="preserve">1.2%と価格2.3%に分けて示し、urlKDDIhttps://www.kddi.com/english/はARPU上昇と解約率低下をセットで語っています。市場が本当に見たいのは「伸びたか」ではなく、「何で伸びたか」「それは再現可能か」です。</w:t>
      </w:r>
      <w:r>
        <w:t xml:space="preserve"> </w:t>
      </w:r>
      <w:hyperlink r:id="rId23">
        <w:r>
          <w:rPr>
            <w:rStyle w:val="Hyperlink"/>
          </w:rPr>
          <w:t xml:space="preserve">[3]</w:t>
        </w:r>
      </w:hyperlink>
    </w:p>
    <w:p>
      <w:pPr>
        <w:pStyle w:val="BodyText"/>
      </w:pPr>
      <w:r>
        <w:rPr>
          <w:rFonts w:hint="eastAsia"/>
        </w:rPr>
        <w:t xml:space="preserve">その次が</w:t>
      </w:r>
      <w:r>
        <w:rPr>
          <w:rFonts w:hint="eastAsia"/>
          <w:b/>
          <w:bCs/>
        </w:rPr>
        <w:t xml:space="preserve">利益率とキャッシュ化の質</w:t>
      </w:r>
      <w:r>
        <w:rPr>
          <w:rFonts w:hint="eastAsia"/>
        </w:rPr>
        <w:t xml:space="preserve">です。粗利率や営業利益率が改善していても、規制クレジット、為替、在庫評価、運転資本の振れで見かけが良くなっているだけなら、持続性は低くなります。urlNVIDIAhttps://investor.nvidia.com/はQ4</w:t>
      </w:r>
      <w:r>
        <w:t xml:space="preserve"> </w:t>
      </w:r>
      <w:r>
        <w:rPr>
          <w:rFonts w:hint="eastAsia"/>
        </w:rPr>
        <w:t xml:space="preserve">FY26の粗利率75.0%を維持し、urlTeslahttps://ir.tesla.com/はQ1</w:t>
      </w:r>
      <w:r>
        <w:t xml:space="preserve"> </w:t>
      </w:r>
      <w:r>
        <w:rPr>
          <w:rFonts w:hint="eastAsia"/>
        </w:rPr>
        <w:t xml:space="preserve">2026の自動車粗利率21.1%に対し、規制クレジット控除後の自動車粗利率を19.2%として開示しています。urlShellhttps://www.shell.com/はQ1</w:t>
      </w:r>
      <w:r>
        <w:t xml:space="preserve"> 2026のAdjusted Earnings </w:t>
      </w:r>
      <w:r>
        <w:rPr>
          <w:rFonts w:hint="eastAsia"/>
        </w:rPr>
        <w:t xml:space="preserve">69億ドルに対して、運転資本流出112億ドルを明示し、CFFO（運転資本除き）172億ドルと分けて説明しました。urlGE</w:t>
      </w:r>
      <w:r>
        <w:t xml:space="preserve"> Aerospacehttps://www.geaerospace.com/は1Q26でFCF </w:t>
      </w:r>
      <w:r>
        <w:rPr>
          <w:rFonts w:hint="eastAsia"/>
        </w:rPr>
        <w:t xml:space="preserve">17億ドル、urlCaterpillarhttps://www.caterpillar.com/は価格実現と販売数量で増益だった一方、関税コストが製造コストの逆風だったことを示しています。機関投資家は、PLだけでなく「利益が現金になっているか」を必ず見ます。</w:t>
      </w:r>
      <w:r>
        <w:t xml:space="preserve"> </w:t>
      </w:r>
      <w:hyperlink r:id="rId24">
        <w:r>
          <w:rPr>
            <w:rStyle w:val="Hyperlink"/>
          </w:rPr>
          <w:t xml:space="preserve">[4]</w:t>
        </w:r>
      </w:hyperlink>
    </w:p>
    <w:p>
      <w:pPr>
        <w:pStyle w:val="BodyText"/>
      </w:pPr>
      <w:r>
        <w:rPr>
          <w:rFonts w:hint="eastAsia"/>
        </w:rPr>
        <w:t xml:space="preserve">最後の共通項目が</w:t>
      </w:r>
      <w:r>
        <w:rPr>
          <w:rFonts w:hint="eastAsia"/>
          <w:b/>
          <w:bCs/>
        </w:rPr>
        <w:t xml:space="preserve">バランスシートと資本配分</w:t>
      </w:r>
      <w:r>
        <w:rPr>
          <w:rFonts w:hint="eastAsia"/>
        </w:rPr>
        <w:t xml:space="preserve">です。金融株ではCET1や貸倒費用、非金融株では自社株買い・配当・借入余力・大型投資の前提が重要です。urlJPMorgan</w:t>
      </w:r>
      <w:r>
        <w:t xml:space="preserve"> Chasehttps://www.jpmorganchase.com/はQ1 </w:t>
      </w:r>
      <w:r>
        <w:rPr>
          <w:rFonts w:hint="eastAsia"/>
        </w:rPr>
        <w:t xml:space="preserve">2026でCET1比率14.3%、NIIと信用費用を開示し、urlHSBChttps://www.hsbc.com/は1Q26でCET1比率14.0%、Banking</w:t>
      </w:r>
      <w:r>
        <w:t xml:space="preserve"> </w:t>
      </w:r>
      <w:r>
        <w:rPr>
          <w:rFonts w:hint="eastAsia"/>
        </w:rPr>
        <w:t xml:space="preserve">NIIを約460億ドルへ更新、ECLを45bpとしています。urlVisahttps://investor.visa.com/はQ2</w:t>
      </w:r>
      <w:r>
        <w:t xml:space="preserve"> </w:t>
      </w:r>
      <w:r>
        <w:rPr>
          <w:rFonts w:hint="eastAsia"/>
        </w:rPr>
        <w:t xml:space="preserve">FY26で92億ドルの株主還元と新たな200億ドルの自社株買い枠を示し、urlMastercardhttps://investor.mastercard.com/も買戻し継続を開示しています。数字が強くても、資本が薄い、信用費用が膨らむ、投資負担が急増する、という決算は評価されにくいです。</w:t>
      </w:r>
      <w:r>
        <w:t xml:space="preserve"> </w:t>
      </w:r>
      <w:hyperlink r:id="rId25">
        <w:r>
          <w:rPr>
            <w:rStyle w:val="Hyperlink"/>
          </w:rPr>
          <w:t xml:space="preserve">[5]</w:t>
        </w:r>
      </w:hyperlink>
    </w:p>
    <w:bookmarkEnd w:id="26"/>
    <w:bookmarkStart w:id="31" w:name="セクターごとの着眼点"/>
    <w:p>
      <w:pPr>
        <w:pStyle w:val="Heading2"/>
      </w:pPr>
      <w:r>
        <w:rPr>
          <w:rFonts w:hint="eastAsia"/>
        </w:rPr>
        <w:t xml:space="preserve">セクターごとの着眼点</w:t>
      </w:r>
    </w:p>
    <w:p>
      <w:pPr>
        <w:pStyle w:val="FirstParagraph"/>
      </w:pPr>
      <w:r>
        <w:rPr>
          <w:rFonts w:hint="eastAsia"/>
          <w:b/>
          <w:bCs/>
        </w:rPr>
        <w:t xml:space="preserve">半導体・AIインフラ</w:t>
      </w:r>
      <w:r>
        <w:rPr>
          <w:rFonts w:hint="eastAsia"/>
        </w:rPr>
        <w:t xml:space="preserve">では、最重要なのは「最終需要」よりも</w:t>
      </w:r>
      <w:r>
        <w:rPr>
          <w:rFonts w:hint="eastAsia"/>
          <w:b/>
          <w:bCs/>
        </w:rPr>
        <w:t xml:space="preserve">AI関連売上の伸び、製品ミックス、先端ノード/装置の供給制約、ガイダンス</w:t>
      </w:r>
      <w:r>
        <w:rPr>
          <w:rFonts w:hint="eastAsia"/>
        </w:rPr>
        <w:t xml:space="preserve">です。代表例としては、urlNVIDIAhttps://investor.nvidia.com/、urlBroadcomhttps://investors.broadcom.com/、urlTSMChttps://investor.tsmc.com/english、urlASMLhttps://www.asml.com/en/investorsです。NVIDIAはQ4</w:t>
      </w:r>
      <w:r>
        <w:t xml:space="preserve"> FY26でData </w:t>
      </w:r>
      <w:r>
        <w:rPr>
          <w:rFonts w:hint="eastAsia"/>
        </w:rPr>
        <w:t xml:space="preserve">Center売上623億ドル、BroadcomはQ1</w:t>
      </w:r>
      <w:r>
        <w:t xml:space="preserve"> </w:t>
      </w:r>
      <w:r>
        <w:rPr>
          <w:rFonts w:hint="eastAsia"/>
        </w:rPr>
        <w:t xml:space="preserve">FY26でAI売上84億ドルかつQ2のAI半導体売上見通し107億ドル、TSMCは1Q26でHPC比率61%・先端ノード比率74%・通期売上30%超成長見通し、ASMLはQ1</w:t>
      </w:r>
      <w:r>
        <w:t xml:space="preserve"> </w:t>
      </w:r>
      <w:r>
        <w:rPr>
          <w:rFonts w:hint="eastAsia"/>
        </w:rPr>
        <w:t xml:space="preserve">2026売上88億ユーロ・粗利53.0%・通期36〜40Bユーロ見通しを示しています。したがって、このグループでは「データセンター売上」「HPC比率」「AI</w:t>
      </w:r>
      <w:r>
        <w:t xml:space="preserve"> networking / custom </w:t>
      </w:r>
      <w:r>
        <w:rPr>
          <w:rFonts w:hint="eastAsia"/>
        </w:rPr>
        <w:t xml:space="preserve">accelerator」「EUV/High-NAの出荷・サービス売上」「粗利レンジ」「設備投資の吸収力」が最重要です。</w:t>
      </w:r>
      <w:r>
        <w:t xml:space="preserve"> </w:t>
      </w:r>
      <w:hyperlink r:id="rId27">
        <w:r>
          <w:rPr>
            <w:rStyle w:val="Hyperlink"/>
          </w:rPr>
          <w:t xml:space="preserve">[6]</w:t>
        </w:r>
      </w:hyperlink>
    </w:p>
    <w:p>
      <w:pPr>
        <w:pStyle w:val="BodyText"/>
      </w:pPr>
      <w:r>
        <w:rPr>
          <w:rFonts w:hint="eastAsia"/>
          <w:b/>
          <w:bCs/>
        </w:rPr>
        <w:t xml:space="preserve">クラウド・プラットフォーム・広告</w:t>
      </w:r>
      <w:r>
        <w:rPr>
          <w:rFonts w:hint="eastAsia"/>
        </w:rPr>
        <w:t xml:space="preserve">では、売上総額よりも</w:t>
      </w:r>
      <w:r>
        <w:rPr>
          <w:rFonts w:hint="eastAsia"/>
          <w:b/>
          <w:bCs/>
        </w:rPr>
        <w:t xml:space="preserve">主力エンジンのKPI</w:t>
      </w:r>
      <w:r>
        <w:rPr>
          <w:rFonts w:hint="eastAsia"/>
        </w:rPr>
        <w:t xml:space="preserve">が大事です。代表例は、urlMicrosofthttps://www.microsoft.com/en-us/investor、urlAmazonhttps://ir.aboutamazon.com/、urlAlphabethttps://abc.xyz/investor/、urlMetahttps://investor.atmeta.com/、urlApplehttps://investor.apple.com/です。MicrosoftではAzureの成長率だけでなくRPO</w:t>
      </w:r>
      <w:r>
        <w:t xml:space="preserve"> </w:t>
      </w:r>
      <w:r>
        <w:rPr>
          <w:rFonts w:hint="eastAsia"/>
        </w:rPr>
        <w:t xml:space="preserve">6,270億ドルとOpenAIを含む/除く受注の質、AmazonではAWS売上376億ドル・営業利益142億ドルに加えて全社CapEx</w:t>
      </w:r>
      <w:r>
        <w:t xml:space="preserve"> </w:t>
      </w:r>
      <w:r>
        <w:rPr>
          <w:rFonts w:hint="eastAsia"/>
        </w:rPr>
        <w:t xml:space="preserve">2,000億ドル、AlphabetではSearch</w:t>
      </w:r>
      <w:r>
        <w:t xml:space="preserve"> </w:t>
      </w:r>
      <w:r>
        <w:rPr>
          <w:rFonts w:hint="eastAsia"/>
        </w:rPr>
        <w:t xml:space="preserve">600億ドル・YouTube広告11%増・Network広告4%減、Metaでは平均広告単価12%上昇とCapEx</w:t>
      </w:r>
      <w:r>
        <w:t xml:space="preserve"> </w:t>
      </w:r>
      <w:r>
        <w:rPr>
          <w:rFonts w:hint="eastAsia"/>
        </w:rPr>
        <w:t xml:space="preserve">198.4億ドル、Appleではサービスの過去最高売上と高いサービス粗利率が重要でした。つまりこのグループは、</w:t>
      </w:r>
      <w:r>
        <w:rPr>
          <w:rFonts w:hint="eastAsia"/>
          <w:b/>
          <w:bCs/>
        </w:rPr>
        <w:t xml:space="preserve">売上成長率の高さそのものではなく、クラウドの収益性、広告の単価と在庫、契約残高、CapExの回収可能性</w:t>
      </w:r>
      <w:r>
        <w:rPr>
          <w:rFonts w:hint="eastAsia"/>
        </w:rPr>
        <w:t xml:space="preserve">を見るべきです。</w:t>
      </w:r>
      <w:r>
        <w:t xml:space="preserve"> </w:t>
      </w:r>
      <w:hyperlink r:id="rId28">
        <w:r>
          <w:rPr>
            <w:rStyle w:val="Hyperlink"/>
          </w:rPr>
          <w:t xml:space="preserve">[7]</w:t>
        </w:r>
      </w:hyperlink>
    </w:p>
    <w:p>
      <w:pPr>
        <w:pStyle w:val="BodyText"/>
      </w:pPr>
      <w:r>
        <w:rPr>
          <w:rFonts w:hint="eastAsia"/>
          <w:b/>
          <w:bCs/>
        </w:rPr>
        <w:t xml:space="preserve">銀行・決済・保険</w:t>
      </w:r>
      <w:r>
        <w:rPr>
          <w:rFonts w:hint="eastAsia"/>
        </w:rPr>
        <w:t xml:space="preserve">では、株価を動かす本丸は</w:t>
      </w:r>
      <w:r>
        <w:rPr>
          <w:rFonts w:hint="eastAsia"/>
          <w:b/>
          <w:bCs/>
        </w:rPr>
        <w:t xml:space="preserve">NII/NIM、信用費用、資本比率、取引収益、ボリューム指標、ソルベンシー</w:t>
      </w:r>
      <w:r>
        <w:rPr>
          <w:rFonts w:hint="eastAsia"/>
        </w:rPr>
        <w:t xml:space="preserve">です。代表例は、urlJPMorgan</w:t>
      </w:r>
      <w:r>
        <w:t xml:space="preserve"> Chasehttps://www.jpmorganchase.com/、urlVisahttps://investor.visa.com/、urlMastercardhttps://investor.mastercard.com/、urlHSBChttps://www.hsbc.com/、urlSMFGhttps://www.smfg.co.jp/english/、urlAllianzhttps://www.allianz.com/です。JPMorganはQ1 2026でNII </w:t>
      </w:r>
      <w:r>
        <w:rPr>
          <w:rFonts w:hint="eastAsia"/>
        </w:rPr>
        <w:t xml:space="preserve">254億ドル、NII</w:t>
      </w:r>
      <w:r>
        <w:t xml:space="preserve"> excl. Markets </w:t>
      </w:r>
      <w:r>
        <w:rPr>
          <w:rFonts w:hint="eastAsia"/>
        </w:rPr>
        <w:t xml:space="preserve">233億ドル、CET1</w:t>
      </w:r>
      <w:r>
        <w:t xml:space="preserve"> </w:t>
      </w:r>
      <w:r>
        <w:rPr>
          <w:rFonts w:hint="eastAsia"/>
        </w:rPr>
        <w:t xml:space="preserve">14.3%、信用費用25億ドルを示し、HSBCはBanking</w:t>
      </w:r>
      <w:r>
        <w:t xml:space="preserve"> </w:t>
      </w:r>
      <w:r>
        <w:rPr>
          <w:rFonts w:hint="eastAsia"/>
        </w:rPr>
        <w:t xml:space="preserve">NIIを約460億ドルへ更新しECLを45bp、CET1を14.0%としました。VisaはQ2</w:t>
      </w:r>
      <w:r>
        <w:t xml:space="preserve"> FY26でPayments Volume 9%、Cross-Border Volume 12%、Processed Transactions 9%、MastercardはQ1 2026でGross Dollar Volume 7%、Cross-border 13%、Switched Transactions </w:t>
      </w:r>
      <w:r>
        <w:rPr>
          <w:rFonts w:hint="eastAsia"/>
        </w:rPr>
        <w:t xml:space="preserve">9%でした。保険ではAllianzのcombined</w:t>
      </w:r>
      <w:r>
        <w:t xml:space="preserve"> ratio 92.2%、Solvency II </w:t>
      </w:r>
      <w:r>
        <w:rPr>
          <w:rFonts w:hint="eastAsia"/>
        </w:rPr>
        <w:t xml:space="preserve">218%のように、見た目の増益よりも「損害率・費用率・資本余力」が重視されます。銀行ディーラーが最も嫌うのは、利益が出ていても、NIIの先行きが悪い、信用費用の前提が甘い、CET1が縮む決算です。</w:t>
      </w:r>
      <w:r>
        <w:t xml:space="preserve"> </w:t>
      </w:r>
      <w:hyperlink r:id="rId25">
        <w:r>
          <w:rPr>
            <w:rStyle w:val="Hyperlink"/>
          </w:rPr>
          <w:t xml:space="preserve">[8]</w:t>
        </w:r>
      </w:hyperlink>
    </w:p>
    <w:p>
      <w:pPr>
        <w:pStyle w:val="BodyText"/>
      </w:pPr>
      <w:r>
        <w:rPr>
          <w:rFonts w:hint="eastAsia"/>
          <w:b/>
          <w:bCs/>
        </w:rPr>
        <w:t xml:space="preserve">医薬・ヘルスケア</w:t>
      </w:r>
      <w:r>
        <w:t xml:space="preserve">では、EPSより</w:t>
      </w:r>
      <w:r>
        <w:rPr>
          <w:rFonts w:hint="eastAsia"/>
          <w:b/>
          <w:bCs/>
        </w:rPr>
        <w:t xml:space="preserve">主力薬の数量、価格、供給、適応拡大、パイプライン、医療コスト率</w:t>
      </w:r>
      <w:r>
        <w:rPr>
          <w:rFonts w:hint="eastAsia"/>
        </w:rPr>
        <w:t xml:space="preserve">です。代表例は、urlEli</w:t>
      </w:r>
      <w:r>
        <w:t xml:space="preserve"> Lillyhttps://investor.lilly.com/、urlNovo Nordiskhttps://www.novonordisk.com/、urlRochehttps://www.roche.com/、urlUnitedHealth Grouphttps://www.unitedhealthgroup.com/、urlChugaihttps://www.chugai-pharm.co.jp/english/です。LillyはQ1 </w:t>
      </w:r>
      <w:r>
        <w:rPr>
          <w:rFonts w:hint="eastAsia"/>
        </w:rPr>
        <w:t xml:space="preserve">2026で売上56%増、Mounjaro</w:t>
      </w:r>
      <w:r>
        <w:t xml:space="preserve"> </w:t>
      </w:r>
      <w:r>
        <w:rPr>
          <w:rFonts w:hint="eastAsia"/>
        </w:rPr>
        <w:t xml:space="preserve">87億ドル、Zepbound</w:t>
      </w:r>
      <w:r>
        <w:t xml:space="preserve"> </w:t>
      </w:r>
      <w:r>
        <w:rPr>
          <w:rFonts w:hint="eastAsia"/>
        </w:rPr>
        <w:t xml:space="preserve">41億ドルでしたが、同時に実現価格低下を明記しました。Novo</w:t>
      </w:r>
      <w:r>
        <w:t xml:space="preserve"> </w:t>
      </w:r>
      <w:r>
        <w:rPr>
          <w:rFonts w:hint="eastAsia"/>
        </w:rPr>
        <w:t xml:space="preserve">Nordiskは糖尿病・肥満領域売上が33%増、RocheはCERで6%増収でもDiagnosticsは中国の価格改革と低いインフル流行の逆風を受けました。UnitedHealthはMedical</w:t>
      </w:r>
      <w:r>
        <w:t xml:space="preserve"> Care Ratio </w:t>
      </w:r>
      <w:r>
        <w:rPr>
          <w:rFonts w:hint="eastAsia"/>
        </w:rPr>
        <w:t xml:space="preserve">83.9%で通期見通しを引き上げました。ChugaiもVabysmo、Enspryng、Hemlibraといった主力製品の伸びと海外ロイヤルティが焦点です。このセクターでは、</w:t>
      </w:r>
      <w:r>
        <w:rPr>
          <w:rFonts w:hint="eastAsia"/>
          <w:b/>
          <w:bCs/>
        </w:rPr>
        <w:t xml:space="preserve">売上成長率それ自体より、主力薬の価格と数量のどちらで伸びたか、供給制約はないか、医療費率はコントロールできているか</w:t>
      </w:r>
      <w:r>
        <w:rPr>
          <w:rFonts w:hint="eastAsia"/>
        </w:rPr>
        <w:t xml:space="preserve">が重要です。</w:t>
      </w:r>
      <w:r>
        <w:t xml:space="preserve"> </w:t>
      </w:r>
      <w:hyperlink r:id="rId23">
        <w:r>
          <w:rPr>
            <w:rStyle w:val="Hyperlink"/>
          </w:rPr>
          <w:t xml:space="preserve">[9]</w:t>
        </w:r>
      </w:hyperlink>
    </w:p>
    <w:p>
      <w:pPr>
        <w:pStyle w:val="BodyText"/>
      </w:pPr>
      <w:r>
        <w:rPr>
          <w:rFonts w:hint="eastAsia"/>
          <w:b/>
          <w:bCs/>
        </w:rPr>
        <w:t xml:space="preserve">エネルギー・資源</w:t>
      </w:r>
      <w:r>
        <w:rPr>
          <w:rFonts w:hint="eastAsia"/>
        </w:rPr>
        <w:t xml:space="preserve">では、重要なのは</w:t>
      </w:r>
      <w:r>
        <w:rPr>
          <w:rFonts w:hint="eastAsia"/>
          <w:b/>
          <w:bCs/>
        </w:rPr>
        <w:t xml:space="preserve">市況感ではなく、CFFO、運転資本、株主還元、プロジェクト実行、単位コスト、在庫評価</w:t>
      </w:r>
      <w:r>
        <w:rPr>
          <w:rFonts w:hint="eastAsia"/>
        </w:rPr>
        <w:t xml:space="preserve">です。代表例は、urlShellhttps://www.shell.com/、urlReliance</w:t>
      </w:r>
      <w:r>
        <w:t xml:space="preserve"> Industrieshttps://www.ril.com/、urlBHPhttps://www.bhp.com/です。ShellはQ1 2026でAdjusted Earnings </w:t>
      </w:r>
      <w:r>
        <w:rPr>
          <w:rFonts w:hint="eastAsia"/>
        </w:rPr>
        <w:t xml:space="preserve">69億ドル、運転資本除きCFFO</w:t>
      </w:r>
      <w:r>
        <w:t xml:space="preserve"> </w:t>
      </w:r>
      <w:r>
        <w:rPr>
          <w:rFonts w:hint="eastAsia"/>
        </w:rPr>
        <w:t xml:space="preserve">172億ドル、運転資本流出112億ドル、30億ドルの買戻しと増配を開示しました。RelianceはQ4</w:t>
      </w:r>
      <w:r>
        <w:t xml:space="preserve"> FY26でO2C、Digital </w:t>
      </w:r>
      <w:r>
        <w:rPr>
          <w:rFonts w:hint="eastAsia"/>
        </w:rPr>
        <w:t xml:space="preserve">Services、Retailの3本柱がそろって増収増益を牽引し、BHPはFY26生産ガイダンス据え置きと単位コスト・品位の説明を重視しています。したがってこのグループは、</w:t>
      </w:r>
      <w:r>
        <w:rPr>
          <w:rFonts w:hint="eastAsia"/>
          <w:b/>
          <w:bCs/>
        </w:rPr>
        <w:t xml:space="preserve">商品価格の上下そのものより、価格変動をまたいでどれだけキャッシュを残せるか、設備投資や買戻しを維持できるか</w:t>
      </w:r>
      <w:r>
        <w:rPr>
          <w:rFonts w:hint="eastAsia"/>
        </w:rPr>
        <w:t xml:space="preserve">を見るのが正解です。</w:t>
      </w:r>
      <w:r>
        <w:t xml:space="preserve"> </w:t>
      </w:r>
      <w:hyperlink r:id="rId29">
        <w:r>
          <w:rPr>
            <w:rStyle w:val="Hyperlink"/>
          </w:rPr>
          <w:t xml:space="preserve">[10]</w:t>
        </w:r>
      </w:hyperlink>
    </w:p>
    <w:p>
      <w:pPr>
        <w:pStyle w:val="BodyText"/>
      </w:pPr>
      <w:r>
        <w:rPr>
          <w:rFonts w:hint="eastAsia"/>
          <w:b/>
          <w:bCs/>
        </w:rPr>
        <w:t xml:space="preserve">資本財・航空宇宙・自動車・通信・消費</w:t>
      </w:r>
      <w:r>
        <w:rPr>
          <w:rFonts w:hint="eastAsia"/>
        </w:rPr>
        <w:t xml:space="preserve">では、テーマがより分かれます。代表例として、urlGE</w:t>
      </w:r>
      <w:r>
        <w:t xml:space="preserve"> Aerospacehttps://www.geaerospace.com/、urlCaterpillarhttps://www.caterpillar.com/、urlSiemenshttps://www.siemens.com/、urlAirbushttps://www.airbus.com/、urlMitsubishi Heavy Industrieshttps://www.mhi.com/、urlFANUChttps://www.fanuc.co.jp/en/、urlTeslahttps://ir.tesla.com/、urlKDDIhttps://www.kddi.com/english/、urlBharti </w:t>
      </w:r>
      <w:r>
        <w:rPr>
          <w:rFonts w:hint="eastAsia"/>
        </w:rPr>
        <w:t xml:space="preserve">Airtelhttps://www.airtel.in/、urlNestléhttps://www.nestle.com/、urlLVMHhttps://www.lvmh.com/がわかりやすいです。GEは1Q26で受注230億ドル、FCF</w:t>
      </w:r>
      <w:r>
        <w:t xml:space="preserve"> </w:t>
      </w:r>
      <w:r>
        <w:rPr>
          <w:rFonts w:hint="eastAsia"/>
        </w:rPr>
        <w:t xml:space="preserve">17億ドル、Caterpillarは価格実現4.26億ドルと販売数量増の一方で関税コストを逆風とし、Siemensはbook-to-bill</w:t>
      </w:r>
      <w:r>
        <w:t xml:space="preserve"> </w:t>
      </w:r>
      <w:r>
        <w:rPr>
          <w:rFonts w:hint="eastAsia"/>
        </w:rPr>
        <w:t xml:space="preserve">1.12・受注残1,200億ユーロ、Airbusは114機引き渡しでもヘッジと納入構成で利益が左右されました。MHIは受注5.0兆円・受注残12.2兆円、FANUCは売上と利益率の改善を示しています。Teslaは1Q26の規制クレジット控除後自動車粗利率19.2%が重要で、通信はKDDIのARPUと解約率、AirtelのARPU</w:t>
      </w:r>
      <w:r>
        <w:t xml:space="preserve"> </w:t>
      </w:r>
      <w:r>
        <w:rPr>
          <w:rFonts w:hint="eastAsia"/>
        </w:rPr>
        <w:t xml:space="preserve">259ルピー、消費はNestléのRIG/価格分解、LVMHの部門別・地域別オーガニック成長を見れば十分です。ここでは</w:t>
      </w:r>
      <w:r>
        <w:rPr>
          <w:rFonts w:hint="eastAsia"/>
          <w:b/>
          <w:bCs/>
        </w:rPr>
        <w:t xml:space="preserve">受注残、価格実現、在庫、引き渡し、FX前提、ARPU、数量/価格の分解</w:t>
      </w:r>
      <w:r>
        <w:rPr>
          <w:rFonts w:hint="eastAsia"/>
        </w:rPr>
        <w:t xml:space="preserve">が主戦場になります。</w:t>
      </w:r>
      <w:r>
        <w:t xml:space="preserve"> </w:t>
      </w:r>
      <w:hyperlink r:id="rId30">
        <w:r>
          <w:rPr>
            <w:rStyle w:val="Hyperlink"/>
          </w:rPr>
          <w:t xml:space="preserve">[11]</w:t>
        </w:r>
      </w:hyperlink>
    </w:p>
    <w:bookmarkEnd w:id="31"/>
    <w:bookmarkStart w:id="35" w:name="地域ごとに読み方がずれるポイント"/>
    <w:p>
      <w:pPr>
        <w:pStyle w:val="Heading2"/>
      </w:pPr>
      <w:r>
        <w:rPr>
          <w:rFonts w:hint="eastAsia"/>
        </w:rPr>
        <w:t xml:space="preserve">地域ごとに読み方がずれるポイント</w:t>
      </w:r>
    </w:p>
    <w:p>
      <w:pPr>
        <w:pStyle w:val="FirstParagraph"/>
      </w:pPr>
      <w:r>
        <w:rPr>
          <w:rFonts w:hint="eastAsia"/>
          <w:b/>
          <w:bCs/>
        </w:rPr>
        <w:t xml:space="preserve">米国株</w:t>
      </w:r>
      <w:r>
        <w:rPr>
          <w:rFonts w:hint="eastAsia"/>
        </w:rPr>
        <w:t xml:space="preserve">は、四半期の着地よりも、</w:t>
      </w:r>
      <w:r>
        <w:rPr>
          <w:rFonts w:hint="eastAsia"/>
          <w:b/>
          <w:bCs/>
        </w:rPr>
        <w:t xml:space="preserve">次四半期の成長率レンジ・RPO・CapEx・買戻し余力</w:t>
      </w:r>
      <w:r>
        <w:rPr>
          <w:rFonts w:hint="eastAsia"/>
        </w:rPr>
        <w:t xml:space="preserve">が重視されやすいです。urlMicrosofthttps://www.microsoft.com/en-us/investorはRPO、urlMetahttps://investor.atmeta.com/はCapExと広告単価、urlAmazonhttps://ir.aboutamazon.com/はAWS利益率とAI投資、urlJPMorgan</w:t>
      </w:r>
      <w:r>
        <w:t xml:space="preserve"> </w:t>
      </w:r>
      <w:r>
        <w:rPr>
          <w:rFonts w:hint="eastAsia"/>
        </w:rPr>
        <w:t xml:space="preserve">Chasehttps://www.jpmorganchase.com/はNII・市場部門収益・CET1を、それぞれ主要判断材料として前に出しています。したがって米国株では「ヘッドラインEPSのビート」は入口にすぎず、</w:t>
      </w:r>
      <w:r>
        <w:rPr>
          <w:rFonts w:hint="eastAsia"/>
          <w:b/>
          <w:bCs/>
        </w:rPr>
        <w:t xml:space="preserve">来四半期の前提変更</w:t>
      </w:r>
      <w:r>
        <w:rPr>
          <w:rFonts w:hint="eastAsia"/>
        </w:rPr>
        <w:t xml:space="preserve">が本体です。</w:t>
      </w:r>
      <w:r>
        <w:t xml:space="preserve"> </w:t>
      </w:r>
      <w:hyperlink r:id="rId28">
        <w:r>
          <w:rPr>
            <w:rStyle w:val="Hyperlink"/>
          </w:rPr>
          <w:t xml:space="preserve">[12]</w:t>
        </w:r>
      </w:hyperlink>
    </w:p>
    <w:p>
      <w:pPr>
        <w:pStyle w:val="BodyText"/>
      </w:pPr>
      <w:r>
        <w:rPr>
          <w:rFonts w:hint="eastAsia"/>
          <w:b/>
          <w:bCs/>
        </w:rPr>
        <w:t xml:space="preserve">日本株</w:t>
      </w:r>
      <w:r>
        <w:t xml:space="preserve">は、</w:t>
      </w:r>
      <w:r>
        <w:rPr>
          <w:rFonts w:hint="eastAsia"/>
          <w:b/>
          <w:bCs/>
        </w:rPr>
        <w:t xml:space="preserve">会社計画の保守性、通期計画の修正、為替前提、受注残、営業利益でなく“事業利益”や“コア営業利益”の中身</w:t>
      </w:r>
      <w:r>
        <w:rPr>
          <w:rFonts w:hint="eastAsia"/>
        </w:rPr>
        <w:t xml:space="preserve">を丁寧に見る必要があります。urlMitsubishi</w:t>
      </w:r>
      <w:r>
        <w:t xml:space="preserve"> Heavy </w:t>
      </w:r>
      <w:r>
        <w:rPr>
          <w:rFonts w:hint="eastAsia"/>
        </w:rPr>
        <w:t xml:space="preserve">Industrieshttps://www.mhi.com/は受注・受注残・セグメント別の修正が極めて重要で、urlFANUChttps://www.fanuc.co.jp/en/は売上と利益率、urlKDDIhttps://www.kddi.com/english/はARPUと解約率、urlSMFGhttps://www.smfg.co.jp/english/はROCET1・CET1・信用費用、urlChugaihttps://www.chugai-pharm.co.jp/english/は主力品目とロイヤルティ、urlSonyhttps://www.sony.com/en/SonyInfo/IR/はイメージセンサーやエンタメ資産への投資配分が鍵です。日本株は、四半期の上振れより「会社が通期を上げるかどうか」の方が値動きに効くことが多いです。</w:t>
      </w:r>
      <w:r>
        <w:t xml:space="preserve"> </w:t>
      </w:r>
      <w:hyperlink r:id="rId32">
        <w:r>
          <w:rPr>
            <w:rStyle w:val="Hyperlink"/>
          </w:rPr>
          <w:t xml:space="preserve">[13]</w:t>
        </w:r>
      </w:hyperlink>
    </w:p>
    <w:p>
      <w:pPr>
        <w:pStyle w:val="BodyText"/>
      </w:pPr>
      <w:r>
        <w:rPr>
          <w:rFonts w:hint="eastAsia"/>
          <w:b/>
          <w:bCs/>
        </w:rPr>
        <w:t xml:space="preserve">欧州株</w:t>
      </w:r>
      <w:r>
        <w:t xml:space="preserve">は、</w:t>
      </w:r>
      <w:r>
        <w:rPr>
          <w:rFonts w:hint="eastAsia"/>
          <w:b/>
          <w:bCs/>
        </w:rPr>
        <w:t xml:space="preserve">オーガニック成長、価格/数量、book-to-bill、受注残、CERや恒常為替ベース、combined</w:t>
      </w:r>
      <w:r>
        <w:rPr>
          <w:b/>
          <w:bCs/>
        </w:rPr>
        <w:t xml:space="preserve"> ratioやSolvency II</w:t>
      </w:r>
      <w:r>
        <w:rPr>
          <w:rFonts w:hint="eastAsia"/>
        </w:rPr>
        <w:t xml:space="preserve">のような開示を重視します。urlASMLhttps://www.asml.com/en/investorsは売上・粗利・サービス売上・通期レンジ、urlSiemenshttps://www.siemens.com/はbook-to-bill</w:t>
      </w:r>
      <w:r>
        <w:t xml:space="preserve"> </w:t>
      </w:r>
      <w:r>
        <w:rPr>
          <w:rFonts w:hint="eastAsia"/>
        </w:rPr>
        <w:t xml:space="preserve">1.12と受注残1,200億ユーロ、urlNestléhttps://www.nestle.com/はOGをRIGと価格に分解、urlAllianzhttps://www.allianz.com/はcombined</w:t>
      </w:r>
      <w:r>
        <w:t xml:space="preserve"> ratioとSolvency II、urlAXAhttps://www.axa.com/もSolvency IIとtechnical </w:t>
      </w:r>
      <w:r>
        <w:rPr>
          <w:rFonts w:hint="eastAsia"/>
        </w:rPr>
        <w:t xml:space="preserve">marginを前面に置き、urlRochehttps://www.roche.com/はCERと報告ベースの差を丁寧に示しています。欧州株は、</w:t>
      </w:r>
      <w:r>
        <w:rPr>
          <w:rFonts w:hint="eastAsia"/>
          <w:b/>
          <w:bCs/>
        </w:rPr>
        <w:t xml:space="preserve">会計利益よりも“運営KPIの質”を読む市場</w:t>
      </w:r>
      <w:r>
        <w:t xml:space="preserve">です。</w:t>
      </w:r>
      <w:r>
        <w:t xml:space="preserve"> </w:t>
      </w:r>
      <w:hyperlink r:id="rId33">
        <w:r>
          <w:rPr>
            <w:rStyle w:val="Hyperlink"/>
          </w:rPr>
          <w:t xml:space="preserve">[14]</w:t>
        </w:r>
      </w:hyperlink>
    </w:p>
    <w:p>
      <w:pPr>
        <w:pStyle w:val="BodyText"/>
      </w:pPr>
      <w:r>
        <w:rPr>
          <w:rFonts w:hint="eastAsia"/>
          <w:b/>
          <w:bCs/>
        </w:rPr>
        <w:t xml:space="preserve">台湾・中国・インドなどアジア株</w:t>
      </w:r>
      <w:r>
        <w:t xml:space="preserve">は、</w:t>
      </w:r>
      <w:r>
        <w:rPr>
          <w:rFonts w:hint="eastAsia"/>
          <w:b/>
          <w:bCs/>
        </w:rPr>
        <w:t xml:space="preserve">セグメントの成長源泉、政策や競争環境、CER/定率為替、ARPUやCMR、クラウドやFinTechの収益化</w:t>
      </w:r>
      <w:r>
        <w:rPr>
          <w:rFonts w:hint="eastAsia"/>
        </w:rPr>
        <w:t xml:space="preserve">が重要です。urlTSMChttps://investor.tsmc.com/englishではHPC比率と先端ノード比率、urlAlibabahttps://www.alibabagroup.com/en-US/ではTaobao/TmallのCMRやAI+Cloud、urlTencenthttps://www.tencent.com/en-us/ではMarketing</w:t>
      </w:r>
      <w:r>
        <w:t xml:space="preserve"> ServicesとFinTech/Business Services、urlReliance </w:t>
      </w:r>
      <w:r>
        <w:rPr>
          <w:rFonts w:hint="eastAsia"/>
        </w:rPr>
        <w:t xml:space="preserve">Industrieshttps://www.ril.com/ではO2C/デジタル/小売の3本柱、urlBharti</w:t>
      </w:r>
      <w:r>
        <w:t xml:space="preserve"> </w:t>
      </w:r>
      <w:r>
        <w:rPr>
          <w:rFonts w:hint="eastAsia"/>
        </w:rPr>
        <w:t xml:space="preserve">Airtelhttps://www.airtel.in/ではARPUとデータ利用量が中心です。この地域では、</w:t>
      </w:r>
      <w:r>
        <w:rPr>
          <w:rFonts w:hint="eastAsia"/>
          <w:b/>
          <w:bCs/>
        </w:rPr>
        <w:t xml:space="preserve">売上高より“どの事業が再加速しているか”を見た方が速い</w:t>
      </w:r>
      <w:r>
        <w:t xml:space="preserve">です。</w:t>
      </w:r>
      <w:r>
        <w:t xml:space="preserve"> </w:t>
      </w:r>
      <w:hyperlink r:id="rId34">
        <w:r>
          <w:rPr>
            <w:rStyle w:val="Hyperlink"/>
          </w:rPr>
          <w:t xml:space="preserve">[15]</w:t>
        </w:r>
      </w:hyperlink>
    </w:p>
    <w:bookmarkEnd w:id="35"/>
    <w:bookmarkStart w:id="37" w:name="株価だけでなく経済にも波及しやすい論点"/>
    <w:p>
      <w:pPr>
        <w:pStyle w:val="Heading2"/>
      </w:pPr>
      <w:r>
        <w:rPr>
          <w:rFonts w:hint="eastAsia"/>
        </w:rPr>
        <w:t xml:space="preserve">株価だけでなく経済にも波及しやすい論点</w:t>
      </w:r>
    </w:p>
    <w:p>
      <w:pPr>
        <w:pStyle w:val="FirstParagraph"/>
      </w:pPr>
      <w:r>
        <w:rPr>
          <w:rFonts w:hint="eastAsia"/>
        </w:rPr>
        <w:t xml:space="preserve">最もマクロ波及が大きいのは</w:t>
      </w:r>
      <w:r>
        <w:rPr>
          <w:rFonts w:hint="eastAsia"/>
          <w:b/>
          <w:bCs/>
        </w:rPr>
        <w:t xml:space="preserve">AI投資とデータセンターCapEx</w:t>
      </w:r>
      <w:r>
        <w:rPr>
          <w:rFonts w:hint="eastAsia"/>
        </w:rPr>
        <w:t xml:space="preserve">です。urlAmazonhttps://ir.aboutamazon.com/は2026年CapEx約2,000億ドル、urlMetahttps://investor.atmeta.com/はQ1だけで198.4億ドルのCapEx、urlBroadcomhttps://investors.broadcom.com/はQ2</w:t>
      </w:r>
      <w:r>
        <w:t xml:space="preserve"> </w:t>
      </w:r>
      <w:r>
        <w:rPr>
          <w:rFonts w:hint="eastAsia"/>
        </w:rPr>
        <w:t xml:space="preserve">AI半導体売上107億ドル見通し、urlTSMChttps://investor.tsmc.com/englishは通期30%超成長、urlASMLhttps://www.asml.com/en/investorsは通期36〜40Bユーロを見込んでいます。これらは半導体だけでなく、電力、冷却、ネットワーク、産業機械、さらには設備投資循環と長期金利にまで波及し得ます。Allianz</w:t>
      </w:r>
      <w:r>
        <w:t xml:space="preserve"> Researchも、AI </w:t>
      </w:r>
      <w:r>
        <w:rPr>
          <w:rFonts w:hint="eastAsia"/>
        </w:rPr>
        <w:t xml:space="preserve">capexサイクルがプロジェクト進行と供給網再編に影響しうると指摘しています。</w:t>
      </w:r>
      <w:r>
        <w:t xml:space="preserve"> </w:t>
      </w:r>
      <w:hyperlink r:id="rId36">
        <w:r>
          <w:rPr>
            <w:rStyle w:val="Hyperlink"/>
          </w:rPr>
          <w:t xml:space="preserve">[16]</w:t>
        </w:r>
      </w:hyperlink>
    </w:p>
    <w:p>
      <w:pPr>
        <w:pStyle w:val="BodyText"/>
      </w:pPr>
      <w:r>
        <w:rPr>
          <w:rFonts w:hint="eastAsia"/>
        </w:rPr>
        <w:t xml:space="preserve">次にマクロ色が強いのが</w:t>
      </w:r>
      <w:r>
        <w:rPr>
          <w:rFonts w:hint="eastAsia"/>
          <w:b/>
          <w:bCs/>
        </w:rPr>
        <w:t xml:space="preserve">金融・決済の数字</w:t>
      </w:r>
      <w:r>
        <w:t xml:space="preserve">です。urlJPMorgan </w:t>
      </w:r>
      <w:r>
        <w:rPr>
          <w:rFonts w:hint="eastAsia"/>
        </w:rPr>
        <w:t xml:space="preserve">Chasehttps://www.jpmorganchase.com/のNII、信用費用、CET1、urlHSBChttps://www.hsbc.com/のBanking</w:t>
      </w:r>
      <w:r>
        <w:t xml:space="preserve"> </w:t>
      </w:r>
      <w:r>
        <w:rPr>
          <w:rFonts w:hint="eastAsia"/>
        </w:rPr>
        <w:t xml:space="preserve">NIIとECL、urlVisahttps://investor.visa.com/とurlMastercardhttps://investor.mastercard.com/の決済ボリュームとクロスボーダー成長は、企業金融・消費・旅行・越境取引の温度感を映しやすいからです。銀行株の決算は信用循環の先行指標、カード株の決算は家計支出の高頻度データ、と考えると読みやすくなります。</w:t>
      </w:r>
      <w:r>
        <w:t xml:space="preserve"> </w:t>
      </w:r>
      <w:hyperlink r:id="rId25">
        <w:r>
          <w:rPr>
            <w:rStyle w:val="Hyperlink"/>
          </w:rPr>
          <w:t xml:space="preserve">[17]</w:t>
        </w:r>
      </w:hyperlink>
    </w:p>
    <w:p>
      <w:pPr>
        <w:pStyle w:val="BodyText"/>
      </w:pPr>
      <w:r>
        <w:t xml:space="preserve">さらに、</w:t>
      </w:r>
      <w:r>
        <w:rPr>
          <w:rFonts w:hint="eastAsia"/>
          <w:b/>
          <w:bCs/>
        </w:rPr>
        <w:t xml:space="preserve">資源・産業・消費の決算は、インフレと実体需要の確認</w:t>
      </w:r>
      <w:r>
        <w:rPr>
          <w:rFonts w:hint="eastAsia"/>
        </w:rPr>
        <w:t xml:space="preserve">に使えます。urlShellhttps://www.shell.com/の運転資本と配当・買戻し、urlBHPhttps://www.bhp.com/の生産ガイダンスと単位コスト、urlCaterpillarhttps://www.caterpillar.com/の販売数量・価格実現・関税コスト、urlNestléhttps://www.nestle.com/の価格とRIG、urlKDDIhttps://www.kddi.com/english/とurlBharti</w:t>
      </w:r>
      <w:r>
        <w:t xml:space="preserve"> </w:t>
      </w:r>
      <w:r>
        <w:rPr>
          <w:rFonts w:hint="eastAsia"/>
        </w:rPr>
        <w:t xml:space="preserve">Airtelhttps://www.airtel.in/のARPUは、資本財需要、素材需要、消費者の値上げ受容力、通信の実質可処分所得の強さを確認するのに使えます。こうした数字は、株価以上に「景気の地肌」を示します。</w:t>
      </w:r>
      <w:r>
        <w:t xml:space="preserve"> </w:t>
      </w:r>
      <w:hyperlink r:id="rId29">
        <w:r>
          <w:rPr>
            <w:rStyle w:val="Hyperlink"/>
          </w:rPr>
          <w:t xml:space="preserve">[18]</w:t>
        </w:r>
      </w:hyperlink>
    </w:p>
    <w:bookmarkEnd w:id="37"/>
    <w:bookmarkStart w:id="38" w:name="決算発表日に使える実務チェックリスト"/>
    <w:p>
      <w:pPr>
        <w:pStyle w:val="Heading2"/>
      </w:pPr>
      <w:r>
        <w:rPr>
          <w:rFonts w:hint="eastAsia"/>
        </w:rPr>
        <w:t xml:space="preserve">決算発表日に使える実務チェックリスト</w:t>
      </w:r>
    </w:p>
    <w:p>
      <w:pPr>
        <w:pStyle w:val="FirstParagraph"/>
      </w:pPr>
      <w:r>
        <w:rPr>
          <w:rFonts w:hint="eastAsia"/>
        </w:rPr>
        <w:t xml:space="preserve">実務的には、読む順番を固定するとかなり精度が上がります。</w:t>
      </w:r>
      <w:r>
        <w:rPr>
          <w:rFonts w:hint="eastAsia"/>
          <w:b/>
          <w:bCs/>
        </w:rPr>
        <w:t xml:space="preserve">最初に見出しで次四半期・通期ガイダンスを確認し、その次に主力セグメントの売上とKPI、三番目に粗利率と営業利益率の増減要因、四番目に営業CF・FCF・運転資本、五番目にバランスシートと資本配分、最後にQ&amp;Aで需要・価格・供給制約・規制のトーンを確認する</w:t>
      </w:r>
      <w:r>
        <w:rPr>
          <w:rFonts w:hint="eastAsia"/>
        </w:rPr>
        <w:t xml:space="preserve">、この順です。urlTSMChttps://investor.tsmc.com/englishならHPC比率とガイダンス、urlJPMorgan</w:t>
      </w:r>
      <w:r>
        <w:t xml:space="preserve"> </w:t>
      </w:r>
      <w:r>
        <w:rPr>
          <w:rFonts w:hint="eastAsia"/>
        </w:rPr>
        <w:t xml:space="preserve">Chasehttps://www.jpmorganchase.com/ならNII/CET1/信用費用、urlShellhttps://www.shell.com/ならCFFOと運転資本、urlTeslahttps://ir.tesla.com/なら規制クレジット控除後粗利率、urlNestléhttps://www.nestle.com/ならRIGと価格分解、urlMicrosofthttps://www.microsoft.com/en-us/investorならRPOとAzureの供給制約、という形です。この順番で読むと、「見た目は良いが中身は弱い決算」と「数字は地味だが将来を押し上げる決算」を分けやすくなります。</w:t>
      </w:r>
      <w:r>
        <w:t xml:space="preserve"> </w:t>
      </w:r>
      <w:hyperlink r:id="rId34">
        <w:r>
          <w:rPr>
            <w:rStyle w:val="Hyperlink"/>
          </w:rPr>
          <w:t xml:space="preserve">[19]</w:t>
        </w:r>
      </w:hyperlink>
    </w:p>
    <w:bookmarkEnd w:id="38"/>
    <w:bookmarkEnd w:id="39"/>
    <w:bookmarkEnd w:id="40"/>
    <w:p>
      <w:r>
        <w:pict>
          <v:rect style="width:0;height:1.5pt" o:hralign="center" o:hrstd="t" o:hr="t"/>
        </w:pict>
      </w:r>
    </w:p>
    <w:bookmarkStart w:id="4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r>
        <w:t xml:space="preserve">https://assets-ir.tesla.com/tesla-contents/IR/TSLA-Q1-2026-Update.pdf</w:t>
      </w:r>
    </w:p>
    <w:p>
      <w:pPr>
        <w:pStyle w:val="BodyText"/>
      </w:pPr>
      <w:hyperlink r:id="rId21">
        <w:r>
          <w:rPr>
            <w:rStyle w:val="Hyperlink"/>
          </w:rPr>
          <w:t xml:space="preserve">https://assets-ir.tesla.com/tesla-contents/IR/TSLA-Q1-2026-Update.pdf</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r>
        <w:t xml:space="preserve">https://investor.lilly.com/news-releases/news-release-details/lilly-reports-first-quarter-2026-financial-results-raises-full</w:t>
      </w:r>
    </w:p>
    <w:p>
      <w:pPr>
        <w:pStyle w:val="BodyText"/>
      </w:pPr>
      <w:hyperlink r:id="rId23">
        <w:r>
          <w:rPr>
            <w:rStyle w:val="Hyperlink"/>
          </w:rPr>
          <w:t xml:space="preserve">https://investor.lilly.com/news-releases/news-release-details/lilly-reports-first-quarter-2026-financial-results-raises-full</w:t>
        </w:r>
      </w:hyperlink>
    </w:p>
    <w:p>
      <w:pPr>
        <w:pStyle w:val="BodyText"/>
      </w:pPr>
      <w:hyperlink r:id="rId24">
        <w:r>
          <w:rPr>
            <w:rStyle w:val="Hyperlink"/>
          </w:rPr>
          <w:t xml:space="preserve">[4]</w:t>
        </w:r>
      </w:hyperlink>
      <w:r>
        <w:t xml:space="preserve"> </w:t>
      </w:r>
      <w:r>
        <w:t xml:space="preserve">https://investor.nvidia.com/news/press-release-details/2026/NVIDIA-Announces-Financial-Results-for-Fourth-Quarter-and-Fiscal-2026/</w:t>
      </w:r>
    </w:p>
    <w:p>
      <w:pPr>
        <w:pStyle w:val="BodyText"/>
      </w:pPr>
      <w:hyperlink r:id="rId24">
        <w:r>
          <w:rPr>
            <w:rStyle w:val="Hyperlink"/>
          </w:rPr>
          <w:t xml:space="preserve">https://investor.nvidia.com/news/press-release-details/2026/NVIDIA-Announces-Financial-Results-for-Fourth-Quarter-and-Fiscal-2026/</w:t>
        </w:r>
      </w:hyperlink>
    </w:p>
    <w:p>
      <w:pPr>
        <w:pStyle w:val="BodyText"/>
      </w:pPr>
      <w:hyperlink r:id="rId25">
        <w:r>
          <w:rPr>
            <w:rStyle w:val="Hyperlink"/>
          </w:rPr>
          <w:t xml:space="preserve">[5]</w:t>
        </w:r>
      </w:hyperlink>
      <w:r>
        <w:t xml:space="preserve"> </w:t>
      </w:r>
      <w:hyperlink r:id="rId25">
        <w:r>
          <w:rPr>
            <w:rStyle w:val="Hyperlink"/>
          </w:rPr>
          <w:t xml:space="preserve">[8]</w:t>
        </w:r>
      </w:hyperlink>
      <w:r>
        <w:t xml:space="preserve"> </w:t>
      </w:r>
      <w:hyperlink r:id="rId25">
        <w:r>
          <w:rPr>
            <w:rStyle w:val="Hyperlink"/>
          </w:rPr>
          <w:t xml:space="preserve">[17]</w:t>
        </w:r>
      </w:hyperlink>
      <w:r>
        <w:t xml:space="preserve"> </w:t>
      </w:r>
      <w:r>
        <w:t xml:space="preserve">https://www.jpmorganchase.com/content/dam/jpmc/jpmorgan-chase-and-co/investor-relations/documents/quarterly-earnings/2026/1st-quarter/corp-q1-2026.pdf</w:t>
      </w:r>
    </w:p>
    <w:p>
      <w:pPr>
        <w:pStyle w:val="BodyText"/>
      </w:pPr>
      <w:hyperlink r:id="rId25">
        <w:r>
          <w:rPr>
            <w:rStyle w:val="Hyperlink"/>
          </w:rPr>
          <w:t xml:space="preserve">https://www.jpmorganchase.com/content/dam/jpmc/jpmorgan-chase-and-co/investor-relations/documents/quarterly-earnings/2026/1st-quarter/corp-q1-2026.pdf</w:t>
        </w:r>
      </w:hyperlink>
    </w:p>
    <w:p>
      <w:pPr>
        <w:pStyle w:val="BodyText"/>
      </w:pPr>
      <w:hyperlink r:id="rId27">
        <w:r>
          <w:rPr>
            <w:rStyle w:val="Hyperlink"/>
          </w:rPr>
          <w:t xml:space="preserve">[6]</w:t>
        </w:r>
      </w:hyperlink>
      <w:r>
        <w:t xml:space="preserve"> </w:t>
      </w:r>
      <w:r>
        <w:t xml:space="preserve">https://investor.nvidia.com/financial-info/financial-reports/default.aspx</w:t>
      </w:r>
    </w:p>
    <w:p>
      <w:pPr>
        <w:pStyle w:val="BodyText"/>
      </w:pPr>
      <w:hyperlink r:id="rId27">
        <w:r>
          <w:rPr>
            <w:rStyle w:val="Hyperlink"/>
          </w:rPr>
          <w:t xml:space="preserve">https://investor.nvidia.com/financial-info/financial-reports/default.aspx</w:t>
        </w:r>
      </w:hyperlink>
    </w:p>
    <w:p>
      <w:pPr>
        <w:pStyle w:val="BodyText"/>
      </w:pPr>
      <w:hyperlink r:id="rId28">
        <w:r>
          <w:rPr>
            <w:rStyle w:val="Hyperlink"/>
          </w:rPr>
          <w:t xml:space="preserve">[7]</w:t>
        </w:r>
      </w:hyperlink>
      <w:r>
        <w:t xml:space="preserve"> </w:t>
      </w:r>
      <w:hyperlink r:id="rId28">
        <w:r>
          <w:rPr>
            <w:rStyle w:val="Hyperlink"/>
          </w:rPr>
          <w:t xml:space="preserve">[12]</w:t>
        </w:r>
      </w:hyperlink>
      <w:r>
        <w:t xml:space="preserve"> </w:t>
      </w:r>
      <w:r>
        <w:t xml:space="preserve">https://www.microsoft.com/en-us/investor/events/fy-2026/earnings-fy-2026-q3</w:t>
      </w:r>
    </w:p>
    <w:p>
      <w:pPr>
        <w:pStyle w:val="BodyText"/>
      </w:pPr>
      <w:hyperlink r:id="rId28">
        <w:r>
          <w:rPr>
            <w:rStyle w:val="Hyperlink"/>
          </w:rPr>
          <w:t xml:space="preserve">https://www.microsoft.com/en-us/investor/events/fy-2026/earnings-fy-2026-q3</w:t>
        </w:r>
      </w:hyperlink>
    </w:p>
    <w:p>
      <w:pPr>
        <w:pStyle w:val="BodyText"/>
      </w:pPr>
      <w:hyperlink r:id="rId29">
        <w:r>
          <w:rPr>
            <w:rStyle w:val="Hyperlink"/>
          </w:rPr>
          <w:t xml:space="preserve">[10]</w:t>
        </w:r>
      </w:hyperlink>
      <w:r>
        <w:t xml:space="preserve"> </w:t>
      </w:r>
      <w:hyperlink r:id="rId29">
        <w:r>
          <w:rPr>
            <w:rStyle w:val="Hyperlink"/>
          </w:rPr>
          <w:t xml:space="preserve">[18]</w:t>
        </w:r>
      </w:hyperlink>
      <w:r>
        <w:t xml:space="preserve"> </w:t>
      </w:r>
      <w:r>
        <w:t xml:space="preserve">https://www.shell.com/investors/results-and-reporting/quarterly-results/_jcr_content/root/main/section/simple_copy/promo_1962010312_cop/links/item0.stream/1778115268202/e177be427a9e32c1ade2cd6530cf0fdffce50c4f/q1-2026-quarterly-press-release.pdf</w:t>
      </w:r>
    </w:p>
    <w:p>
      <w:pPr>
        <w:pStyle w:val="BodyText"/>
      </w:pPr>
      <w:hyperlink r:id="rId29">
        <w:r>
          <w:rPr>
            <w:rStyle w:val="Hyperlink"/>
          </w:rPr>
          <w:t xml:space="preserve">https://www.shell.com/investors/results-and-reporting/quarterly-results/_jcr_content/root/main/section/simple_copy/promo_1962010312_cop/links/item0.stream/1778115268202/e177be427a9e32c1ade2cd6530cf0fdffce50c4f/q1-2026-quarterly-press-release.pdf</w:t>
        </w:r>
      </w:hyperlink>
    </w:p>
    <w:p>
      <w:pPr>
        <w:pStyle w:val="BodyText"/>
      </w:pPr>
      <w:hyperlink r:id="rId30">
        <w:r>
          <w:rPr>
            <w:rStyle w:val="Hyperlink"/>
          </w:rPr>
          <w:t xml:space="preserve">[11]</w:t>
        </w:r>
      </w:hyperlink>
      <w:r>
        <w:t xml:space="preserve"> </w:t>
      </w:r>
      <w:r>
        <w:t xml:space="preserve">https://www.geaerospace.com/news/press-releases/ge-aerospace-announces-first-quarter-2026-results</w:t>
      </w:r>
    </w:p>
    <w:p>
      <w:pPr>
        <w:pStyle w:val="BodyText"/>
      </w:pPr>
      <w:hyperlink r:id="rId30">
        <w:r>
          <w:rPr>
            <w:rStyle w:val="Hyperlink"/>
          </w:rPr>
          <w:t xml:space="preserve">https://www.geaerospace.com/news/press-releases/ge-aerospace-announces-first-quarter-2026-results</w:t>
        </w:r>
      </w:hyperlink>
    </w:p>
    <w:p>
      <w:pPr>
        <w:pStyle w:val="BodyText"/>
      </w:pPr>
      <w:hyperlink r:id="rId32">
        <w:r>
          <w:rPr>
            <w:rStyle w:val="Hyperlink"/>
          </w:rPr>
          <w:t xml:space="preserve">[13]</w:t>
        </w:r>
      </w:hyperlink>
      <w:r>
        <w:t xml:space="preserve"> </w:t>
      </w:r>
      <w:r>
        <w:t xml:space="preserve">https://www.mhi.com/finance/library/result/pdf/fy20253q/presentation.pdf</w:t>
      </w:r>
    </w:p>
    <w:p>
      <w:pPr>
        <w:pStyle w:val="BodyText"/>
      </w:pPr>
      <w:hyperlink r:id="rId32">
        <w:r>
          <w:rPr>
            <w:rStyle w:val="Hyperlink"/>
          </w:rPr>
          <w:t xml:space="preserve">https://www.mhi.com/finance/library/result/pdf/fy20253q/presentation.pdf</w:t>
        </w:r>
      </w:hyperlink>
    </w:p>
    <w:p>
      <w:pPr>
        <w:pStyle w:val="BodyText"/>
      </w:pPr>
      <w:hyperlink r:id="rId33">
        <w:r>
          <w:rPr>
            <w:rStyle w:val="Hyperlink"/>
          </w:rPr>
          <w:t xml:space="preserve">[14]</w:t>
        </w:r>
      </w:hyperlink>
      <w:r>
        <w:t xml:space="preserve"> </w:t>
      </w:r>
      <w:r>
        <w:t xml:space="preserve">https://www.asml.com/news/press-releases/2026/q1-2026-financial-results</w:t>
      </w:r>
    </w:p>
    <w:p>
      <w:pPr>
        <w:pStyle w:val="BodyText"/>
      </w:pPr>
      <w:hyperlink r:id="rId33">
        <w:r>
          <w:rPr>
            <w:rStyle w:val="Hyperlink"/>
          </w:rPr>
          <w:t xml:space="preserve">https://www.asml.com/news/press-releases/2026/q1-2026-financial-results</w:t>
        </w:r>
      </w:hyperlink>
    </w:p>
    <w:p>
      <w:pPr>
        <w:pStyle w:val="BodyText"/>
      </w:pPr>
      <w:hyperlink r:id="rId34">
        <w:r>
          <w:rPr>
            <w:rStyle w:val="Hyperlink"/>
          </w:rPr>
          <w:t xml:space="preserve">[15]</w:t>
        </w:r>
      </w:hyperlink>
      <w:r>
        <w:t xml:space="preserve"> </w:t>
      </w:r>
      <w:hyperlink r:id="rId34">
        <w:r>
          <w:rPr>
            <w:rStyle w:val="Hyperlink"/>
          </w:rPr>
          <w:t xml:space="preserve">[19]</w:t>
        </w:r>
      </w:hyperlink>
      <w:r>
        <w:t xml:space="preserve"> </w:t>
      </w:r>
      <w:r>
        <w:t xml:space="preserve">https://investor.tsmc.com/english/encrypt/files/encrypt_file/reports/2026-04/a7e3abe65a3fbc342aa55f9f53a5490dd621c1ac/1Q26%20Presentation%20%28E%29.pdf</w:t>
      </w:r>
    </w:p>
    <w:p>
      <w:pPr>
        <w:pStyle w:val="BodyText"/>
      </w:pPr>
      <w:hyperlink r:id="rId34">
        <w:r>
          <w:rPr>
            <w:rStyle w:val="Hyperlink"/>
          </w:rPr>
          <w:t xml:space="preserve">https://investor.tsmc.com/english/encrypt/files/encrypt_file/reports/2026-04/a7e3abe65a3fbc342aa55f9f53a5490dd621c1ac/1Q26%20Presentation%20%28E%29.pdf</w:t>
        </w:r>
      </w:hyperlink>
    </w:p>
    <w:p>
      <w:pPr>
        <w:pStyle w:val="BodyText"/>
      </w:pPr>
      <w:hyperlink r:id="rId36">
        <w:r>
          <w:rPr>
            <w:rStyle w:val="Hyperlink"/>
          </w:rPr>
          <w:t xml:space="preserve">[16]</w:t>
        </w:r>
      </w:hyperlink>
      <w:r>
        <w:t xml:space="preserve"> </w:t>
      </w:r>
      <w:r>
        <w:t xml:space="preserve">https://ir.aboutamazon.com/news-release/news-release-details/2026/Amazon-com-Announces-Fourth-Quarter-Results/</w:t>
      </w:r>
    </w:p>
    <w:p>
      <w:pPr>
        <w:pStyle w:val="BodyText"/>
      </w:pPr>
      <w:hyperlink r:id="rId36">
        <w:r>
          <w:rPr>
            <w:rStyle w:val="Hyperlink"/>
          </w:rPr>
          <w:t xml:space="preserve">https://ir.aboutamazon.com/news-release/news-release-details/2026/Amazon-com-Announces-Fourth-Quarter-Results/</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ssets-ir.tesla.com/tesla-contents/IR/TSLA-Q1-2026-Update.pdf" TargetMode="External" /><Relationship Type="http://schemas.openxmlformats.org/officeDocument/2006/relationships/hyperlink" Id="rId23" Target="https://investor.lilly.com/news-releases/news-release-details/lilly-reports-first-quarter-2026-financial-results-raises-full" TargetMode="External" /><Relationship Type="http://schemas.openxmlformats.org/officeDocument/2006/relationships/hyperlink" Id="rId27" Target="https://investor.nvidia.com/financial-info/financial-reports/default.aspx" TargetMode="External" /><Relationship Type="http://schemas.openxmlformats.org/officeDocument/2006/relationships/hyperlink" Id="rId24" Target="https://investor.nvidia.com/news/press-release-details/2026/NVIDIA-Announces-Financial-Results-for-Fourth-Quarter-and-Fiscal-2026/" TargetMode="External" /><Relationship Type="http://schemas.openxmlformats.org/officeDocument/2006/relationships/hyperlink" Id="rId34" Target="https://investor.tsmc.com/english/encrypt/files/encrypt_file/reports/2026-04/a7e3abe65a3fbc342aa55f9f53a5490dd621c1ac/1Q26%20Presentation%20%28E%29.pdf" TargetMode="External" /><Relationship Type="http://schemas.openxmlformats.org/officeDocument/2006/relationships/hyperlink" Id="rId36" Target="https://ir.aboutamazon.com/news-release/news-release-details/2026/Amazon-com-Announces-Fourth-Quarter-Results/" TargetMode="External" /><Relationship Type="http://schemas.openxmlformats.org/officeDocument/2006/relationships/hyperlink" Id="rId33" Target="https://www.asml.com/news/press-releases/2026/q1-2026-financial-results" TargetMode="External" /><Relationship Type="http://schemas.openxmlformats.org/officeDocument/2006/relationships/hyperlink" Id="rId30" Target="https://www.geaerospace.com/news/press-releases/ge-aerospace-announces-first-quarter-2026-results" TargetMode="External" /><Relationship Type="http://schemas.openxmlformats.org/officeDocument/2006/relationships/hyperlink" Id="rId25" Target="https://www.jpmorganchase.com/content/dam/jpmc/jpmorgan-chase-and-co/investor-relations/documents/quarterly-earnings/2026/1st-quarter/corp-q1-2026.pdf" TargetMode="External" /><Relationship Type="http://schemas.openxmlformats.org/officeDocument/2006/relationships/hyperlink" Id="rId32" Target="https://www.mhi.com/finance/library/result/pdf/fy20253q/presentation.pdf" TargetMode="External" /><Relationship Type="http://schemas.openxmlformats.org/officeDocument/2006/relationships/hyperlink" Id="rId28" Target="https://www.microsoft.com/en-us/investor/events/fy-2026/earnings-fy-2026-q3" TargetMode="External" /><Relationship Type="http://schemas.openxmlformats.org/officeDocument/2006/relationships/hyperlink" Id="rId29" Target="https://www.shell.com/investors/results-and-reporting/quarterly-results/_jcr_content/root/main/section/simple_copy/promo_1962010312_cop/links/item0.stream/1778115268202/e177be427a9e32c1ade2cd6530cf0fdffce50c4f/q1-2026-quarterly-press-release.pdf" TargetMode="External" /></Relationships>
</file>

<file path=word/_rels/footnotes.xml.rels><?xml version="1.0" encoding="UTF-8"?><Relationships xmlns="http://schemas.openxmlformats.org/package/2006/relationships"><Relationship Type="http://schemas.openxmlformats.org/officeDocument/2006/relationships/hyperlink" Id="rId21" Target="https://assets-ir.tesla.com/tesla-contents/IR/TSLA-Q1-2026-Update.pdf" TargetMode="External" /><Relationship Type="http://schemas.openxmlformats.org/officeDocument/2006/relationships/hyperlink" Id="rId23" Target="https://investor.lilly.com/news-releases/news-release-details/lilly-reports-first-quarter-2026-financial-results-raises-full" TargetMode="External" /><Relationship Type="http://schemas.openxmlformats.org/officeDocument/2006/relationships/hyperlink" Id="rId27" Target="https://investor.nvidia.com/financial-info/financial-reports/default.aspx" TargetMode="External" /><Relationship Type="http://schemas.openxmlformats.org/officeDocument/2006/relationships/hyperlink" Id="rId24" Target="https://investor.nvidia.com/news/press-release-details/2026/NVIDIA-Announces-Financial-Results-for-Fourth-Quarter-and-Fiscal-2026/" TargetMode="External" /><Relationship Type="http://schemas.openxmlformats.org/officeDocument/2006/relationships/hyperlink" Id="rId34" Target="https://investor.tsmc.com/english/encrypt/files/encrypt_file/reports/2026-04/a7e3abe65a3fbc342aa55f9f53a5490dd621c1ac/1Q26%20Presentation%20%28E%29.pdf" TargetMode="External" /><Relationship Type="http://schemas.openxmlformats.org/officeDocument/2006/relationships/hyperlink" Id="rId36" Target="https://ir.aboutamazon.com/news-release/news-release-details/2026/Amazon-com-Announces-Fourth-Quarter-Results/" TargetMode="External" /><Relationship Type="http://schemas.openxmlformats.org/officeDocument/2006/relationships/hyperlink" Id="rId33" Target="https://www.asml.com/news/press-releases/2026/q1-2026-financial-results" TargetMode="External" /><Relationship Type="http://schemas.openxmlformats.org/officeDocument/2006/relationships/hyperlink" Id="rId30" Target="https://www.geaerospace.com/news/press-releases/ge-aerospace-announces-first-quarter-2026-results" TargetMode="External" /><Relationship Type="http://schemas.openxmlformats.org/officeDocument/2006/relationships/hyperlink" Id="rId25" Target="https://www.jpmorganchase.com/content/dam/jpmc/jpmorgan-chase-and-co/investor-relations/documents/quarterly-earnings/2026/1st-quarter/corp-q1-2026.pdf" TargetMode="External" /><Relationship Type="http://schemas.openxmlformats.org/officeDocument/2006/relationships/hyperlink" Id="rId32" Target="https://www.mhi.com/finance/library/result/pdf/fy20253q/presentation.pdf" TargetMode="External" /><Relationship Type="http://schemas.openxmlformats.org/officeDocument/2006/relationships/hyperlink" Id="rId28" Target="https://www.microsoft.com/en-us/investor/events/fy-2026/earnings-fy-2026-q3" TargetMode="External" /><Relationship Type="http://schemas.openxmlformats.org/officeDocument/2006/relationships/hyperlink" Id="rId29" Target="https://www.shell.com/investors/results-and-reporting/quarterly-results/_jcr_content/root/main/section/simple_copy/promo_1962010312_cop/links/item0.stream/1778115268202/e177be427a9e32c1ade2cd6530cf0fdffce50c4f/q1-2026-quarterly-press-releas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2026-05-11T14:39:09Z</dcterms:created>
  <dcterms:modified xsi:type="dcterms:W3CDTF">2026-05-11T14:39:09Z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