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rPr>
      </w:pPr>
      <w:r>
        <w:rPr>
          <w:rStyle w:val="StrongEmphasis"/>
          <w:rFonts w:cs="Times New Roman" w:ascii="Times New Roman" w:hAnsi="Times New Roman"/>
        </w:rPr>
        <w:t>Moist Static Energy Diagnostic Package</w:t>
      </w:r>
    </w:p>
    <w:p>
      <w:pPr>
        <w:pStyle w:val="TextBody"/>
        <w:jc w:val="both"/>
        <w:rPr>
          <w:rFonts w:ascii="Times New Roman" w:hAnsi="Times New Roman" w:cs="Times New Roman"/>
        </w:rPr>
      </w:pPr>
      <w:r>
        <w:rPr>
          <w:rStyle w:val="StrongEmphasis"/>
          <w:rFonts w:cs="Times New Roman" w:ascii="Times New Roman" w:hAnsi="Times New Roman"/>
        </w:rPr>
        <w:t>Last update 01/21/2021</w:t>
      </w:r>
    </w:p>
    <w:p>
      <w:pPr>
        <w:pStyle w:val="TextBody"/>
        <w:jc w:val="both"/>
        <w:rPr>
          <w:rFonts w:ascii="Times New Roman" w:hAnsi="Times New Roman" w:cs="Times New Roman"/>
        </w:rPr>
      </w:pPr>
      <w:r>
        <w:rPr>
          <w:rFonts w:cs="Times New Roman" w:ascii="Times New Roman" w:hAnsi="Times New Roman"/>
        </w:rPr>
        <w:t xml:space="preserve">ENSO moist static energy (MSE) diagnostic package consists of four levels. With a focus on identifying leading processes that determine ENSO-related precipitation anomalies, main module of the process-oriented diagnostic (POD) estimates vertically MSE budget and its variance analysis to account for relative contribution of each MSE term to column MSE. In that pursuit, POD is applied to monthly data (climate model or reanalysis products), and budget terms are estimated for “composite” El Niño or La Nina events. To estimate MSE budget, along with surface and radiation fluxes, 3-dimensional atmospheric variables are required. Hence, ERA-Interim is “considered” as “observations” here, and diagnostics obtained from ERA-Interim are used for model validation. In this general document, brief descriptions of the four levels of the POD are provided but detailed information (e.g., equations and input variables) is provided at each level. For the four levels of diagnostics, selected results are illustrated here. </w:t>
      </w:r>
    </w:p>
    <w:p>
      <w:pPr>
        <w:pStyle w:val="TextBody"/>
        <w:jc w:val="both"/>
        <w:rPr/>
      </w:pPr>
      <w:r>
        <w:rPr>
          <w:rFonts w:cs="Times New Roman" w:ascii="Times New Roman" w:hAnsi="Times New Roman"/>
          <w:i/>
          <w:iCs/>
        </w:rPr>
        <w:t>POD works efficiently if model data contain sufficient number of El Niño or La Nina events.</w:t>
      </w:r>
    </w:p>
    <w:p>
      <w:pPr>
        <w:pStyle w:val="Normal"/>
        <w:rPr>
          <w:rFonts w:ascii="Liberation Serif" w:hAnsi="Liberation Serif"/>
        </w:rPr>
      </w:pPr>
      <w:r>
        <w:rPr>
          <w:rFonts w:ascii="Liberation Serif" w:hAnsi="Liberation Serif"/>
        </w:rPr>
        <w:t>To obtain robust results, a reasonable number of El Nino events is preferred in any model simulation (AMIP or CMIP) as predigested results correspond to results obtained from CMIP historical simulations for the period 1951-2005 in which 7-9 events are identified. Since the leading MSE terms are invariant from one event to another, useful information can still be obtained from shorter model runs in which 1-2 events are only identified.</w:t>
      </w:r>
    </w:p>
    <w:p>
      <w:pPr>
        <w:pStyle w:val="TextBody"/>
        <w:jc w:val="both"/>
        <w:rPr>
          <w:rFonts w:ascii="Times New Roman" w:hAnsi="Times New Roman" w:cs="Times New Roman"/>
          <w:i/>
          <w:i/>
          <w:iCs/>
        </w:rPr>
      </w:pPr>
      <w:r>
        <w:rPr/>
      </w:r>
    </w:p>
    <w:p>
      <w:pPr>
        <w:pStyle w:val="TextBody"/>
        <w:jc w:val="both"/>
        <w:rPr>
          <w:rFonts w:ascii="Times New Roman" w:hAnsi="Times New Roman" w:cs="Times New Roman"/>
        </w:rPr>
      </w:pPr>
      <w:r>
        <w:rPr>
          <w:rStyle w:val="StrongEmphasis"/>
          <w:rFonts w:cs="Times New Roman" w:ascii="Times New Roman" w:hAnsi="Times New Roman"/>
        </w:rPr>
        <w:t>Version and contact information</w:t>
      </w:r>
    </w:p>
    <w:p>
      <w:pPr>
        <w:pStyle w:val="TextBody"/>
        <w:jc w:val="both"/>
        <w:rPr>
          <w:rFonts w:ascii="Times New Roman" w:hAnsi="Times New Roman" w:cs="Times New Roman"/>
        </w:rPr>
      </w:pPr>
      <w:r>
        <w:rPr>
          <w:rFonts w:cs="Times New Roman" w:ascii="Times New Roman" w:hAnsi="Times New Roman"/>
        </w:rPr>
        <w:t>Version 1, revision (second) 01/21/2021</w:t>
      </w:r>
    </w:p>
    <w:p>
      <w:pPr>
        <w:pStyle w:val="TextBody"/>
        <w:jc w:val="both"/>
        <w:rPr/>
      </w:pPr>
      <w:r>
        <w:rPr>
          <w:rFonts w:cs="Times New Roman" w:ascii="Times New Roman" w:hAnsi="Times New Roman"/>
        </w:rPr>
        <w:t xml:space="preserve">PI: Dr. H. Annamalai (IPRC/SOEST University of/ Hawaii; </w:t>
      </w:r>
      <w:hyperlink r:id="rId2">
        <w:r>
          <w:rPr>
            <w:rStyle w:val="InternetLink"/>
            <w:rFonts w:cs="Times New Roman" w:ascii="Times New Roman" w:hAnsi="Times New Roman"/>
          </w:rPr>
          <w:t>hanna@hawaii.edu</w:t>
        </w:r>
      </w:hyperlink>
      <w:r>
        <w:rPr>
          <w:rFonts w:cs="Times New Roman" w:ascii="Times New Roman" w:hAnsi="Times New Roman"/>
        </w:rPr>
        <w:t xml:space="preserve"> )</w:t>
      </w:r>
    </w:p>
    <w:p>
      <w:pPr>
        <w:pStyle w:val="TextBody"/>
        <w:jc w:val="both"/>
        <w:rPr/>
      </w:pPr>
      <w:r>
        <w:rPr>
          <w:rFonts w:cs="Times New Roman" w:ascii="Times New Roman" w:hAnsi="Times New Roman"/>
        </w:rPr>
        <w:t xml:space="preserve">Current developer: Jan Hafner (IPRC/SOEST University of Hawaii; </w:t>
      </w:r>
      <w:hyperlink r:id="rId3">
        <w:r>
          <w:rPr>
            <w:rStyle w:val="InternetLink"/>
            <w:rFonts w:cs="Times New Roman" w:ascii="Times New Roman" w:hAnsi="Times New Roman"/>
          </w:rPr>
          <w:t>jhafner@hawaii.edu</w:t>
        </w:r>
      </w:hyperlink>
      <w:r>
        <w:rPr>
          <w:rFonts w:cs="Times New Roman" w:ascii="Times New Roman" w:hAnsi="Times New Roman"/>
        </w:rPr>
        <w:t>)</w:t>
      </w:r>
    </w:p>
    <w:p>
      <w:pPr>
        <w:pStyle w:val="TextBody"/>
        <w:jc w:val="both"/>
        <w:rPr>
          <w:rFonts w:ascii="Times New Roman" w:hAnsi="Times New Roman" w:cs="Times New Roman"/>
        </w:rPr>
      </w:pPr>
      <w:r>
        <w:rPr>
          <w:rStyle w:val="StrongEmphasis"/>
          <w:rFonts w:cs="Times New Roman" w:ascii="Times New Roman" w:hAnsi="Times New Roman"/>
        </w:rPr>
        <w:t>Open source copyright agreement</w:t>
      </w:r>
    </w:p>
    <w:p>
      <w:pPr>
        <w:pStyle w:val="Normal"/>
        <w:rPr>
          <w:rFonts w:ascii="Times New Roman" w:hAnsi="Times New Roman" w:eastAsia="Times New Roman" w:cs="Times New Roman"/>
          <w:color w:val="00000A"/>
          <w:lang w:eastAsia="en-US" w:bidi="ar-SA"/>
        </w:rPr>
      </w:pPr>
      <w:r>
        <w:rPr>
          <w:rFonts w:eastAsia="Times New Roman" w:cs="Times New Roman" w:ascii="Times New Roman" w:hAnsi="Times New Roman"/>
          <w:color w:val="3E4349"/>
          <w:sz w:val="26"/>
          <w:szCs w:val="26"/>
          <w:shd w:fill="FFFFFF" w:val="clear"/>
          <w:lang w:eastAsia="en-US" w:bidi="ar-SA"/>
        </w:rPr>
        <w:t>The MDTF framework is distributed under the LGPLv3 license (see LICENSE.txt).</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Style w:val="StrongEmphasis"/>
          <w:rFonts w:cs="Times New Roman" w:ascii="Times New Roman" w:hAnsi="Times New Roman"/>
        </w:rPr>
        <w:t>Functionality</w:t>
      </w:r>
    </w:p>
    <w:p>
      <w:pPr>
        <w:pStyle w:val="TextBody"/>
        <w:jc w:val="both"/>
        <w:rPr>
          <w:rFonts w:ascii="Times New Roman" w:hAnsi="Times New Roman" w:cs="Times New Roman"/>
        </w:rPr>
      </w:pPr>
      <w:r>
        <w:rPr>
          <w:rFonts w:cs="Times New Roman" w:ascii="Times New Roman" w:hAnsi="Times New Roman"/>
        </w:rPr>
        <w:t>The current package consists of the following functionalities:</w:t>
      </w:r>
    </w:p>
    <w:p>
      <w:pPr>
        <w:pStyle w:val="TextBody"/>
        <w:numPr>
          <w:ilvl w:val="0"/>
          <w:numId w:val="1"/>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Basic ENSO diagnostics performed by script COMPOSITE.py </w:t>
      </w:r>
    </w:p>
    <w:p>
      <w:pPr>
        <w:pStyle w:val="TextBody"/>
        <w:numPr>
          <w:ilvl w:val="0"/>
          <w:numId w:val="1"/>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MSE (Moist Static Energy) budget analysis performed by script MSE.py </w:t>
      </w:r>
    </w:p>
    <w:p>
      <w:pPr>
        <w:pStyle w:val="TextBody"/>
        <w:numPr>
          <w:ilvl w:val="0"/>
          <w:numId w:val="1"/>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MSE variance diagnostics performed by script MSE_VAR.py </w:t>
      </w:r>
    </w:p>
    <w:p>
      <w:pPr>
        <w:pStyle w:val="TextBody"/>
        <w:numPr>
          <w:ilvl w:val="0"/>
          <w:numId w:val="1"/>
        </w:numPr>
        <w:tabs>
          <w:tab w:val="left" w:pos="0" w:leader="none"/>
        </w:tabs>
        <w:jc w:val="both"/>
        <w:rPr>
          <w:rFonts w:ascii="Times New Roman" w:hAnsi="Times New Roman" w:cs="Times New Roman"/>
        </w:rPr>
      </w:pPr>
      <w:r>
        <w:rPr>
          <w:rFonts w:cs="Times New Roman" w:ascii="Times New Roman" w:hAnsi="Times New Roman"/>
        </w:rPr>
        <w:t xml:space="preserve">MSE scatter plots performed by script SCATTER.py </w:t>
      </w:r>
    </w:p>
    <w:p>
      <w:pPr>
        <w:pStyle w:val="TextBody"/>
        <w:jc w:val="both"/>
        <w:rPr>
          <w:rFonts w:ascii="Times New Roman" w:hAnsi="Times New Roman" w:cs="Times New Roman"/>
        </w:rPr>
      </w:pPr>
      <w:r>
        <w:rPr>
          <w:rFonts w:cs="Times New Roman" w:ascii="Times New Roman" w:hAnsi="Times New Roman"/>
        </w:rPr>
        <w:t>As a module of the MDTF code package, all scripts to perform the four levels can be found here: ~/diagnostics/ENSO_MSE/</w:t>
      </w:r>
    </w:p>
    <w:p>
      <w:pPr>
        <w:pStyle w:val="TextBody"/>
        <w:jc w:val="both"/>
        <w:rPr>
          <w:rFonts w:ascii="Times New Roman" w:hAnsi="Times New Roman" w:cs="Times New Roman"/>
        </w:rPr>
      </w:pPr>
      <w:r>
        <w:rPr>
          <w:rFonts w:cs="Times New Roman" w:ascii="Times New Roman" w:hAnsi="Times New Roman"/>
        </w:rPr>
        <w:t>The pre-digested observational data for model validation can be found here: ~/diagnostics/inputdata/obs_data/ENSO_MSE/</w:t>
      </w:r>
    </w:p>
    <w:p>
      <w:pPr>
        <w:pStyle w:val="TextBody"/>
        <w:jc w:val="both"/>
        <w:rPr>
          <w:rFonts w:ascii="Times New Roman" w:hAnsi="Times New Roman" w:cs="Times New Roman"/>
        </w:rPr>
      </w:pPr>
      <w:r>
        <w:rPr>
          <w:rStyle w:val="StrongEmphasis"/>
          <w:rFonts w:cs="Times New Roman" w:ascii="Times New Roman" w:hAnsi="Times New Roman"/>
        </w:rPr>
        <w:t>Required programming language and libraries</w:t>
      </w:r>
    </w:p>
    <w:p>
      <w:pPr>
        <w:pStyle w:val="TextBody"/>
        <w:jc w:val="both"/>
        <w:rPr>
          <w:rFonts w:ascii="Times New Roman" w:hAnsi="Times New Roman" w:cs="Times New Roman"/>
        </w:rPr>
      </w:pPr>
      <w:r>
        <w:rPr>
          <w:rFonts w:cs="Times New Roman" w:ascii="Times New Roman" w:hAnsi="Times New Roman"/>
        </w:rPr>
        <w:t>This package is coded in Python 3.8.5 and requires the following packages: numpy, os, math, xarray, netcdf4.</w:t>
      </w:r>
    </w:p>
    <w:p>
      <w:pPr>
        <w:pStyle w:val="TextBody"/>
        <w:jc w:val="both"/>
        <w:rPr>
          <w:rFonts w:ascii="Times New Roman" w:hAnsi="Times New Roman" w:cs="Times New Roman"/>
        </w:rPr>
      </w:pPr>
      <w:r>
        <w:rPr>
          <w:rFonts w:cs="Times New Roman" w:ascii="Times New Roman" w:hAnsi="Times New Roman"/>
        </w:rPr>
        <w:t>The pre-processing and plotting are coded in NCAR Command Language Version 6.5.0.</w:t>
      </w:r>
    </w:p>
    <w:p>
      <w:pPr>
        <w:pStyle w:val="TextBody"/>
        <w:jc w:val="both"/>
        <w:rPr>
          <w:rFonts w:ascii="Times New Roman" w:hAnsi="Times New Roman" w:cs="Times New Roman"/>
        </w:rPr>
      </w:pPr>
      <w:r>
        <w:rPr>
          <w:rStyle w:val="StrongEmphasis"/>
          <w:rFonts w:cs="Times New Roman" w:ascii="Times New Roman" w:hAnsi="Times New Roman"/>
        </w:rPr>
        <w:t>Required model output variables and their corresponding units</w:t>
      </w:r>
    </w:p>
    <w:p>
      <w:pPr>
        <w:pStyle w:val="TextBody"/>
        <w:jc w:val="both"/>
        <w:rPr>
          <w:rFonts w:ascii="Times New Roman" w:hAnsi="Times New Roman" w:cs="Times New Roman"/>
        </w:rPr>
      </w:pPr>
      <w:r>
        <w:rPr>
          <w:rFonts w:cs="Times New Roman" w:ascii="Times New Roman" w:hAnsi="Times New Roman"/>
        </w:rPr>
        <w:t>The following model fields are required as monthly data:</w:t>
      </w:r>
    </w:p>
    <w:p>
      <w:pPr>
        <w:pStyle w:val="TextBody"/>
        <w:jc w:val="both"/>
        <w:rPr>
          <w:rFonts w:ascii="Times New Roman" w:hAnsi="Times New Roman" w:cs="Times New Roman"/>
        </w:rPr>
      </w:pPr>
      <w:r>
        <w:rPr>
          <w:rFonts w:cs="Times New Roman" w:ascii="Times New Roman" w:hAnsi="Times New Roman"/>
        </w:rPr>
        <w:t>4-D variables (longitude, latitude, pressure level, time):</w:t>
      </w:r>
    </w:p>
    <w:p>
      <w:pPr>
        <w:pStyle w:val="TextBody"/>
        <w:numPr>
          <w:ilvl w:val="0"/>
          <w:numId w:val="2"/>
        </w:numPr>
        <w:tabs>
          <w:tab w:val="left" w:pos="0" w:leader="none"/>
        </w:tabs>
        <w:spacing w:before="0" w:after="0"/>
        <w:jc w:val="both"/>
        <w:rPr/>
      </w:pPr>
      <w:r>
        <w:rPr>
          <w:rFonts w:cs="Times New Roman" w:ascii="Times New Roman" w:hAnsi="Times New Roman"/>
          <w:i/>
          <w:iCs/>
        </w:rPr>
        <w:t>zg</w:t>
      </w:r>
      <w:r>
        <w:rPr>
          <w:rFonts w:cs="Times New Roman" w:ascii="Times New Roman" w:hAnsi="Times New Roman"/>
        </w:rPr>
        <w:t xml:space="preserve"> : HGT geopotential height (m) </w:t>
      </w:r>
    </w:p>
    <w:p>
      <w:pPr>
        <w:pStyle w:val="TextBody"/>
        <w:numPr>
          <w:ilvl w:val="0"/>
          <w:numId w:val="2"/>
        </w:numPr>
        <w:tabs>
          <w:tab w:val="left" w:pos="0" w:leader="none"/>
        </w:tabs>
        <w:spacing w:before="0" w:after="0"/>
        <w:jc w:val="both"/>
        <w:rPr>
          <w:rFonts w:ascii="Times New Roman" w:hAnsi="Times New Roman" w:cs="Times New Roman"/>
        </w:rPr>
      </w:pPr>
      <w:r>
        <w:rPr>
          <w:rFonts w:cs="Times New Roman" w:ascii="Times New Roman" w:hAnsi="Times New Roman"/>
          <w:i/>
          <w:iCs/>
        </w:rPr>
        <w:t>ua</w:t>
      </w:r>
      <w:r>
        <w:rPr>
          <w:rFonts w:cs="Times New Roman" w:ascii="Times New Roman" w:hAnsi="Times New Roman"/>
        </w:rPr>
        <w:t xml:space="preserve"> : U wind component [m/s] </w:t>
      </w:r>
    </w:p>
    <w:p>
      <w:pPr>
        <w:pStyle w:val="TextBody"/>
        <w:numPr>
          <w:ilvl w:val="0"/>
          <w:numId w:val="2"/>
        </w:numPr>
        <w:tabs>
          <w:tab w:val="left" w:pos="0" w:leader="none"/>
        </w:tabs>
        <w:spacing w:before="0" w:after="0"/>
        <w:jc w:val="both"/>
        <w:rPr>
          <w:rFonts w:ascii="Times New Roman" w:hAnsi="Times New Roman" w:cs="Times New Roman"/>
        </w:rPr>
      </w:pPr>
      <w:r>
        <w:rPr>
          <w:rFonts w:cs="Times New Roman" w:ascii="Times New Roman" w:hAnsi="Times New Roman"/>
          <w:i/>
          <w:iCs/>
        </w:rPr>
        <w:t>va</w:t>
      </w:r>
      <w:r>
        <w:rPr>
          <w:rFonts w:cs="Times New Roman" w:ascii="Times New Roman" w:hAnsi="Times New Roman"/>
        </w:rPr>
        <w:t xml:space="preserve"> : V wind component [m/s] </w:t>
      </w:r>
    </w:p>
    <w:p>
      <w:pPr>
        <w:pStyle w:val="TextBody"/>
        <w:numPr>
          <w:ilvl w:val="0"/>
          <w:numId w:val="2"/>
        </w:numPr>
        <w:tabs>
          <w:tab w:val="left" w:pos="0" w:leader="none"/>
        </w:tabs>
        <w:spacing w:before="0" w:after="0"/>
        <w:jc w:val="both"/>
        <w:rPr>
          <w:rFonts w:ascii="Times New Roman" w:hAnsi="Times New Roman" w:cs="Times New Roman"/>
        </w:rPr>
      </w:pPr>
      <w:r>
        <w:rPr>
          <w:rFonts w:cs="Times New Roman" w:ascii="Times New Roman" w:hAnsi="Times New Roman"/>
          <w:i/>
          <w:iCs/>
        </w:rPr>
        <w:t>ta</w:t>
      </w:r>
      <w:r>
        <w:rPr>
          <w:rFonts w:cs="Times New Roman" w:ascii="Times New Roman" w:hAnsi="Times New Roman"/>
        </w:rPr>
        <w:t xml:space="preserve"> : Temperature [K] </w:t>
      </w:r>
    </w:p>
    <w:p>
      <w:pPr>
        <w:pStyle w:val="TextBody"/>
        <w:numPr>
          <w:ilvl w:val="0"/>
          <w:numId w:val="2"/>
        </w:numPr>
        <w:tabs>
          <w:tab w:val="left" w:pos="0" w:leader="none"/>
        </w:tabs>
        <w:spacing w:before="0" w:after="0"/>
        <w:jc w:val="both"/>
        <w:rPr/>
      </w:pPr>
      <w:r>
        <w:rPr>
          <w:rFonts w:cs="Times New Roman" w:ascii="Times New Roman" w:hAnsi="Times New Roman"/>
          <w:i/>
          <w:iCs/>
        </w:rPr>
        <w:t>hus</w:t>
      </w:r>
      <w:r>
        <w:rPr>
          <w:rFonts w:cs="Times New Roman" w:ascii="Times New Roman" w:hAnsi="Times New Roman"/>
        </w:rPr>
        <w:t xml:space="preserve"> : Specific Humidity [kg/kg] </w:t>
      </w:r>
    </w:p>
    <w:p>
      <w:pPr>
        <w:pStyle w:val="TextBody"/>
        <w:numPr>
          <w:ilvl w:val="0"/>
          <w:numId w:val="2"/>
        </w:numPr>
        <w:tabs>
          <w:tab w:val="left" w:pos="0" w:leader="none"/>
        </w:tabs>
        <w:jc w:val="both"/>
        <w:rPr>
          <w:rFonts w:ascii="Times New Roman" w:hAnsi="Times New Roman" w:cs="Times New Roman"/>
        </w:rPr>
      </w:pPr>
      <w:r>
        <w:rPr>
          <w:rFonts w:cs="Times New Roman" w:ascii="Times New Roman" w:hAnsi="Times New Roman"/>
          <w:i/>
          <w:iCs/>
        </w:rPr>
        <w:t>wap</w:t>
      </w:r>
      <w:r>
        <w:rPr>
          <w:rFonts w:cs="Times New Roman" w:ascii="Times New Roman" w:hAnsi="Times New Roman"/>
        </w:rPr>
        <w:t xml:space="preserve"> : Vertical Velocity [Pa/s] </w:t>
      </w:r>
    </w:p>
    <w:p>
      <w:pPr>
        <w:pStyle w:val="TextBody"/>
        <w:jc w:val="both"/>
        <w:rPr>
          <w:rFonts w:ascii="Times New Roman" w:hAnsi="Times New Roman" w:cs="Times New Roman"/>
        </w:rPr>
      </w:pPr>
      <w:r>
        <w:rPr>
          <w:rFonts w:cs="Times New Roman" w:ascii="Times New Roman" w:hAnsi="Times New Roman"/>
        </w:rPr>
        <w:t>3-D variables (longitude, latitude, time):</w:t>
      </w:r>
    </w:p>
    <w:p>
      <w:pPr>
        <w:pStyle w:val="TextBody"/>
        <w:numPr>
          <w:ilvl w:val="0"/>
          <w:numId w:val="3"/>
        </w:numPr>
        <w:tabs>
          <w:tab w:val="left" w:pos="0" w:leader="none"/>
        </w:tabs>
        <w:spacing w:before="0" w:after="0"/>
        <w:jc w:val="both"/>
        <w:rPr>
          <w:rFonts w:ascii="Times New Roman" w:hAnsi="Times New Roman" w:cs="Times New Roman"/>
        </w:rPr>
      </w:pPr>
      <w:r>
        <w:rPr>
          <w:rFonts w:cs="Times New Roman" w:ascii="Times New Roman" w:hAnsi="Times New Roman"/>
          <w:i/>
          <w:iCs/>
        </w:rPr>
        <w:t>pr</w:t>
      </w:r>
      <w:r>
        <w:rPr>
          <w:rFonts w:cs="Times New Roman" w:ascii="Times New Roman" w:hAnsi="Times New Roman"/>
        </w:rPr>
        <w:t xml:space="preserve"> : Precipitation [kg/m</w:t>
      </w:r>
      <w:r>
        <w:rPr>
          <w:rFonts w:cs="Times New Roman" w:ascii="Times New Roman" w:hAnsi="Times New Roman"/>
          <w:position w:val="8"/>
          <w:sz w:val="19"/>
        </w:rPr>
        <w:t>2</w:t>
      </w:r>
      <w:r>
        <w:rPr>
          <w:rFonts w:cs="Times New Roman" w:ascii="Times New Roman" w:hAnsi="Times New Roman"/>
        </w:rPr>
        <w:t xml:space="preserve">/s] </w:t>
      </w:r>
    </w:p>
    <w:p>
      <w:pPr>
        <w:pStyle w:val="TextBody"/>
        <w:numPr>
          <w:ilvl w:val="0"/>
          <w:numId w:val="3"/>
        </w:numPr>
        <w:tabs>
          <w:tab w:val="left" w:pos="0" w:leader="none"/>
        </w:tabs>
        <w:spacing w:before="0" w:after="0"/>
        <w:jc w:val="both"/>
        <w:rPr>
          <w:rFonts w:ascii="Times New Roman" w:hAnsi="Times New Roman" w:cs="Times New Roman"/>
        </w:rPr>
      </w:pPr>
      <w:r>
        <w:rPr>
          <w:rFonts w:cs="Times New Roman" w:ascii="Times New Roman" w:hAnsi="Times New Roman"/>
          <w:i/>
          <w:iCs/>
        </w:rPr>
        <w:t xml:space="preserve">ts </w:t>
      </w:r>
      <w:r>
        <w:rPr>
          <w:rFonts w:cs="Times New Roman" w:ascii="Times New Roman" w:hAnsi="Times New Roman"/>
        </w:rPr>
        <w:t xml:space="preserve">: Surface Temperature [K] </w:t>
      </w:r>
    </w:p>
    <w:p>
      <w:pPr>
        <w:pStyle w:val="TextBody"/>
        <w:numPr>
          <w:ilvl w:val="0"/>
          <w:numId w:val="3"/>
        </w:numPr>
        <w:tabs>
          <w:tab w:val="left" w:pos="0" w:leader="none"/>
        </w:tabs>
        <w:spacing w:before="0" w:after="0"/>
        <w:jc w:val="both"/>
        <w:rPr>
          <w:rFonts w:ascii="Times New Roman" w:hAnsi="Times New Roman" w:cs="Times New Roman"/>
        </w:rPr>
      </w:pPr>
      <w:r>
        <w:rPr>
          <w:rFonts w:cs="Times New Roman" w:ascii="Times New Roman" w:hAnsi="Times New Roman"/>
          <w:i/>
          <w:iCs/>
        </w:rPr>
        <w:t>hfss</w:t>
      </w:r>
      <w:r>
        <w:rPr>
          <w:rFonts w:cs="Times New Roman" w:ascii="Times New Roman" w:hAnsi="Times New Roman"/>
        </w:rPr>
        <w:t xml:space="preserve"> : Sensible Heat Flux [W/m</w:t>
      </w:r>
      <w:r>
        <w:rPr>
          <w:rFonts w:cs="Times New Roman" w:ascii="Times New Roman" w:hAnsi="Times New Roman"/>
          <w:position w:val="8"/>
          <w:sz w:val="19"/>
        </w:rPr>
        <w:t>2</w:t>
      </w:r>
      <w:r>
        <w:rPr>
          <w:rFonts w:cs="Times New Roman" w:ascii="Times New Roman" w:hAnsi="Times New Roman"/>
        </w:rPr>
        <w:t xml:space="preserve">] </w:t>
      </w:r>
    </w:p>
    <w:p>
      <w:pPr>
        <w:pStyle w:val="TextBody"/>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10. </w:t>
      </w:r>
      <w:r>
        <w:rPr>
          <w:rFonts w:cs="Times New Roman" w:ascii="Times New Roman" w:hAnsi="Times New Roman"/>
          <w:i/>
          <w:iCs/>
        </w:rPr>
        <w:t>hfls</w:t>
      </w:r>
      <w:r>
        <w:rPr>
          <w:rFonts w:cs="Times New Roman" w:ascii="Times New Roman" w:hAnsi="Times New Roman"/>
        </w:rPr>
        <w:t xml:space="preserve"> : Latent Heat Flux [W/m</w:t>
      </w:r>
      <w:r>
        <w:rPr>
          <w:rFonts w:cs="Times New Roman" w:ascii="Times New Roman" w:hAnsi="Times New Roman"/>
          <w:position w:val="8"/>
          <w:sz w:val="19"/>
        </w:rPr>
        <w:t>2</w:t>
      </w:r>
      <w:r>
        <w:rPr>
          <w:rFonts w:cs="Times New Roman" w:ascii="Times New Roman" w:hAnsi="Times New Roman"/>
        </w:rPr>
        <w:t xml:space="preserve">] </w:t>
      </w:r>
    </w:p>
    <w:p>
      <w:pPr>
        <w:pStyle w:val="TextBody"/>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11.          Net Shortwave Radiative Flux [W/m</w:t>
      </w:r>
      <w:r>
        <w:rPr>
          <w:rFonts w:cs="Times New Roman" w:ascii="Times New Roman" w:hAnsi="Times New Roman"/>
          <w:position w:val="8"/>
          <w:sz w:val="19"/>
        </w:rPr>
        <w:t>2</w:t>
      </w:r>
      <w:r>
        <w:rPr>
          <w:rFonts w:cs="Times New Roman" w:ascii="Times New Roman" w:hAnsi="Times New Roman"/>
        </w:rPr>
        <w:t xml:space="preserve">] </w:t>
      </w:r>
    </w:p>
    <w:p>
      <w:pPr>
        <w:pStyle w:val="TextBody"/>
        <w:tabs>
          <w:tab w:val="left" w:pos="0" w:leader="none"/>
        </w:tabs>
        <w:jc w:val="both"/>
        <w:rPr/>
      </w:pPr>
      <w:r>
        <w:rPr>
          <w:rFonts w:cs="Times New Roman" w:ascii="Times New Roman" w:hAnsi="Times New Roman"/>
        </w:rPr>
        <w:t xml:space="preserve">     </w:t>
      </w:r>
      <w:r>
        <w:rPr>
          <w:rFonts w:cs="Times New Roman" w:ascii="Times New Roman" w:hAnsi="Times New Roman"/>
        </w:rPr>
        <w:t>12.          Net Longwave Radiative Flux [W/m</w:t>
      </w:r>
      <w:r>
        <w:rPr>
          <w:rFonts w:cs="Times New Roman" w:ascii="Times New Roman" w:hAnsi="Times New Roman"/>
          <w:position w:val="8"/>
          <w:sz w:val="19"/>
        </w:rPr>
        <w:t>2</w:t>
      </w:r>
      <w:r>
        <w:rPr>
          <w:rFonts w:cs="Times New Roman" w:ascii="Times New Roman" w:hAnsi="Times New Roman"/>
        </w:rPr>
        <w:t xml:space="preserve">] </w:t>
      </w:r>
    </w:p>
    <w:p>
      <w:pPr>
        <w:pStyle w:val="TextBody"/>
        <w:jc w:val="both"/>
        <w:rPr/>
      </w:pPr>
      <w:r>
        <w:rPr>
          <w:rFonts w:cs="Times New Roman" w:ascii="Times New Roman" w:hAnsi="Times New Roman"/>
        </w:rPr>
        <w:t xml:space="preserve">Net radiative fluxes [variables 11 and 12] are estimated from the individual seven (7) radiative flux components, namely: (i) </w:t>
      </w:r>
      <w:r>
        <w:rPr>
          <w:rFonts w:cs="Times New Roman" w:ascii="Times New Roman" w:hAnsi="Times New Roman"/>
          <w:i/>
          <w:iCs/>
        </w:rPr>
        <w:t>rsdt</w:t>
      </w:r>
      <w:r>
        <w:rPr>
          <w:rFonts w:cs="Times New Roman" w:ascii="Times New Roman" w:hAnsi="Times New Roman"/>
        </w:rPr>
        <w:t xml:space="preserve"> : Top Of Atmosphere (TOA) Shortwave down; (ii) </w:t>
      </w:r>
      <w:r>
        <w:rPr>
          <w:rFonts w:cs="Times New Roman" w:ascii="Times New Roman" w:hAnsi="Times New Roman"/>
          <w:i/>
          <w:iCs/>
        </w:rPr>
        <w:t>rsut</w:t>
      </w:r>
      <w:r>
        <w:rPr>
          <w:rFonts w:cs="Times New Roman" w:ascii="Times New Roman" w:hAnsi="Times New Roman"/>
        </w:rPr>
        <w:t xml:space="preserve"> : TOA Shortwave up; (iii) </w:t>
      </w:r>
      <w:r>
        <w:rPr>
          <w:rFonts w:cs="Times New Roman" w:ascii="Times New Roman" w:hAnsi="Times New Roman"/>
          <w:i/>
          <w:iCs/>
        </w:rPr>
        <w:t>rsds</w:t>
      </w:r>
      <w:r>
        <w:rPr>
          <w:rFonts w:cs="Times New Roman" w:ascii="Times New Roman" w:hAnsi="Times New Roman"/>
        </w:rPr>
        <w:t xml:space="preserve"> : Surface Shortwave down; (iv) </w:t>
      </w:r>
      <w:r>
        <w:rPr>
          <w:rFonts w:cs="Times New Roman" w:ascii="Times New Roman" w:hAnsi="Times New Roman"/>
          <w:i/>
          <w:iCs/>
        </w:rPr>
        <w:t>rsus</w:t>
      </w:r>
      <w:r>
        <w:rPr>
          <w:rFonts w:cs="Times New Roman" w:ascii="Times New Roman" w:hAnsi="Times New Roman"/>
        </w:rPr>
        <w:t xml:space="preserve"> : Surface Shortwave up; (v) </w:t>
      </w:r>
      <w:r>
        <w:rPr>
          <w:rFonts w:cs="Times New Roman" w:ascii="Times New Roman" w:hAnsi="Times New Roman"/>
          <w:i/>
          <w:iCs/>
        </w:rPr>
        <w:t>rlut</w:t>
      </w:r>
      <w:r>
        <w:rPr>
          <w:rFonts w:cs="Times New Roman" w:ascii="Times New Roman" w:hAnsi="Times New Roman"/>
        </w:rPr>
        <w:t xml:space="preserve"> : TOA Longwave up (OLR); (vi) </w:t>
      </w:r>
      <w:r>
        <w:rPr>
          <w:rFonts w:cs="Times New Roman" w:ascii="Times New Roman" w:hAnsi="Times New Roman"/>
          <w:i/>
          <w:iCs/>
        </w:rPr>
        <w:t>rlus</w:t>
      </w:r>
      <w:r>
        <w:rPr>
          <w:rFonts w:cs="Times New Roman" w:ascii="Times New Roman" w:hAnsi="Times New Roman"/>
        </w:rPr>
        <w:t xml:space="preserve"> : Surface Longwave up and (vii)</w:t>
      </w:r>
      <w:r>
        <w:rPr>
          <w:rFonts w:cs="Times New Roman" w:ascii="Times New Roman" w:hAnsi="Times New Roman"/>
          <w:i/>
          <w:iCs/>
        </w:rPr>
        <w:t xml:space="preserve"> rlds</w:t>
      </w:r>
      <w:r>
        <w:rPr>
          <w:rFonts w:cs="Times New Roman" w:ascii="Times New Roman" w:hAnsi="Times New Roman"/>
        </w:rPr>
        <w:t xml:space="preserve"> : Surface Longwave down.</w:t>
      </w:r>
    </w:p>
    <w:p>
      <w:pPr>
        <w:pStyle w:val="TextBody"/>
        <w:jc w:val="both"/>
        <w:rPr>
          <w:rFonts w:ascii="Times New Roman" w:hAnsi="Times New Roman" w:cs="Times New Roman"/>
        </w:rPr>
      </w:pPr>
      <w:r>
        <w:rPr>
          <w:rFonts w:cs="Times New Roman" w:ascii="Times New Roman" w:hAnsi="Times New Roman"/>
        </w:rPr>
        <w:t>More details can be found in the README_general.pdf document.</w:t>
      </w:r>
    </w:p>
    <w:p>
      <w:pPr>
        <w:pStyle w:val="TextBody"/>
        <w:jc w:val="both"/>
        <w:rPr>
          <w:rFonts w:ascii="Times New Roman" w:hAnsi="Times New Roman" w:cs="Times New Roman"/>
        </w:rPr>
      </w:pPr>
      <w:r>
        <w:rPr>
          <w:rStyle w:val="StrongEmphasis"/>
          <w:rFonts w:cs="Times New Roman" w:ascii="Times New Roman" w:hAnsi="Times New Roman"/>
        </w:rPr>
        <w:t>References</w:t>
      </w:r>
    </w:p>
    <w:p>
      <w:pPr>
        <w:pStyle w:val="TextBody"/>
        <w:jc w:val="both"/>
        <w:rPr/>
      </w:pPr>
      <w:bookmarkStart w:id="0" w:name="ref-annamalai2014"/>
      <w:bookmarkEnd w:id="0"/>
      <w:r>
        <w:rPr>
          <w:rFonts w:cs="Times New Roman" w:ascii="Times New Roman" w:hAnsi="Times New Roman"/>
        </w:rPr>
        <w:t xml:space="preserve">1. Annamalai, H., 2020: ENSO precipitation anomalies along the equatorial Pacific: Moist static energy framework diagnostics. </w:t>
      </w:r>
      <w:r>
        <w:rPr>
          <w:rFonts w:cs="Times New Roman" w:ascii="Times New Roman" w:hAnsi="Times New Roman"/>
          <w:i/>
          <w:iCs/>
        </w:rPr>
        <w:t>J. Climate</w:t>
      </w:r>
      <w:r>
        <w:rPr>
          <w:rFonts w:cs="Times New Roman" w:ascii="Times New Roman" w:hAnsi="Times New Roman"/>
        </w:rPr>
        <w:t xml:space="preserve">, </w:t>
      </w:r>
      <w:r>
        <w:rPr>
          <w:rFonts w:cs="Times New Roman" w:ascii="Times New Roman" w:hAnsi="Times New Roman"/>
          <w:b/>
          <w:bCs/>
        </w:rPr>
        <w:t>33</w:t>
      </w:r>
      <w:r>
        <w:rPr>
          <w:rFonts w:cs="Times New Roman" w:ascii="Times New Roman" w:hAnsi="Times New Roman"/>
        </w:rPr>
        <w:t xml:space="preserve">, 9103-9127, doi:10.1175/JCLI-D-19.0374.1 </w:t>
      </w:r>
      <w:hyperlink r:id="rId4">
        <w:r>
          <w:rPr>
            <w:rStyle w:val="InternetLink"/>
            <w:rFonts w:cs="Times New Roman" w:ascii="Times New Roman" w:hAnsi="Times New Roman"/>
            <w:color w:val="000000"/>
            <w:sz w:val="24"/>
            <w:u w:val="none"/>
          </w:rPr>
          <w:t>https://doi.org/10.1175/JCLI-D-19-0374.1</w:t>
        </w:r>
      </w:hyperlink>
    </w:p>
    <w:p>
      <w:pPr>
        <w:pStyle w:val="TextBody"/>
        <w:jc w:val="both"/>
        <w:rPr>
          <w:rFonts w:ascii="Times New Roman" w:hAnsi="Times New Roman" w:cs="Times New Roman"/>
        </w:rPr>
      </w:pPr>
      <w:r>
        <w:rPr>
          <w:rFonts w:cs="Times New Roman" w:ascii="Times New Roman" w:hAnsi="Times New Roman"/>
        </w:rPr>
        <w:t xml:space="preserve">2. Annamalai, H., J. Hafner, A. Kumar and H. Wang, 2014: A framework for dynamical seasonal prediction of precipitation over Pacific islands. </w:t>
      </w:r>
      <w:r>
        <w:rPr>
          <w:rFonts w:cs="Times New Roman" w:ascii="Times New Roman" w:hAnsi="Times New Roman"/>
          <w:i/>
          <w:iCs/>
        </w:rPr>
        <w:t>J. Climate</w:t>
      </w:r>
      <w:r>
        <w:rPr>
          <w:rFonts w:cs="Times New Roman" w:ascii="Times New Roman" w:hAnsi="Times New Roman"/>
        </w:rPr>
        <w:t xml:space="preserve">, </w:t>
      </w:r>
      <w:r>
        <w:rPr>
          <w:rFonts w:cs="Times New Roman" w:ascii="Times New Roman" w:hAnsi="Times New Roman"/>
          <w:b/>
          <w:bCs/>
        </w:rPr>
        <w:t>27</w:t>
      </w:r>
      <w:r>
        <w:rPr>
          <w:rFonts w:cs="Times New Roman" w:ascii="Times New Roman" w:hAnsi="Times New Roman"/>
        </w:rPr>
        <w:t>, 3272-3297, https://doi.org/10.1175/JCLI-D-13-00379.1</w:t>
      </w:r>
    </w:p>
    <w:p>
      <w:pPr>
        <w:pStyle w:val="TextBody"/>
        <w:jc w:val="both"/>
        <w:rPr>
          <w:rStyle w:val="StrongEmphasis"/>
          <w:rFonts w:ascii="Times New Roman" w:hAnsi="Times New Roman" w:cs="Times New Roman"/>
        </w:rPr>
      </w:pPr>
      <w:bookmarkStart w:id="1" w:name="ref-annamalai2019"/>
      <w:bookmarkStart w:id="2" w:name="ref-annamalai2019"/>
      <w:bookmarkEnd w:id="2"/>
      <w:r>
        <w:rPr>
          <w:rFonts w:cs="Times New Roman" w:ascii="Times New Roman" w:hAnsi="Times New Roman"/>
        </w:rPr>
      </w:r>
    </w:p>
    <w:p>
      <w:pPr>
        <w:pStyle w:val="TextBody"/>
        <w:jc w:val="both"/>
        <w:rPr>
          <w:rFonts w:ascii="Times New Roman" w:hAnsi="Times New Roman" w:cs="Times New Roman"/>
        </w:rPr>
      </w:pPr>
      <w:r>
        <w:rPr>
          <w:rStyle w:val="StrongEmphasis"/>
          <w:rFonts w:cs="Times New Roman" w:ascii="Times New Roman" w:hAnsi="Times New Roman"/>
        </w:rPr>
        <w:t>More about this diagnostic</w:t>
      </w:r>
    </w:p>
    <w:p>
      <w:pPr>
        <w:pStyle w:val="TextBody"/>
        <w:jc w:val="both"/>
        <w:rPr>
          <w:rFonts w:ascii="Times New Roman" w:hAnsi="Times New Roman" w:cs="Times New Roman"/>
        </w:rPr>
      </w:pPr>
      <w:r>
        <w:rPr>
          <w:rStyle w:val="StrongEmphasis"/>
          <w:rFonts w:cs="Times New Roman" w:ascii="Times New Roman" w:hAnsi="Times New Roman"/>
        </w:rPr>
        <w:t>Level 1 – Basic ENSO diagnostics</w:t>
      </w:r>
    </w:p>
    <w:p>
      <w:pPr>
        <w:pStyle w:val="TextBody"/>
        <w:jc w:val="both"/>
        <w:rPr>
          <w:rFonts w:ascii="Times New Roman" w:hAnsi="Times New Roman" w:cs="Times New Roman"/>
        </w:rPr>
      </w:pPr>
      <w:r>
        <w:rPr>
          <w:rFonts w:cs="Times New Roman" w:ascii="Times New Roman" w:hAnsi="Times New Roman"/>
        </w:rPr>
        <w:t>Composites, regression and correlation etc: Reference index (e.g., Nino3.4 SST)</w:t>
      </w:r>
    </w:p>
    <w:p>
      <w:pPr>
        <w:pStyle w:val="TextBody"/>
        <w:numPr>
          <w:ilvl w:val="0"/>
          <w:numId w:val="4"/>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Monthly and seasonal averages </w:t>
      </w:r>
    </w:p>
    <w:p>
      <w:pPr>
        <w:pStyle w:val="TextBody"/>
        <w:numPr>
          <w:ilvl w:val="0"/>
          <w:numId w:val="4"/>
        </w:numPr>
        <w:tabs>
          <w:tab w:val="left" w:pos="0" w:leader="none"/>
        </w:tabs>
        <w:jc w:val="both"/>
        <w:rPr>
          <w:rFonts w:ascii="Times New Roman" w:hAnsi="Times New Roman" w:cs="Times New Roman"/>
        </w:rPr>
      </w:pPr>
      <w:r>
        <w:rPr>
          <w:rFonts w:cs="Times New Roman" w:ascii="Times New Roman" w:hAnsi="Times New Roman"/>
        </w:rPr>
        <w:t xml:space="preserve">2 Year life cycle of ENSO: Year (0) and Year (1) </w:t>
      </w:r>
    </w:p>
    <w:p>
      <w:pPr>
        <w:pStyle w:val="Quotations"/>
        <w:jc w:val="both"/>
        <w:rPr>
          <w:rFonts w:ascii="Times New Roman" w:hAnsi="Times New Roman" w:cs="Times New Roman"/>
        </w:rPr>
      </w:pPr>
      <w:r>
        <w:rPr>
          <w:rFonts w:cs="Times New Roman" w:ascii="Times New Roman" w:hAnsi="Times New Roman"/>
        </w:rPr>
        <w:t>Year (0) = developing phase and Year (1) = decaying phase</w:t>
      </w:r>
    </w:p>
    <w:p>
      <w:pPr>
        <w:pStyle w:val="TextBody"/>
        <w:jc w:val="both"/>
        <w:rPr>
          <w:rFonts w:ascii="Times New Roman" w:hAnsi="Times New Roman" w:cs="Times New Roman"/>
        </w:rPr>
      </w:pPr>
      <w:r>
        <w:rPr>
          <w:rFonts w:cs="Times New Roman" w:ascii="Times New Roman" w:hAnsi="Times New Roman"/>
        </w:rPr>
        <w:t>At this level, POD calculates simple seasonal averages, composites, regression and correlations. Based on a reference ENSO index (e.g., area-averaged SST anomalies over Nino3.4 region), seasonal composites of variables relevant to MSE budget are constructed for the entire 2-year life cycle of ENSO. Here, Y (0) refers to the developing, and Y (1) the decaying phase of ENSO. Fig. 1 shows composite net radiative flux divergence in the column (F</w:t>
      </w:r>
      <w:r>
        <w:rPr>
          <w:rFonts w:cs="Times New Roman" w:ascii="Times New Roman" w:hAnsi="Times New Roman"/>
          <w:position w:val="-1"/>
          <w:sz w:val="19"/>
        </w:rPr>
        <w:t>rad</w:t>
      </w:r>
      <w:r>
        <w:rPr>
          <w:rFonts w:cs="Times New Roman" w:ascii="Times New Roman" w:hAnsi="Times New Roman"/>
        </w:rPr>
        <w:t xml:space="preserve">) for boreal winter (DJF) season during El Niño (Fig. 1a) and La Nina (Fig. 1b) constructed from CCSM4 historical simulations. </w:t>
      </w:r>
    </w:p>
    <w:p>
      <w:pPr>
        <w:pStyle w:val="TextBody"/>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221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332220" cy="2221865"/>
                    </a:xfrm>
                    <a:prstGeom prst="rect">
                      <a:avLst/>
                    </a:prstGeom>
                  </pic:spPr>
                </pic:pic>
              </a:graphicData>
            </a:graphic>
          </wp:anchor>
        </w:drawing>
      </w:r>
      <w:r>
        <w:rPr/>
        <w:t xml:space="preserve"> </w:t>
      </w:r>
    </w:p>
    <w:p>
      <w:pPr>
        <w:pStyle w:val="TextBody"/>
        <w:jc w:val="both"/>
        <w:rPr/>
      </w:pPr>
      <w:r>
        <w:rPr>
          <w:rStyle w:val="StrongEmphasis"/>
        </w:rPr>
        <w:t>Figure 1</w:t>
      </w:r>
      <w:r>
        <w:rPr/>
        <w:t>: Boreal winter (DJF) composites of net radiative flux divergence in the column (F</w:t>
      </w:r>
      <w:r>
        <w:rPr>
          <w:position w:val="-1"/>
          <w:sz w:val="19"/>
        </w:rPr>
        <w:t>rad</w:t>
      </w:r>
      <w:r>
        <w:rPr/>
        <w:t>) constructed from CCSM4 historical simulations (1950-2005): (a) El Niño and (b) La Nina</w:t>
      </w:r>
    </w:p>
    <w:p>
      <w:pPr>
        <w:pStyle w:val="TextBody"/>
        <w:jc w:val="both"/>
        <w:rPr/>
      </w:pPr>
      <w:r>
        <w:rPr/>
        <w:t>More details on Level 1 diagnostics can be found in the README_LEVEL_01.pdf document.</w:t>
      </w:r>
    </w:p>
    <w:p>
      <w:pPr>
        <w:pStyle w:val="TextBody"/>
        <w:jc w:val="both"/>
        <w:rPr>
          <w:rStyle w:val="StrongEmphasis"/>
        </w:rPr>
      </w:pPr>
      <w:r>
        <w:rPr/>
      </w:r>
    </w:p>
    <w:p>
      <w:pPr>
        <w:pStyle w:val="TextBody"/>
        <w:jc w:val="both"/>
        <w:rPr/>
      </w:pPr>
      <w:r>
        <w:rPr>
          <w:rStyle w:val="StrongEmphasis"/>
        </w:rPr>
        <w:t>Level 2 – MSE (Moist Static Energy) budget analysis (for composite ENSO)</w:t>
      </w:r>
    </w:p>
    <w:p>
      <w:pPr>
        <w:pStyle w:val="TextBody"/>
        <w:jc w:val="both"/>
        <w:rPr/>
      </w:pPr>
      <w:r>
        <w:rPr/>
        <w:t>In the deep tropics, weak temperature gradient approximation (WTG) implies that precipitation is largely determined by column MSE [or vertically integrated specific humidity or precipitable water (PW)]. Fig. 2a shows that in regions of organized positive and negative precipitation anomalies along the equatorial Pacific, spatial structure and intensity of MSE (contour) and PW (shading) anomalies bear a “close association”. In this view, climate model biases in column MSE and precipitation are clearly linked and models’ fidelity in representing ENSO-related precipitation anomalies along the equatorial Pacific then requires that models accurately represent processes that determine column MSE anomalies.</w:t>
      </w:r>
    </w:p>
    <w:p>
      <w:pPr>
        <w:pStyle w:val="TextBody"/>
        <w:jc w:val="both"/>
        <w:rPr/>
      </w:pPr>
      <w:r>
        <w:rPr/>
        <w:t>In Level 2, for the composites constructed in Level 1, vertically integrated MSE and its budget are estimated (more details on the equations etc., are in the README file in Level 2). All the terms are expressed in energy units (W/m</w:t>
      </w:r>
      <w:r>
        <w:rPr>
          <w:position w:val="8"/>
          <w:sz w:val="19"/>
        </w:rPr>
        <w:t>2</w:t>
      </w:r>
      <w:r>
        <w:rPr/>
        <w:t>). As an illustration, anomalous MSE export (or vertical advection of MSE) calculated for composite El Niño winter from CCSM4 solutions is shown in Fig. 2b.</w:t>
      </w:r>
    </w:p>
    <w:p>
      <w:pPr>
        <w:pStyle w:val="TextBody"/>
        <w:jc w:val="both"/>
        <w:rPr/>
      </w:pPr>
      <w:r>
        <w:rPr/>
        <w:t xml:space="preserve"> </w:t>
      </w:r>
    </w:p>
    <w:p>
      <w:pPr>
        <w:pStyle w:val="TextBody"/>
        <w:jc w:val="both"/>
        <w:rPr>
          <w:rStyle w:val="StrongEmphasi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403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332220" cy="2403475"/>
                    </a:xfrm>
                    <a:prstGeom prst="rect">
                      <a:avLst/>
                    </a:prstGeom>
                  </pic:spPr>
                </pic:pic>
              </a:graphicData>
            </a:graphic>
          </wp:anchor>
        </w:drawing>
      </w:r>
    </w:p>
    <w:p>
      <w:pPr>
        <w:pStyle w:val="TextBody"/>
        <w:jc w:val="both"/>
        <w:rPr/>
      </w:pPr>
      <w:r>
        <w:rPr>
          <w:rStyle w:val="StrongEmphasis"/>
        </w:rPr>
        <w:t>Figure 2:</w:t>
      </w:r>
      <w:r>
        <w:rPr/>
        <w:t xml:space="preserve"> (a) Vertically integrated anomalous MSE (contours, J/m</w:t>
      </w:r>
      <w:r>
        <w:rPr>
          <w:position w:val="8"/>
          <w:sz w:val="19"/>
        </w:rPr>
        <w:t>2</w:t>
      </w:r>
      <w:r>
        <w:rPr/>
        <w:t>, and scaled by 10E-7) and precipitable water (shaded, mm) and (b) vertical advection of MSE (W/m</w:t>
      </w:r>
      <w:r>
        <w:rPr>
          <w:position w:val="8"/>
          <w:sz w:val="19"/>
        </w:rPr>
        <w:t>2</w:t>
      </w:r>
      <w:r>
        <w:rPr/>
        <w:t>). Results are for composite El Niño winters.</w:t>
      </w:r>
    </w:p>
    <w:p>
      <w:pPr>
        <w:pStyle w:val="TextBody"/>
        <w:jc w:val="both"/>
        <w:rPr/>
      </w:pPr>
      <w:r>
        <w:rPr/>
        <w:t>More details on Level 2 diagnostics can be found in the README_LEVEL_02.pdf document.</w:t>
      </w:r>
    </w:p>
    <w:p>
      <w:pPr>
        <w:pStyle w:val="TextBody"/>
        <w:jc w:val="both"/>
        <w:rPr>
          <w:rStyle w:val="StrongEmphasis"/>
        </w:rPr>
      </w:pPr>
      <w:r>
        <w:rPr/>
      </w:r>
    </w:p>
    <w:p>
      <w:pPr>
        <w:pStyle w:val="TextBody"/>
        <w:jc w:val="both"/>
        <w:rPr/>
      </w:pPr>
      <w:r>
        <w:rPr>
          <w:rStyle w:val="StrongEmphasis"/>
        </w:rPr>
        <w:t>Level 3 – MSE variance diagnostics (for composite ENSO)</w:t>
      </w:r>
    </w:p>
    <w:p>
      <w:pPr>
        <w:pStyle w:val="TextBody"/>
        <w:jc w:val="both"/>
        <w:rPr/>
      </w:pPr>
      <w:r>
        <w:rPr/>
        <w:t>Once all the individual MSE terms are estimated their relative contributions to column MSE is estimated here. This particular diagnostic is estimated for user-defined regions of interest, and outputs correspond to co-variances scaled by MSE variance (equation details in Level 3 README file). For example, one can estimate this diagnostic for equatorial central and eastern Pacific regions separately to assess the role of different processes in contributing to column MSE anomalies (or precipitation anomalies).</w:t>
      </w:r>
    </w:p>
    <w:p>
      <w:pPr>
        <w:pStyle w:val="TextBody"/>
        <w:jc w:val="both"/>
        <w:rPr/>
      </w:pPr>
      <w:r>
        <w:rPr/>
        <w:t>In the current version, the diagnostic is estimated for two “default regions” and one user optional region, and they are:</w:t>
      </w:r>
    </w:p>
    <w:p>
      <w:pPr>
        <w:pStyle w:val="TextBody"/>
        <w:jc w:val="both"/>
        <w:rPr/>
      </w:pPr>
      <w:r>
        <w:rPr/>
        <w:t>a) Equatorial Central Pacific 180</w:t>
      </w:r>
      <w:r>
        <w:rPr>
          <w:position w:val="8"/>
          <w:sz w:val="19"/>
        </w:rPr>
        <w:t>o</w:t>
      </w:r>
      <w:r>
        <w:rPr/>
        <w:t>–200</w:t>
      </w:r>
      <w:r>
        <w:rPr>
          <w:position w:val="8"/>
          <w:sz w:val="19"/>
        </w:rPr>
        <w:t>o</w:t>
      </w:r>
      <w:r>
        <w:rPr/>
        <w:t>E 10</w:t>
      </w:r>
      <w:r>
        <w:rPr>
          <w:position w:val="8"/>
          <w:sz w:val="19"/>
        </w:rPr>
        <w:t>o</w:t>
      </w:r>
      <w:r>
        <w:rPr/>
        <w:t>S – 5</w:t>
      </w:r>
      <w:r>
        <w:rPr>
          <w:position w:val="8"/>
          <w:sz w:val="19"/>
        </w:rPr>
        <w:t>o</w:t>
      </w:r>
      <w:r>
        <w:rPr/>
        <w:t>N</w:t>
      </w:r>
    </w:p>
    <w:p>
      <w:pPr>
        <w:pStyle w:val="TextBody"/>
        <w:jc w:val="both"/>
        <w:rPr/>
      </w:pPr>
      <w:r>
        <w:rPr/>
        <w:t>b) Equatorial Eastern Pacific 220</w:t>
      </w:r>
      <w:r>
        <w:rPr>
          <w:position w:val="8"/>
          <w:sz w:val="19"/>
        </w:rPr>
        <w:t>o</w:t>
      </w:r>
      <w:r>
        <w:rPr/>
        <w:t>–280</w:t>
      </w:r>
      <w:r>
        <w:rPr>
          <w:position w:val="8"/>
          <w:sz w:val="19"/>
        </w:rPr>
        <w:t>o</w:t>
      </w:r>
      <w:r>
        <w:rPr/>
        <w:t>E 5</w:t>
      </w:r>
      <w:r>
        <w:rPr>
          <w:position w:val="8"/>
          <w:sz w:val="19"/>
        </w:rPr>
        <w:t>o</w:t>
      </w:r>
      <w:r>
        <w:rPr/>
        <w:t>S – 5</w:t>
      </w:r>
      <w:r>
        <w:rPr>
          <w:position w:val="8"/>
          <w:sz w:val="19"/>
        </w:rPr>
        <w:t>o</w:t>
      </w:r>
      <w:r>
        <w:rPr/>
        <w:t>N</w:t>
      </w:r>
    </w:p>
    <w:p>
      <w:pPr>
        <w:pStyle w:val="TextBody"/>
        <w:tabs>
          <w:tab w:val="left" w:pos="0" w:leader="none"/>
        </w:tabs>
        <w:jc w:val="both"/>
        <w:rPr/>
      </w:pPr>
      <w:r>
        <w:rPr/>
        <w:t xml:space="preserve">c) User prescribed area (for more details see README_LEVEL_03 document) </w:t>
      </w:r>
    </w:p>
    <w:p>
      <w:pPr>
        <w:pStyle w:val="TextBody"/>
        <w:jc w:val="both"/>
        <w:rPr/>
      </w:pPr>
      <w:r>
        <w:rPr/>
        <w:t>Here, in Fig. 3 results for both composite El Niño and La Nina winters, and from both equatorial central and eastern Pacific regions obtained from CCSM4 solutions are shown.</w:t>
      </w:r>
    </w:p>
    <w:p>
      <w:pPr>
        <w:pStyle w:val="TextBody"/>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608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332220" cy="2608580"/>
                    </a:xfrm>
                    <a:prstGeom prst="rect">
                      <a:avLst/>
                    </a:prstGeom>
                  </pic:spPr>
                </pic:pic>
              </a:graphicData>
            </a:graphic>
          </wp:anchor>
        </w:drawing>
      </w:r>
      <w:r>
        <w:rPr/>
        <w:t xml:space="preserve"> </w:t>
      </w:r>
    </w:p>
    <w:p>
      <w:pPr>
        <w:pStyle w:val="TextBody"/>
        <w:jc w:val="both"/>
        <w:rPr/>
      </w:pPr>
      <w:r>
        <w:rPr>
          <w:rStyle w:val="StrongEmphasis"/>
        </w:rPr>
        <w:t>Figure 3:</w:t>
      </w:r>
      <w:r>
        <w:rPr/>
        <w:t xml:space="preserve"> Relative contributions of various MSE terms to column MSE averaged for equatorial central (red) and eastern (blue) Pacific regions estimated from CCSM4 historical solutions for composite: (a) El Niño winter and (b) La Nina winter.</w:t>
      </w:r>
    </w:p>
    <w:p>
      <w:pPr>
        <w:pStyle w:val="TextBody"/>
        <w:jc w:val="both"/>
        <w:rPr/>
      </w:pPr>
      <w:r>
        <w:rPr/>
        <w:t>More details on Level 3 diagnostics can be found in the README_LEVEL_03.pdf document.</w:t>
      </w:r>
    </w:p>
    <w:p>
      <w:pPr>
        <w:pStyle w:val="TextBody"/>
        <w:jc w:val="both"/>
        <w:rPr>
          <w:rStyle w:val="StrongEmphasis"/>
        </w:rPr>
      </w:pPr>
      <w:r>
        <w:rPr/>
      </w:r>
    </w:p>
    <w:p>
      <w:pPr>
        <w:pStyle w:val="TextBody"/>
        <w:jc w:val="both"/>
        <w:rPr/>
      </w:pPr>
      <w:r>
        <w:rPr>
          <w:rStyle w:val="StrongEmphasis"/>
        </w:rPr>
        <w:t>Level 4 – MSE scatter plots (Metrics).</w:t>
      </w:r>
    </w:p>
    <w:p>
      <w:pPr>
        <w:pStyle w:val="TextBody"/>
        <w:jc w:val="both"/>
        <w:rPr/>
      </w:pPr>
      <w:r>
        <w:rPr/>
        <w:t>Note that if diagnostics from multiple models are sought to assess systematic errors across all models then the results can be displayed as scatter plots between variables that are physically linked. In this level, one can also estimate “inter-model correlations” and “best fit” regression line, and show them in the plots.</w:t>
      </w:r>
    </w:p>
    <w:p>
      <w:pPr>
        <w:pStyle w:val="TextBody"/>
        <w:jc w:val="both"/>
        <w:rPr/>
      </w:pPr>
      <w:r>
        <w:rPr/>
        <w:t>At this level, results from Level 2 (CMIP-era models) are condensed into scatter plots. Specifically, estimates of each MSE budget term (e.g., F</w:t>
      </w:r>
      <w:r>
        <w:rPr>
          <w:position w:val="-1"/>
          <w:sz w:val="19"/>
        </w:rPr>
        <w:t>rad</w:t>
      </w:r>
      <w:r>
        <w:rPr/>
        <w:t>) is plotted against precipitation, and the example shown here in Fig. 4 suggests that error in representing net radiative flux divergence (F</w:t>
      </w:r>
      <w:r>
        <w:rPr>
          <w:position w:val="-1"/>
          <w:sz w:val="19"/>
        </w:rPr>
        <w:t>rad</w:t>
      </w:r>
      <w:r>
        <w:rPr/>
        <w:t>) is systematically tied to error in model simulated precipitation over both the equatorial central and eastern Pacific regions.</w:t>
      </w:r>
    </w:p>
    <w:p>
      <w:pPr>
        <w:pStyle w:val="TextBody"/>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9076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332220" cy="2907665"/>
                    </a:xfrm>
                    <a:prstGeom prst="rect">
                      <a:avLst/>
                    </a:prstGeom>
                  </pic:spPr>
                </pic:pic>
              </a:graphicData>
            </a:graphic>
          </wp:anchor>
        </w:drawing>
      </w:r>
      <w:r>
        <w:rPr/>
        <w:t xml:space="preserve"> </w:t>
      </w:r>
    </w:p>
    <w:p>
      <w:pPr>
        <w:pStyle w:val="TextBody"/>
        <w:jc w:val="both"/>
        <w:rPr/>
      </w:pPr>
      <w:r>
        <w:rPr>
          <w:rStyle w:val="StrongEmphasis"/>
        </w:rPr>
        <w:t>Figure 4.</w:t>
      </w:r>
      <w:r>
        <w:rPr/>
        <w:t xml:space="preserve"> Scatter plots between anomalous net radiative flux divergence (F</w:t>
      </w:r>
      <w:r>
        <w:rPr>
          <w:position w:val="-1"/>
          <w:sz w:val="19"/>
        </w:rPr>
        <w:t>rad</w:t>
      </w:r>
      <w:r>
        <w:rPr/>
        <w:t>) and precipitation for composite El Niño winters estimated from historical simulations of CMIP5 models: (a) Central Pacific and (b) Eastern Pacific. In the panels, inter-model correlations and best regression fit lines are also provided.</w:t>
      </w:r>
    </w:p>
    <w:p>
      <w:pPr>
        <w:pStyle w:val="TextBody"/>
        <w:jc w:val="both"/>
        <w:rPr/>
      </w:pPr>
      <w:r>
        <w:rPr/>
        <w:t>More details on Level 4 diagnostics can be found in the README_LEVEL_04.pdf document.</w:t>
      </w:r>
    </w:p>
    <w:p>
      <w:pPr>
        <w:pStyle w:val="TextBody"/>
        <w:spacing w:before="0" w:after="14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6"/>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nna@hawaii.edu" TargetMode="External"/><Relationship Id="rId3" Type="http://schemas.openxmlformats.org/officeDocument/2006/relationships/hyperlink" Target="mailto:jhafner@hawaii.edu" TargetMode="External"/><Relationship Id="rId4" Type="http://schemas.openxmlformats.org/officeDocument/2006/relationships/hyperlink" Target="https://doi.org/10.1175/JCLI-D-19-0374.1"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6</Pages>
  <Words>1405</Words>
  <Characters>7989</Characters>
  <CharactersWithSpaces>9370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2021-01-25T20:25:00Z</dcterms:created>
  <dc:creator>Jan Hafner</dc:creator>
  <dc:description/>
  <dc:language>en-US</dc:language>
  <cp:lastModifiedBy>Jan Hafner</cp:lastModifiedBy>
  <dcterms:modified xsi:type="dcterms:W3CDTF">2021-02-05T08:17:34Z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