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000028"/>
          <w:sz w:val="56"/>
          <w:szCs w:val="56"/>
        </w:rPr>
        <w:t xml:space="preserve">Technische Dokumentation</w:t>
      </w:r>
    </w:p>
    <w:p>
      <w:pPr>
        <w:spacing w:after="60"/>
        <w:jc w:val="center"/>
      </w:pPr>
      <w:r>
        <w:rPr>
          <w:b/>
          <w:bCs/>
          <w:color w:val="00AAB4"/>
          <w:sz w:val="30"/>
          <w:szCs w:val="30"/>
        </w:rPr>
        <w:t xml:space="preserve">Lokaler Siemens-Waschmaschinen-Troubleshooting-Assistent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RAG-Pipeline · Dokumentenaufbereitung · Retrieval · Antwortgenerierung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Stand: 09.07.2026</w:t>
      </w:r>
    </w:p>
    <w:p>
      <w:pPr>
        <w:spacing w:after="200"/>
        <w:jc w:val="center"/>
      </w:pPr>
      <w:r>
        <w:rPr>
          <w:i/>
          <w:iCs/>
          <w:color w:val="22242E"/>
          <w:sz w:val="20"/>
          <w:szCs w:val="20"/>
        </w:rPr>
        <w:t xml:space="preserve">Vollständig lokal (DSGVO-konform) · keine Cloud · mit Quellenangabe und Halluzinationsschutz</w:t>
      </w:r>
    </w:p>
    <w:p>
      <w:r>
        <w:br w:type="page"/>
      </w:r>
    </w:p>
    <w:p>
      <w:pPr>
        <w:spacing w:after="160"/>
      </w:pPr>
      <w:r>
        <w:rPr>
          <w:b/>
          <w:bCs/>
          <w:color w:val="000028"/>
          <w:sz w:val="30"/>
          <w:szCs w:val="30"/>
        </w:rP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Überblick</w:t>
      </w:r>
    </w:p>
    <w:p>
      <w:pPr>
        <w:spacing w:after="120"/>
        <w:jc w:val="both"/>
      </w:pPr>
      <w:r>
        <w:t xml:space="preserve">Das System beantwortet Fragen zu einer Siemens-Waschmaschine ausschließlich aus dem offiziellen Handbuch — </w:t>
      </w:r>
      <w:r>
        <w:rPr>
          <w:b/>
          <w:bCs/>
        </w:rPr>
        <w:t xml:space="preserve">vollständig lokal</w:t>
      </w:r>
      <w:r>
        <w:t xml:space="preserve"> (das lokale Sprachmodell läuft in LM Studio, die Vektorsuche und Embeddings ebenfalls; keine Daten verlassen den Rechner). Jede Antwort nennt ihre </w:t>
      </w:r>
      <w:r>
        <w:rPr>
          <w:b/>
          <w:bCs/>
        </w:rPr>
        <w:t xml:space="preserve">Quelle (Abschnitt + Seite)</w:t>
      </w:r>
      <w:r>
        <w:t xml:space="preserve"> und ein </w:t>
      </w:r>
      <w:r>
        <w:rPr>
          <w:b/>
          <w:bCs/>
        </w:rPr>
        <w:t xml:space="preserve">Guardrail</w:t>
      </w:r>
      <w:r>
        <w:t xml:space="preserve"> verhindert erfundene Antworten bei fachfremden Fragen.</w:t>
      </w:r>
    </w:p>
    <w:p>
      <w:pPr>
        <w:spacing w:after="120"/>
        <w:jc w:val="both"/>
      </w:pPr>
      <w:r>
        <w:t xml:space="preserve">Die Verarbeitung besteht aus zwei Phasen: der </w:t>
      </w:r>
      <w:r>
        <w:rPr>
          <w:b/>
          <w:bCs/>
        </w:rPr>
        <w:t xml:space="preserve">Offline-Aufbereitung</w:t>
      </w:r>
      <w:r>
        <w:t xml:space="preserve"> (das PDF-Handbuch wird einmalig in einen durchsuchbaren Vektorindex überführt) und der </w:t>
      </w:r>
      <w:r>
        <w:rPr>
          <w:b/>
          <w:bCs/>
        </w:rPr>
        <w:t xml:space="preserve">Online-Abfrage</w:t>
      </w:r>
      <w:r>
        <w:t xml:space="preserve"> (pro Nutzerfrage wird der passende Handbuch-Kontext gesucht und beantwortet).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3457575"/>
            <wp:effectExtent t="0" r="0" b="0" l="0"/>
            <wp:docPr id="1" name="d1_architektur.png" descr="Abbildung 1: Gesamtarchitektur — Offline-Aufbereitung und Online-Abfrage." title="Abbildung 1: Gesamtarchitektur — Offline-Aufbereitung und Online-Abfr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1: Gesamtarchitektur — Offline-Aufbereitung und Online-Abfrage.</w:t>
      </w:r>
    </w:p>
    <w:p>
      <w:pPr>
        <w:pStyle w:val="Heading1"/>
      </w:pPr>
      <w:r>
        <w:t xml:space="preserve">2. Dokumentenaufbereitung</w:t>
      </w:r>
    </w:p>
    <w:p>
      <w:pPr>
        <w:spacing w:after="120"/>
        <w:jc w:val="both"/>
      </w:pPr>
      <w:r>
        <w:t xml:space="preserve">Dies ist der qualitätsentscheidende Teil. Ein RAG-System kann nur so gut antworten, wie der abgerufene Kontext gut ist. Jeder der folgenden Schritte wurde per Retrieval-Evaluation messbar begründet (siehe Kapitel 6).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2933700"/>
            <wp:effectExtent t="0" r="0" b="0" l="0"/>
            <wp:docPr id="1" name="d2_aufbereitung.png" descr="Abbildung 2: Die Offline-Pipeline im Überblick — von PDF bis persistentem Vektorindex." title="Abbildung 2: Die Offline-Pipeline im Überblick — von PDF bis persistentem Vektorinde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2: Die Offline-Pipeline im Überblick — von PDF bis persistentem Vektorindex.</w:t>
      </w:r>
    </w:p>
    <w:p>
      <w:pPr>
        <w:pStyle w:val="Heading2"/>
      </w:pPr>
      <w:r>
        <w:t xml:space="preserve">2.1 Schritt 1 — PDF-Extraktion mit Docling</w:t>
      </w:r>
    </w:p>
    <w:p>
      <w:pPr>
        <w:spacing w:after="120"/>
        <w:jc w:val="both"/>
      </w:pPr>
      <w:r>
        <w:t xml:space="preserve">Das Handbuch ist ein visuell gesetztes PDF (mehrspaltig, mit Tabellen, Symbolen und Warnhinweisen). Naive Text-Extraktion zerreißt Lesereihenfolge und Tabellen. Stattdessen analysiert </w:t>
      </w:r>
      <w:r>
        <w:rPr>
          <w:b/>
          <w:bCs/>
        </w:rPr>
        <w:t xml:space="preserve">Docling</w:t>
      </w:r>
      <w:r>
        <w:t xml:space="preserve"> (IBM) das Layout KI-gestützt — Lesereihenfolge, Tabellenstruktur, OCR — und liefert </w:t>
      </w:r>
      <w:r>
        <w:rPr>
          <w:b/>
          <w:bCs/>
        </w:rPr>
        <w:t xml:space="preserve">strukturiertes Markdown</w:t>
      </w:r>
      <w:r>
        <w:t xml:space="preserve"> (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siemens_wissen.md</w:t>
      </w:r>
      <w:r>
        <w:t xml:space="preserve">). Markdown ist verlustarm strukturiert, für Menschen prüfbar und strukturbewusst chunkbar.</w:t>
      </w:r>
    </w:p>
    <w:p>
      <w:pPr>
        <w:pStyle w:val="Heading2"/>
      </w:pPr>
      <w:r>
        <w:t xml:space="preserve">2.2 Schritt 2 — Struktur der Wissensbasis</w:t>
      </w:r>
    </w:p>
    <w:p>
      <w:pPr>
        <w:spacing w:after="120"/>
        <w:jc w:val="both"/>
      </w:pPr>
      <w:r>
        <w:t xml:space="preserve">Die Wissensbasis umfasst rund 1.900 Zeilen mit 187 Abschnitten (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##</w:t>
      </w:r>
      <w:r>
        <w:t xml:space="preserve">) und ~190 Tabellenzeilen. Zwei Besonderheiten prägen das Chunking: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Die Kronjuwelen sind Tabellen. </w:t>
      </w:r>
      <w:r>
        <w:t xml:space="preserve">Fehlercodes und Störungen stehen in zwei großen Tabellen („Hinweise im Anzeigefeld“, „Störungen, was tun?“).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OCR-Artefakte. </w:t>
      </w:r>
      <w:r>
        <w:t xml:space="preserve">Manche Docling-Überschriften sind verrauscht; sie stören kaum, weil die Antworten im Tabellen-/Fließtext stehen.</w:t>
      </w:r>
    </w:p>
    <w:p>
      <w:pPr>
        <w:pStyle w:val="Heading2"/>
      </w:pPr>
      <w:r>
        <w:t xml:space="preserve">2.3 Schritt 3 — Chunking: der entscheidende Schritt</w:t>
      </w:r>
    </w:p>
    <w:p>
      <w:pPr>
        <w:spacing w:after="120"/>
        <w:jc w:val="both"/>
      </w:pPr>
      <w:r>
        <w:t xml:space="preserve">Das Dokument wird in zwei Stufen in durchsuchbare „Chunks“ (Nodes) zerlegt: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Struktur-Chunking: </w:t>
      </w:r>
      <w:r>
        <w:t xml:space="preserve">Der MarkdownNodeParser schneidet an den 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##</w:t>
      </w:r>
      <w:r>
        <w:t xml:space="preserve">-Überschriften.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Tabellen-Explosion (entscheidend): </w:t>
      </w:r>
      <w:r>
        <w:t xml:space="preserve">Die Fehlercode-Tabelle landet sonst als </w:t>
      </w:r>
      <w:r>
        <w:rPr>
          <w:b/>
          <w:bCs/>
        </w:rPr>
        <w:t xml:space="preserve">ein</w:t>
      </w:r>
      <w:r>
        <w:t xml:space="preserve"> ~6.400-Zeichen-Block und embeddet als semantischer „Brei“ — eine konkrete Frage wie „Fehler E:18“ findet ihn dann nicht (empirisch: nicht unter den Top-60 Vektortreffern). Große tabellenlastige Nodes werden deshalb </w:t>
      </w:r>
      <w:r>
        <w:rPr>
          <w:b/>
          <w:bCs/>
        </w:rPr>
        <w:t xml:space="preserve">pro Zeile</w:t>
      </w:r>
      <w:r>
        <w:t xml:space="preserve"> aufgeteilt und als lesbarer Fließtext gerendert.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3362325"/>
            <wp:effectExtent t="0" r="0" b="0" l="0"/>
            <wp:docPr id="1" name="d3_tabellen.png" descr="Abbildung 3: Tabellen-Explosion — aus einem unauffindbaren Block werden pro Fehlercode auffindbare Chunks." title="Abbildung 3: Tabellen-Explosion — aus einem unauffindbaren Block werden pro Fehlercode auffindbare Chun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3: Tabellen-Explosion — aus einem unauffindbaren Block werden pro Fehlercode auffindbare Chunks.</w:t>
      </w:r>
    </w:p>
    <w:p>
      <w:pPr>
        <w:pStyle w:val="Heading2"/>
      </w:pPr>
      <w:r>
        <w:t xml:space="preserve">2.4 Schritt 4 — Lokale Embeddings mit korrekten Präfixen</w:t>
      </w:r>
    </w:p>
    <w:p>
      <w:pPr>
        <w:spacing w:after="120"/>
        <w:jc w:val="both"/>
      </w:pPr>
      <w:r>
        <w:t xml:space="preserve">Jeder Chunk wird lokal in einen Vektor überführt (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intfloat/multilingual-e5-small</w:t>
      </w:r>
      <w:r>
        <w:t xml:space="preserve">). Wichtig: e5-Modelle sind </w:t>
      </w:r>
      <w:r>
        <w:rPr>
          <w:b/>
          <w:bCs/>
        </w:rPr>
        <w:t xml:space="preserve">asymmetrisch</w:t>
      </w:r>
      <w:r>
        <w:t xml:space="preserve"> trainiert und verlangen Präfixe — Fragen als 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query:</w:t>
      </w:r>
      <w:r>
        <w:t xml:space="preserve">, Textstücke als 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passage:</w:t>
      </w:r>
      <w:r>
        <w:t xml:space="preserve">. Ohne diese Präfixe sinkt die Trefferqualität deutlich (das war der größte stille Fehler der Ausgangsversion).</w:t>
      </w:r>
    </w:p>
    <w:p>
      <w:pPr>
        <w:pStyle w:val="Heading2"/>
      </w:pPr>
      <w:r>
        <w:t xml:space="preserve">2.5 Schritt 5 — Vektorindex mit Persistenz</w:t>
      </w:r>
    </w:p>
    <w:p>
      <w:pPr>
        <w:spacing w:after="120"/>
        <w:jc w:val="both"/>
      </w:pPr>
      <w:r>
        <w:t xml:space="preserve">Die Vektoren wandern in einen Vektorindex, der nach 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storage/</w:t>
      </w:r>
      <w:r>
        <w:t xml:space="preserve"> persistiert wird — sonst würde jeder Serverstart alles neu embedden. Ein </w:t>
      </w:r>
      <w:r>
        <w:rPr>
          <w:b/>
          <w:bCs/>
        </w:rPr>
        <w:t xml:space="preserve">Cache-Schlüssel</w:t>
      </w:r>
      <w:r>
        <w:t xml:space="preserve"> aus Quelldatei-Inhalt, Embedding-Modell und Parser-Version stellt sicher, dass ein veralteter Index nie fälschlich geladen wird: Ändert sich eines davon, wird automatisch neu gebaut.</w:t>
      </w:r>
    </w:p>
    <w:p>
      <w:r>
        <w:br w:type="page"/>
      </w:r>
    </w:p>
    <w:p>
      <w:pPr>
        <w:pStyle w:val="Heading1"/>
      </w:pPr>
      <w:r>
        <w:t xml:space="preserve">3. Retrieval-Pipeline (online)</w:t>
      </w:r>
    </w:p>
    <w:p>
      <w:pPr>
        <w:pStyle w:val="Heading2"/>
      </w:pPr>
      <w:r>
        <w:t xml:space="preserve">3.1 Hybrides Retrieval</w:t>
      </w:r>
    </w:p>
    <w:p>
      <w:pPr>
        <w:spacing w:after="120"/>
        <w:jc w:val="both"/>
      </w:pPr>
      <w:r>
        <w:t xml:space="preserve">Pro Frage kombiniert das System zwei Signale: eine </w:t>
      </w:r>
      <w:r>
        <w:rPr>
          <w:b/>
          <w:bCs/>
        </w:rPr>
        <w:t xml:space="preserve">Vektorsuche</w:t>
      </w:r>
      <w:r>
        <w:t xml:space="preserve"> (semantische Ähnlichkeit, Top-12) und einen </w:t>
      </w:r>
      <w:r>
        <w:rPr>
          <w:b/>
          <w:bCs/>
        </w:rPr>
        <w:t xml:space="preserve">exakten Fehlercode-Lookup</w:t>
      </w:r>
      <w:r>
        <w:t xml:space="preserve">. Dense-Embeddings sind bei seltenen Tokens wie „E:18“ prinzipiell schwach — enthält die Frage einen Fehlercode, wird der Chunk mit genau diesem Code garantiert ins Kandidatenset gelegt.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3171825"/>
            <wp:effectExtent t="0" r="0" b="0" l="0"/>
            <wp:docPr id="1" name="d5_hybrid.png" descr="Abbildung 4: Hybrides Retrieval — Vektorsuche plus garantierter Fehlercode-Lookup." title="Abbildung 4: Hybrides Retrieval — Vektorsuche plus garantierter Fehlercode-Look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4: Hybrides Retrieval — Vektorsuche plus garantierter Fehlercode-Lookup.</w:t>
      </w:r>
    </w:p>
    <w:p>
      <w:pPr>
        <w:pStyle w:val="Heading2"/>
      </w:pPr>
      <w:r>
        <w:t xml:space="preserve">3.2 Reranking und Gesamtfluss</w:t>
      </w:r>
    </w:p>
    <w:p>
      <w:pPr>
        <w:spacing w:after="120"/>
        <w:jc w:val="both"/>
      </w:pPr>
      <w:r>
        <w:t xml:space="preserve">Die ~12 Kandidaten werden von einem </w:t>
      </w:r>
      <w:r>
        <w:rPr>
          <w:b/>
          <w:bCs/>
        </w:rPr>
        <w:t xml:space="preserve">Cross-Encoder</w:t>
      </w:r>
      <w:r>
        <w:t xml:space="preserve"> (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BAAI/bge-reranker-v2-m3</w:t>
      </w:r>
      <w:r>
        <w:t xml:space="preserve">) neu bewertet. Er liest Frage und Chunk gemeinsam und ist dadurch weit präziser als reine Vektorähnlichkeit; er reduziert auf die relevantesten </w:t>
      </w:r>
      <w:r>
        <w:rPr>
          <w:b/>
          <w:bCs/>
        </w:rPr>
        <w:t xml:space="preserve">Top-5</w:t>
      </w:r>
      <w:r>
        <w:t xml:space="preserve"> — genau das, was das Sprachmodell als Kontext sieht.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3124200"/>
            <wp:effectExtent t="0" r="0" b="0" l="0"/>
            <wp:docPr id="1" name="d4_pipeline.png" descr="Abbildung 5: Abfrage-Pipeline — das Guardrail entscheidet vor dem Sprachmodell." title="Abbildung 5: Abfrage-Pipeline — das Guardrail entscheidet vor dem Sprachmode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5: Abfrage-Pipeline — das Guardrail entscheidet vor dem Sprachmodell.</w:t>
      </w:r>
    </w:p>
    <w:p>
      <w:pPr>
        <w:pStyle w:val="Heading2"/>
      </w:pPr>
      <w:r>
        <w:t xml:space="preserve">3.3 Alternatives Retrieval — PageIndex (vectorless)</w:t>
      </w:r>
    </w:p>
    <w:p>
      <w:pPr>
        <w:spacing w:after="120"/>
        <w:jc w:val="both"/>
      </w:pPr>
      <w:r>
        <w:rPr>
          <w:b/>
          <w:bCs/>
        </w:rPr>
        <w:t xml:space="preserve">PageIndex</w:t>
      </w:r>
      <w:r>
        <w:t xml:space="preserve"> (VectifyAI) ist ein reasoning-basiertes Retrieval ohne Embeddings: Offline wird ein hierarchischer </w:t>
      </w:r>
      <w:r>
        <w:rPr>
          <w:b/>
          <w:bCs/>
        </w:rPr>
        <w:t xml:space="preserve">Tree-Index</w:t>
      </w:r>
      <w:r>
        <w:t xml:space="preserve"> (Inhaltsverzeichnis mit Zusammenfassungen) gebaut; zur Laufzeit navigiert ein Sprachmodell diesen Baum und wählt die relevanten Abschnitte aus — wie ein Mensch, der ein Inhaltsverzeichnis nutzt. Die Auswahl ist dadurch nachvollziehbar. Läuft vollständig lokal (LiteLLM zu LM Studio) und ist per 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RETRIEVAL_MODE=pageindex</w:t>
      </w:r>
      <w:r>
        <w:t xml:space="preserve"> aktivierbar.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3267075"/>
            <wp:effectExtent t="0" r="0" b="0" l="0"/>
            <wp:docPr id="1" name="d9_pageindex.png" descr="Abbildung 6: PageIndex — das Sprachmodell navigiert den Abschnitts-Baum, statt Vektor-Ähnlichkeit zu berechnen." title="Abbildung 6: PageIndex — das Sprachmodell navigiert den Abschnitts-Baum, statt Vektor-Ähnlichkeit zu berech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6: PageIndex — das Sprachmodell navigiert den Abschnitts-Baum, statt Vektor-Ähnlichkeit zu berechnen.</w:t>
      </w:r>
    </w:p>
    <w:p>
      <w:pPr>
        <w:spacing w:after="120"/>
        <w:jc w:val="both"/>
      </w:pPr>
      <w:r>
        <w:t xml:space="preserve">Direkter Vergleich auf denselben 10 Fragen (lokal gemessen):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Hybrid + Reranking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PageIndex (vectorless)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Trefferquote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hit@1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70 %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Ø Recall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96 %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88 %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Latenz je Frage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~sofort (LLM-frei)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~104 s (7 LLM-Calls)</w:t>
            </w:r>
          </w:p>
        </w:tc>
      </w:tr>
    </w:tbl>
    <w:p>
      <w:pPr>
        <w:spacing w:before="120"/>
      </w:pPr>
      <w:r>
        <w:rPr>
          <w:i/>
          <w:iCs/>
          <w:color w:val="555555"/>
          <w:sz w:val="20"/>
          <w:szCs w:val="20"/>
        </w:rPr>
        <w:t xml:space="preserve">Beide finden die Fehlercodes zuverlässig. Auf diesem kleinen, flachen Handbuch ist Hybrid schneller und rankt präziser; PageIndex ist der erklärbare, reasoning-basierte Ansatz und spielt seine Stärke bei großen, tief hierarchisch gegliederten Dokumenten aus.</w:t>
      </w:r>
    </w:p>
    <w:p>
      <w:pPr>
        <w:pStyle w:val="Heading1"/>
      </w:pPr>
      <w:r>
        <w:t xml:space="preserve">4. Guardrail — Schutz vor Halluzination</w:t>
      </w:r>
    </w:p>
    <w:p>
      <w:pPr>
        <w:spacing w:after="120"/>
        <w:jc w:val="both"/>
      </w:pPr>
      <w:r>
        <w:t xml:space="preserve">Der Reranker liefert Relevanz-Scores zwischen 0 und 1. Kalibriert auf der Zielmaschine: fachlich passende Fragen scoren </w:t>
      </w:r>
      <w:r>
        <w:rPr>
          <w:b/>
          <w:bCs/>
        </w:rPr>
        <w:t xml:space="preserve">≥ 0,435</w:t>
      </w:r>
      <w:r>
        <w:t xml:space="preserve">, fachfremde </w:t>
      </w:r>
      <w:r>
        <w:rPr>
          <w:b/>
          <w:bCs/>
        </w:rPr>
        <w:t xml:space="preserve">≈ 0,000</w:t>
      </w:r>
      <w:r>
        <w:t xml:space="preserve">. Liegt der beste Score unter der Schwelle 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0.15</w:t>
      </w:r>
      <w:r>
        <w:t xml:space="preserve">, wird </w:t>
      </w:r>
      <w:r>
        <w:rPr>
          <w:b/>
          <w:bCs/>
        </w:rPr>
        <w:t xml:space="preserve">ohne Sprachmodell-Aufruf</w:t>
      </w:r>
      <w:r>
        <w:t xml:space="preserve"> mit „das steht nicht im Handbuch“ geantwortet. Als zweite Schicht weist der Prompt das Modell an, bei fehlender Information ehrlich zu sein.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3448050"/>
            <wp:effectExtent t="0" r="0" b="0" l="0"/>
            <wp:docPr id="1" name="d6_guardrail.png" descr="Abbildung 7: Guardrail — kalibrierte Score-Schwelle trennt In- und Out-of-Scope." title="Abbildung 7: Guardrail — kalibrierte Score-Schwelle trennt In- und Out-of-Sco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7: Guardrail — kalibrierte Score-Schwelle trennt In- und Out-of-Scope.</w:t>
      </w:r>
    </w:p>
    <w:p>
      <w:pPr>
        <w:pStyle w:val="Heading1"/>
      </w:pPr>
      <w:r>
        <w:t xml:space="preserve">5. Antwortgenerierung und Streaming</w:t>
      </w:r>
    </w:p>
    <w:p>
      <w:pPr>
        <w:spacing w:after="120"/>
        <w:jc w:val="both"/>
      </w:pPr>
      <w:r>
        <w:t xml:space="preserve">Die Top-5-Chunks bilden den Kontext eines Prompts, den ein lokales Modell in LM Studio beantwortet (Standard: </w:t>
      </w:r>
      <w:r>
        <w:rPr>
          <w:rFonts w:ascii="Consolas" w:cs="Consolas" w:eastAsia="Consolas" w:hAnsi="Consolas"/>
          <w:color w:val="0A3D62"/>
          <w:sz w:val="20"/>
          <w:szCs w:val="20"/>
        </w:rPr>
        <w:t xml:space="preserve">gemma-4-12b-it-mlx</w:t>
      </w:r>
      <w:r>
        <w:t xml:space="preserve">, ein schnelles Nicht-Reasoning-Modell). Der Prompt erzwingt eine </w:t>
      </w:r>
      <w:r>
        <w:rPr>
          <w:b/>
          <w:bCs/>
        </w:rPr>
        <w:t xml:space="preserve">strukturierte Ausgabe</w:t>
      </w:r>
      <w:r>
        <w:t xml:space="preserve"> (Zusammenfassung, Handbuch-Schritte, Tipps), die in Karten und Checklisten übersetzt wird. Die </w:t>
      </w:r>
      <w:r>
        <w:rPr>
          <w:b/>
          <w:bCs/>
        </w:rPr>
        <w:t xml:space="preserve">Quellenangabe</w:t>
      </w:r>
      <w:r>
        <w:t xml:space="preserve"> wird aus den tatsächlich genutzten Chunks abgeleitet („Handbuch: &lt;Abschnitt&gt; · Seite NN“).</w:t>
      </w:r>
    </w:p>
    <w:p>
      <w:pPr>
        <w:spacing w:after="120"/>
        <w:jc w:val="both"/>
      </w:pPr>
      <w:r>
        <w:t xml:space="preserve">Die Antwort wird per </w:t>
      </w:r>
      <w:r>
        <w:rPr>
          <w:b/>
          <w:bCs/>
        </w:rPr>
        <w:t xml:space="preserve">Server-Sent Events (SSE)</w:t>
      </w:r>
      <w:r>
        <w:t xml:space="preserve"> gestreamt: Der Nutzer sieht die Quelle nach ~1 Sekunde und die Antwort beim Entstehen — statt minutenlang auf einen Spinner zu warten. Da der eingebaute Streaming-Pfad der RAG-Bibliothek puffert, wird das Sprachmodell direkt gestreamt.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3867150"/>
            <wp:effectExtent t="0" r="0" b="0" l="0"/>
            <wp:docPr id="1" name="d7_streaming.png" descr="Abbildung 8: Streaming-Ablauf — Quelle sofort, Antwort Token für Token." title="Abbildung 8: Streaming-Ablauf — Quelle sofort, Antwort Token für Tok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8: Streaming-Ablauf — Quelle sofort, Antwort Token für Token.</w:t>
      </w:r>
    </w:p>
    <w:p>
      <w:r>
        <w:br w:type="page"/>
      </w:r>
    </w:p>
    <w:p>
      <w:pPr>
        <w:pStyle w:val="Heading1"/>
      </w:pPr>
      <w:r>
        <w:t xml:space="preserve">6. Ergebnisse (Evaluation)</w:t>
      </w:r>
    </w:p>
    <w:p>
      <w:pPr>
        <w:spacing w:after="120"/>
        <w:jc w:val="both"/>
      </w:pPr>
      <w:r>
        <w:t xml:space="preserve">Ein Eval-Skript misst die </w:t>
      </w:r>
      <w:r>
        <w:rPr>
          <w:b/>
          <w:bCs/>
        </w:rPr>
        <w:t xml:space="preserve">Retrieval-Qualität ohne Sprachmodell</w:t>
      </w:r>
      <w:r>
        <w:t xml:space="preserve"> an 10 realen Störungsfragen, deren erwartete Stichwörter aus den echten Handbuch-Tabellen stammen. Verglichen wird die Ausgangsversion mit der optimierten Version (auf der Zielmaschine gemessen):</w:t>
      </w:r>
    </w:p>
    <w:p>
      <w:pPr>
        <w:spacing w:after="40" w:before="160"/>
        <w:jc w:val="center"/>
      </w:pPr>
      <w:r>
        <w:drawing>
          <wp:inline distT="0" distB="0" distL="0" distR="0">
            <wp:extent cx="6000750" cy="3714750"/>
            <wp:effectExtent t="0" r="0" b="0" l="0"/>
            <wp:docPr id="1" name="d8_eval.png" descr="Abbildung 9: Retrieval-Qualität vorher/nachher." title="Abbildung 9: Retrieval-Qualität vorher/nach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9: Retrieval-Qualität vorher/nachher.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60"/>
        <w:gridCol w:w="16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Bedeutung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hit@1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Oberster Chunk ist der richtige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Recall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Anteil relevanter Fakten im Kontext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96 %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Mittlerer Rang des Treffers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Out-of-Scope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Fachfremde Fragen abgefangen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/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/ 6</w:t>
            </w:r>
          </w:p>
        </w:tc>
      </w:tr>
    </w:tbl>
    <w:p>
      <w:pPr>
        <w:spacing w:before="120"/>
      </w:pPr>
      <w:r>
        <w:rPr>
          <w:i/>
          <w:iCs/>
          <w:color w:val="555555"/>
          <w:sz w:val="20"/>
          <w:szCs w:val="20"/>
        </w:rPr>
        <w:t xml:space="preserve">Interpretation: Vorher war in 60 % der Fälle der oberste Abschnitt nicht der richtige; nur ein Drittel der relevanten Fakten war im Kontext. Nachher trifft jede Frage den richtigen Abschnitt zuoberst.</w:t>
      </w:r>
    </w:p>
    <w:p>
      <w:pPr>
        <w:pStyle w:val="Heading1"/>
      </w:pPr>
      <w:r>
        <w:t xml:space="preserve">7. Konfiguration</w:t>
      </w:r>
    </w:p>
    <w:p>
      <w:pPr>
        <w:spacing w:after="120"/>
        <w:jc w:val="both"/>
      </w:pPr>
      <w:r>
        <w:t xml:space="preserve">Das Verhalten lässt sich über Umgebungsvariablen steuern (Auswahl):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Zweck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LOCAL_LLM_MODEL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gemma-4-12b-it-mlx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Modell in LM Studio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EMBED_MODEL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multilingual-e5-small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lokales Embedding (Index rebuildet bei Wechsel)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RERANK_MODEL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bge-reranker-v2-m3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Cross-Encoder-Reranker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RETRIEVE_K / FINAL_K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/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Overfetch bzw. finale Chunks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GUARDRAIL_MIN_SCORE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Mindest-Score; darunter „nicht im Handbuch“</w:t>
            </w:r>
          </w:p>
        </w:tc>
      </w:tr>
    </w:tbl>
    <w:p>
      <w:pPr>
        <w:pStyle w:val="Heading1"/>
      </w:pPr>
      <w:r>
        <w:t xml:space="preserve">8. Betrieb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python3 parser.py</w:t>
      </w:r>
      <w:r>
        <w:t xml:space="preserve">  — PDF → siemens_wissen.md (nur bei neuem Handbuch)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python3 server.py</w:t>
      </w:r>
      <w:r>
        <w:t xml:space="preserve">  — Web-API auf Port 3001, dann index.html öffnen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python3 lokale_ki.py "Fehler E:23?"</w:t>
      </w:r>
      <w:r>
        <w:t xml:space="preserve">  — Terminal-CLI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A3D62"/>
          <w:sz w:val="20"/>
          <w:szCs w:val="20"/>
        </w:rPr>
        <w:t xml:space="preserve">python3 eval/run_eval.py</w:t>
      </w:r>
      <w:r>
        <w:t xml:space="preserve">  — Retrieval-Qualität messen (ohne Sprachmodell)</w:t>
      </w:r>
    </w:p>
    <w:p>
      <w:pPr>
        <w:spacing w:before="160"/>
      </w:pPr>
      <w:r>
        <w:rPr>
          <w:i/>
          <w:iCs/>
          <w:color w:val="555555"/>
          <w:sz w:val="20"/>
          <w:szCs w:val="20"/>
        </w:rPr>
        <w:t xml:space="preserve">Die Dokumentenverarbeitung (Kapitel 2) ist zusätzlich als eigenständiges Google-Colab-Notebook verfügbar: notebooks/document_processing_pipeline.ipynb.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A3D6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f486c0e01dcb78bff1dbc32375b359699c0422.png"/><Relationship Id="rId8" Type="http://schemas.openxmlformats.org/officeDocument/2006/relationships/image" Target="media/e47050e6a414f1fd136202990603db4f2e638cc3.png"/><Relationship Id="rId9" Type="http://schemas.openxmlformats.org/officeDocument/2006/relationships/image" Target="media/2f114c40a2e17283b1ce9d8af9260a1f47c72067.png"/><Relationship Id="rId10" Type="http://schemas.openxmlformats.org/officeDocument/2006/relationships/image" Target="media/76fd3492c09e166fd8ccf63c09ada9cc977d8899.png"/><Relationship Id="rId11" Type="http://schemas.openxmlformats.org/officeDocument/2006/relationships/image" Target="media/08ed63e99eee9ef0f764d9054ea9502f6f32cf6f.png"/><Relationship Id="rId12" Type="http://schemas.openxmlformats.org/officeDocument/2006/relationships/image" Target="media/2ddaafb6db6cba05f4dfcf3ed15a4c32122ea1f1.png"/><Relationship Id="rId13" Type="http://schemas.openxmlformats.org/officeDocument/2006/relationships/image" Target="media/c1e7cea4a47985bd49a6e5389d8848ca41022880.png"/><Relationship Id="rId14" Type="http://schemas.openxmlformats.org/officeDocument/2006/relationships/image" Target="media/6d82db93adcef656ab525d056f8a737cabb67858.png"/><Relationship Id="rId15" Type="http://schemas.openxmlformats.org/officeDocument/2006/relationships/image" Target="media/aa408bb53c70d97094e5126d0cb610f37369e26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2026-07-09T11:36:06.913Z</dcterms:created>
  <dcterms:modified xsi:type="dcterms:W3CDTF">2026-07-09T11:36:06.915Z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