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600"/>
      </w:pPr>
    </w:p>
    <w:p>
      <w:pPr>
        <w:spacing w:after="240"/>
        <w:jc w:val="center"/>
      </w:pPr>
      <w:r>
        <w:rPr>
          <w:b/>
          <w:bCs/>
          <w:color w:val="1F4E79"/>
          <w:sz w:val="52"/>
          <w:szCs w:val="52"/>
        </w:rPr>
        <w:t xml:space="preserve">AI Learning OS 2026</w:t>
      </w:r>
    </w:p>
    <w:p>
      <w:pPr>
        <w:spacing w:after="180"/>
        <w:jc w:val="center"/>
      </w:pPr>
      <w:r>
        <w:rPr>
          <w:b/>
          <w:bCs/>
          <w:sz w:val="40"/>
          <w:szCs w:val="40"/>
        </w:rPr>
        <w:t xml:space="preserve">深度调研与定版报告</w:t>
      </w:r>
    </w:p>
    <w:p>
      <w:pPr>
        <w:spacing w:after="800"/>
        <w:jc w:val="center"/>
      </w:pPr>
      <w:r>
        <w:rPr>
          <w:color w:val="4B5563"/>
          <w:sz w:val="24"/>
          <w:szCs w:val="24"/>
        </w:rPr>
        <w:t xml:space="preserve">语音做题 · 在线考试 · 全网课程与真题检索</w:t>
      </w:r>
    </w:p>
    <w:p>
      <w:pPr>
        <w:jc w:val="center"/>
      </w:pPr>
      <w:r>
        <w:rPr>
          <w:sz w:val="22"/>
          <w:szCs w:val="22"/>
        </w:rPr>
        <w:t xml:space="preserve">版本：v2.2 Final</w:t>
      </w:r>
    </w:p>
    <w:p>
      <w:pPr>
        <w:jc w:val="center"/>
      </w:pPr>
      <w:r>
        <w:rPr>
          <w:sz w:val="22"/>
          <w:szCs w:val="22"/>
        </w:rPr>
        <w:t xml:space="preserve">基线日期：2026-08-30</w:t>
      </w:r>
    </w:p>
    <w:p>
      <w:pPr>
        <w:spacing w:before="80"/>
        <w:jc w:val="center"/>
      </w:pPr>
      <w:r>
        <w:rPr>
          <w:sz w:val="22"/>
          <w:szCs w:val="22"/>
        </w:rPr>
        <w:t xml:space="preserve">状态：可进入开发执行</w:t>
      </w:r>
    </w:p>
    <w:p>
      <w:r>
        <w:br w:type="page"/>
      </w:r>
    </w:p>
    <w:p>
      <w:pPr>
        <w:spacing w:before="200" w:after="200"/>
      </w:pPr>
      <w:r>
        <w:rPr>
          <w:b/>
          <w:bCs/>
          <w:color w:val="1F4E79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40"/>
      </w:pPr>
      <w:r>
        <w:rPr>
          <w:i/>
          <w:iCs/>
          <w:color w:val="6B7280"/>
          <w:sz w:val="18"/>
          <w:szCs w:val="18"/>
        </w:rPr>
        <w:t xml:space="preserve">提示：在 Word 中打开后，如目录页码未刷新，请执行“更新域”。</w:t>
      </w:r>
    </w:p>
    <w:p>
      <w:pPr>
        <w:pStyle w:val="Heading1"/>
        <w:pageBreakBefore/>
        <w:spacing w:before="240" w:after="160"/>
      </w:pPr>
      <w:r>
        <w:rPr>
          <w:b/>
          <w:bCs/>
          <w:color w:val="1F4E79"/>
          <w:sz w:val="32"/>
          <w:szCs w:val="32"/>
        </w:rPr>
        <w:t xml:space="preserve">执行摘要</w:t>
      </w:r>
    </w:p>
    <w:p>
      <w:pPr>
        <w:spacing w:after="120" w:line="300"/>
      </w:pPr>
      <w:r>
        <w:rPr>
          <w:sz w:val="21"/>
          <w:szCs w:val="21"/>
        </w:rPr>
        <w:t xml:space="preserve">AI Learning OS 的最终定位是 Personal Learning OS / Adaptive AI Learning Agent OS，而不是聊天机器人或普通题库系统。系统持续维护课程结构、题目能力要求、学生学习状态和证据授权状态，并以同一个学习运行时支撑语音、考试与资源检索三条入口。</w:t>
      </w:r>
    </w:p>
    <w:p>
      <w:pPr>
        <w:spacing w:after="120" w:line="300"/>
      </w:pPr>
      <w:r>
        <w:rPr>
          <w:sz w:val="21"/>
          <w:szCs w:val="21"/>
        </w:rPr>
        <w:t xml:space="preserve">定版设计采用“把复杂留给系统和后台，把简单留给用户”的原则。用户只需要面对“今日学习、开始语音、开始考试”三个主入口；课程发现、试卷检索、文档解析、授权判断、知识点映射、模型路由、错因诊断和复习排程全部由后台完成。</w:t>
      </w:r>
    </w:p>
    <w:p>
      <w:pPr>
        <w:pStyle w:val="Heading2"/>
        <w:spacing w:before="220" w:after="100"/>
      </w:pPr>
      <w:r>
        <w:rPr>
          <w:b/>
          <w:bCs/>
          <w:color w:val="1F4E79"/>
          <w:sz w:val="26"/>
          <w:szCs w:val="26"/>
        </w:rPr>
        <w:t xml:space="preserve">三条核心闭环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语音做题：读题 -&gt; 读选项 -&gt; 语音作答 -&gt; 答案规范化 -&gt; 确定性判分 -&gt; 全卷报告 -&gt; 错题讲解 -&gt; 变式练习。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在线考试：服务端权威计时 -&gt; 自动保存 -&gt; 断线恢复 -&gt; 超时自动提交 -&gt; 幂等评分 -&gt; 错因诊断 -&gt; 补救复习。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课程与真题发现：多源搜索 -&gt; 来源分级 -&gt; 授权判断 -&gt; 文档解析 -&gt; 课程/题目标准化 -&gt; 入库学习。</w:t>
      </w:r>
    </w:p>
    <w:p>
      <w:pPr>
        <w:pStyle w:val="Heading2"/>
        <w:spacing w:before="220" w:after="100"/>
      </w:pPr>
      <w:r>
        <w:rPr>
          <w:b/>
          <w:bCs/>
          <w:color w:val="1F4E79"/>
          <w:sz w:val="26"/>
          <w:szCs w:val="26"/>
        </w:rPr>
        <w:t xml:space="preserve">最终技术定版</w:t>
      </w:r>
    </w:p>
    <w:tbl>
      <w:tblPr>
        <w:tblW w:type="dxa" w:w="9360"/>
        <w:tblBorders>
          <w:top w:val="single" w:color="B7C9D6" w:sz="4"/>
          <w:left w:val="single" w:color="B7C9D6" w:sz="4"/>
          <w:bottom w:val="single" w:color="B7C9D6" w:sz="4"/>
          <w:right w:val="single" w:color="B7C9D6" w:sz="4"/>
          <w:insideH w:val="single" w:color="D8E2EA" w:sz="2"/>
          <w:insideV w:val="single" w:color="D8E2EA" w:sz="2"/>
        </w:tblBorders>
      </w:tblPr>
      <w:tblGrid>
        <w:gridCol w:w="1600"/>
        <w:gridCol w:w="3100"/>
        <w:gridCol w:w="4660"/>
      </w:tblGrid>
      <w:tr>
        <w:trPr>
          <w:tblHeader/>
        </w:trPr>
        <w:tc>
          <w:tcPr>
            <w:tcW w:type="dxa" w:w="1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层面</w:t>
            </w:r>
          </w:p>
        </w:tc>
        <w:tc>
          <w:tcPr>
            <w:tcW w:type="dxa" w:w="3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定版</w:t>
            </w:r>
          </w:p>
        </w:tc>
        <w:tc>
          <w:tcPr>
            <w:tcW w:type="dxa" w:w="46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理由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前端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Next.js + React + TypeScript</w:t>
            </w:r>
          </w:p>
        </w:tc>
        <w:tc>
          <w:tcPr>
            <w:tcW w:type="dxa" w:w="4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同一套 Web 体验覆盖考试、报告、课程和语音入口。</w:t>
            </w:r>
          </w:p>
        </w:tc>
      </w:tr>
      <w:tr>
        <w:tc>
          <w:tcPr>
            <w:tcW w:type="dxa" w:w="16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后端</w:t>
            </w:r>
          </w:p>
        </w:tc>
        <w:tc>
          <w:tcPr>
            <w:tcW w:type="dxa" w:w="31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Python + FastAPI</w:t>
            </w:r>
          </w:p>
        </w:tc>
        <w:tc>
          <w:tcPr>
            <w:tcW w:type="dxa" w:w="466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适合学习引擎、评分、解析和 AI 编排。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Agent 编排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LangGraph</w:t>
            </w:r>
          </w:p>
        </w:tc>
        <w:tc>
          <w:tcPr>
            <w:tcW w:type="dxa" w:w="4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显式状态机约束考试、语音、检索和课程生成流程。</w:t>
            </w:r>
          </w:p>
        </w:tc>
      </w:tr>
      <w:tr>
        <w:tc>
          <w:tcPr>
            <w:tcW w:type="dxa" w:w="16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实时语音</w:t>
            </w:r>
          </w:p>
        </w:tc>
        <w:tc>
          <w:tcPr>
            <w:tcW w:type="dxa" w:w="31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LiveKit Agents，Pipecat 备选</w:t>
            </w:r>
          </w:p>
        </w:tc>
        <w:tc>
          <w:tcPr>
            <w:tcW w:type="dxa" w:w="466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支持 WebRTC、打断、turn detection、自托管和 provider 适配。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数据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PostgreSQL + pgvector + Redis + MinIO/S3</w:t>
            </w:r>
          </w:p>
        </w:tc>
        <w:tc>
          <w:tcPr>
            <w:tcW w:type="dxa" w:w="4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兼顾关系事务、概念图、向量、队列和对象存储。</w:t>
            </w:r>
          </w:p>
        </w:tc>
      </w:tr>
      <w:tr>
        <w:tc>
          <w:tcPr>
            <w:tcW w:type="dxa" w:w="16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解析</w:t>
            </w:r>
          </w:p>
        </w:tc>
        <w:tc>
          <w:tcPr>
            <w:tcW w:type="dxa" w:w="31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MinerU / Docling / olmOCR / Marker adapter</w:t>
            </w:r>
          </w:p>
        </w:tc>
        <w:tc>
          <w:tcPr>
            <w:tcW w:type="dxa" w:w="466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按文档类型路由，保留页码、公式和结构。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学生模型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可解释 heuristic/BKT-like + FSRS</w:t>
            </w:r>
          </w:p>
        </w:tc>
        <w:tc>
          <w:tcPr>
            <w:tcW w:type="dxa" w:w="4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先保证可解释、可重算、可验证，再引入复杂模型。</w:t>
            </w:r>
          </w:p>
        </w:tc>
      </w:tr>
      <w:tr>
        <w:tc>
          <w:tcPr>
            <w:tcW w:type="dxa" w:w="16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部署</w:t>
            </w:r>
          </w:p>
        </w:tc>
        <w:tc>
          <w:tcPr>
            <w:tcW w:type="dxa" w:w="31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Docker Compose -&gt; Kubernetes</w:t>
            </w:r>
          </w:p>
        </w:tc>
        <w:tc>
          <w:tcPr>
            <w:tcW w:type="dxa" w:w="466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先单机个人版，后多用户扩展。</w:t>
            </w:r>
          </w:p>
        </w:tc>
      </w:tr>
    </w:tbl>
    <w:p>
      <w:pPr>
        <w:pStyle w:val="Heading2"/>
        <w:spacing w:before="220" w:after="100"/>
      </w:pPr>
      <w:r>
        <w:rPr>
          <w:b/>
          <w:bCs/>
          <w:color w:val="1F4E79"/>
          <w:sz w:val="26"/>
          <w:szCs w:val="26"/>
        </w:rPr>
        <w:t xml:space="preserve">最高风险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课程与试卷版权：公开访问不等于可复制、派生、再分发或训练。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考试一致性：计时、提交、评分必须由服务端事务保证。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主观题评分：必须使用 rubric、证据、置信度、二次复核和 golden set。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语音体验：单独优化端到端延迟、打断、噪声、命令识别和状态恢复。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教学效果：用前测、后测、保持率和迁移题验证，不以回答流畅度代替学习效果。</w:t>
      </w:r>
    </w:p>
    <w:p>
      <w:pPr>
        <w:pStyle w:val="Heading1"/>
        <w:pageBreakBefore/>
        <w:spacing w:before="240" w:after="160"/>
      </w:pPr>
      <w:r>
        <w:rPr>
          <w:b/>
          <w:bCs/>
          <w:color w:val="1F4E79"/>
          <w:sz w:val="32"/>
          <w:szCs w:val="32"/>
        </w:rPr>
        <w:t xml:space="preserve">调研方法与证据分层</w:t>
      </w:r>
    </w:p>
    <w:p>
      <w:pPr>
        <w:spacing w:after="120" w:line="300"/>
      </w:pPr>
      <w:r>
        <w:rPr>
          <w:sz w:val="21"/>
          <w:szCs w:val="21"/>
        </w:rPr>
        <w:t xml:space="preserve">本次调研将用户上传的多份 AI 报告作为候选线索，再使用当前官方仓库、官方文档、大学官网和权威论文复核。只有通过当前官方来源验证的内容才进入定版；上传报告中与官方来源冲突或无法核验的内容被降级为线索。</w:t>
      </w:r>
    </w:p>
    <w:tbl>
      <w:tblPr>
        <w:tblW w:type="dxa" w:w="9360"/>
        <w:tblBorders>
          <w:top w:val="single" w:color="B7C9D6" w:sz="4"/>
          <w:left w:val="single" w:color="B7C9D6" w:sz="4"/>
          <w:bottom w:val="single" w:color="B7C9D6" w:sz="4"/>
          <w:right w:val="single" w:color="B7C9D6" w:sz="4"/>
          <w:insideH w:val="single" w:color="D8E2EA" w:sz="2"/>
          <w:insideV w:val="single" w:color="D8E2EA" w:sz="2"/>
        </w:tblBorders>
      </w:tblPr>
      <w:tblGrid>
        <w:gridCol w:w="1900"/>
        <w:gridCol w:w="4200"/>
        <w:gridCol w:w="326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证据等级</w:t>
            </w:r>
          </w:p>
        </w:tc>
        <w:tc>
          <w:tcPr>
            <w:tcW w:type="dxa" w:w="4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定义</w:t>
            </w:r>
          </w:p>
        </w:tc>
        <w:tc>
          <w:tcPr>
            <w:tcW w:type="dxa" w:w="32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定版用途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E1 官方已核验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当前官网、官方文档、官方 GitHub、release/license/API docs。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可进入事实表和技术选型。</w:t>
            </w:r>
          </w:p>
        </w:tc>
      </w:tr>
      <w:tr>
        <w:tc>
          <w:tcPr>
            <w:tcW w:type="dxa" w:w="19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E2 学术/机构来源</w:t>
            </w:r>
          </w:p>
        </w:tc>
        <w:tc>
          <w:tcPr>
            <w:tcW w:type="dxa" w:w="42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论文、大学实验室、课程官网、开放教育平台。</w:t>
            </w:r>
          </w:p>
        </w:tc>
        <w:tc>
          <w:tcPr>
            <w:tcW w:type="dxa" w:w="326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作为方法与设计依据，效果数字保留实验条件。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E3 二手报告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用户上传报告、搜索摘要、社区文章。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只作为候选线索，不当事实。</w:t>
            </w:r>
          </w:p>
        </w:tc>
      </w:tr>
      <w:tr>
        <w:tc>
          <w:tcPr>
            <w:tcW w:type="dxa" w:w="19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E4 未验证/冲突</w:t>
            </w:r>
          </w:p>
        </w:tc>
        <w:tc>
          <w:tcPr>
            <w:tcW w:type="dxa" w:w="42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找不到官方来源或与官方冲突。</w:t>
            </w:r>
          </w:p>
        </w:tc>
        <w:tc>
          <w:tcPr>
            <w:tcW w:type="dxa" w:w="326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不进入定版。</w:t>
            </w:r>
          </w:p>
        </w:tc>
      </w:tr>
    </w:tbl>
    <w:p>
      <w:pPr>
        <w:pStyle w:val="Heading2"/>
        <w:spacing w:before="220" w:after="100"/>
      </w:pPr>
      <w:r>
        <w:rPr>
          <w:b/>
          <w:bCs/>
          <w:color w:val="1F4E79"/>
          <w:sz w:val="26"/>
          <w:szCs w:val="26"/>
        </w:rPr>
        <w:t xml:space="preserve">已核验核心项目</w:t>
      </w:r>
    </w:p>
    <w:tbl>
      <w:tblPr>
        <w:tblW w:type="dxa" w:w="9360"/>
        <w:tblBorders>
          <w:top w:val="single" w:color="B7C9D6" w:sz="4"/>
          <w:left w:val="single" w:color="B7C9D6" w:sz="4"/>
          <w:bottom w:val="single" w:color="B7C9D6" w:sz="4"/>
          <w:right w:val="single" w:color="B7C9D6" w:sz="4"/>
          <w:insideH w:val="single" w:color="D8E2EA" w:sz="2"/>
          <w:insideV w:val="single" w:color="D8E2EA" w:sz="2"/>
        </w:tblBorders>
      </w:tblPr>
      <w:tblGrid>
        <w:gridCol w:w="2200"/>
        <w:gridCol w:w="2700"/>
        <w:gridCol w:w="446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2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当前状态</w:t>
            </w:r>
          </w:p>
        </w:tc>
        <w:tc>
          <w:tcPr>
            <w:tcW w:type="dxa" w:w="44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定版吸收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HKUDS DeepTutor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v1.6.1；Apache-2.0；约 37.9k stars。</w:t>
            </w:r>
          </w:p>
        </w:tc>
        <w:tc>
          <w:tcPr>
            <w:tcW w:type="dxa" w:w="4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lifelong tutoring、学习工作台、Quiz、Mastery Path、多引擎 RAG、记忆和证据意识。</w:t>
            </w:r>
          </w:p>
        </w:tc>
      </w:tr>
      <w:tr>
        <w:tc>
          <w:tcPr>
            <w:tcW w:type="dxa" w:w="22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THU-MAIC OpenMAIC</w:t>
            </w:r>
          </w:p>
        </w:tc>
        <w:tc>
          <w:tcPr>
            <w:tcW w:type="dxa" w:w="27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v1.0.0；MIT；约 22.9k stars。</w:t>
            </w:r>
          </w:p>
        </w:tc>
        <w:tc>
          <w:tcPr>
            <w:tcW w:type="dxa" w:w="446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Agent workbench、可恢复课程构建会话、材料解析、slides/quizzes/interactives/PBL、能力路由。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LiveKit Agents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官方文档核验。</w:t>
            </w:r>
          </w:p>
        </w:tc>
        <w:tc>
          <w:tcPr>
            <w:tcW w:type="dxa" w:w="4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实时语音管线、turn detection、打断、工具调用、自托管。</w:t>
            </w:r>
          </w:p>
        </w:tc>
      </w:tr>
      <w:tr>
        <w:tc>
          <w:tcPr>
            <w:tcW w:type="dxa" w:w="22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FunASR / Qwen3-ASR / CosyVoice</w:t>
            </w:r>
          </w:p>
        </w:tc>
        <w:tc>
          <w:tcPr>
            <w:tcW w:type="dxa" w:w="27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官方仓库核验。</w:t>
            </w:r>
          </w:p>
        </w:tc>
        <w:tc>
          <w:tcPr>
            <w:tcW w:type="dxa" w:w="446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本地 ASR/TTS 候选；Qwen3-ASR streaming 当前仅支持 vLLM backend。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EduStudio / pyKT / FSRS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官方仓库核验。</w:t>
            </w:r>
          </w:p>
        </w:tc>
        <w:tc>
          <w:tcPr>
            <w:tcW w:type="dxa" w:w="4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学生认知建模、知识追踪评测、间隔复习调度。</w:t>
            </w:r>
          </w:p>
        </w:tc>
      </w:tr>
      <w:tr>
        <w:tc>
          <w:tcPr>
            <w:tcW w:type="dxa" w:w="22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OATutor / OLI Torus</w:t>
            </w:r>
          </w:p>
        </w:tc>
        <w:tc>
          <w:tcPr>
            <w:tcW w:type="dxa" w:w="27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官方仓库核验。</w:t>
            </w:r>
          </w:p>
        </w:tc>
        <w:tc>
          <w:tcPr>
            <w:tcW w:type="dxa" w:w="446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BKT、提示阶梯、自适应选题、CC BY 4.0 内容库；数据驱动课程创作与运行时。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MinerU / Docling / olmOCR / Crawl4AI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官方仓库核验。</w:t>
            </w:r>
          </w:p>
        </w:tc>
        <w:tc>
          <w:tcPr>
            <w:tcW w:type="dxa" w:w="4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文档解析、OCR、网页抓取和 RAG 前置流水线。</w:t>
            </w:r>
          </w:p>
        </w:tc>
      </w:tr>
    </w:tbl>
    <w:p>
      <w:pPr>
        <w:pStyle w:val="Heading2"/>
        <w:spacing w:before="220" w:after="100"/>
      </w:pPr>
      <w:r>
        <w:rPr>
          <w:b/>
          <w:bCs/>
          <w:color w:val="1F4E79"/>
          <w:sz w:val="26"/>
          <w:szCs w:val="26"/>
        </w:rPr>
        <w:t xml:space="preserve">上传报告纠错</w:t>
      </w:r>
    </w:p>
    <w:tbl>
      <w:tblPr>
        <w:tblW w:type="dxa" w:w="9360"/>
        <w:tblBorders>
          <w:top w:val="single" w:color="B7C9D6" w:sz="4"/>
          <w:left w:val="single" w:color="B7C9D6" w:sz="4"/>
          <w:bottom w:val="single" w:color="B7C9D6" w:sz="4"/>
          <w:right w:val="single" w:color="B7C9D6" w:sz="4"/>
          <w:insideH w:val="single" w:color="D8E2EA" w:sz="2"/>
          <w:insideV w:val="single" w:color="D8E2EA" w:sz="2"/>
        </w:tblBorders>
      </w:tblPr>
      <w:tblGrid>
        <w:gridCol w:w="4300"/>
        <w:gridCol w:w="5060"/>
      </w:tblGrid>
      <w:tr>
        <w:trPr>
          <w:tblHeader/>
        </w:trPr>
        <w:tc>
          <w:tcPr>
            <w:tcW w:type="dxa" w:w="4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问题</w:t>
            </w:r>
          </w:p>
        </w:tc>
        <w:tc>
          <w:tcPr>
            <w:tcW w:type="dxa" w:w="50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处理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部分报告写 DeepTutor 为 MIT。</w:t>
            </w:r>
          </w:p>
        </w:tc>
        <w:tc>
          <w:tcPr>
            <w:tcW w:type="dxa" w:w="5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以当前官方仓库为准：Apache-2.0。</w:t>
            </w:r>
          </w:p>
        </w:tc>
      </w:tr>
      <w:tr>
        <w:tc>
          <w:tcPr>
            <w:tcW w:type="dxa" w:w="43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部分报告继续使用 OpenMAIC v0.3.1 或 AGPL。</w:t>
            </w:r>
          </w:p>
        </w:tc>
        <w:tc>
          <w:tcPr>
            <w:tcW w:type="dxa" w:w="506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当前为 v1.0.0，MIT。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把公开真题等同于可入库资源。</w:t>
            </w:r>
          </w:p>
        </w:tc>
        <w:tc>
          <w:tcPr>
            <w:tcW w:type="dxa" w:w="5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必须拆分访问、复制、派生、再分发、训练等权利。</w:t>
            </w:r>
          </w:p>
        </w:tc>
      </w:tr>
      <w:tr>
        <w:tc>
          <w:tcPr>
            <w:tcW w:type="dxa" w:w="43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把固定语音毫秒延迟当作既成事实。</w:t>
            </w:r>
          </w:p>
        </w:tc>
        <w:tc>
          <w:tcPr>
            <w:tcW w:type="dxa" w:w="506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延迟必须按链路实测，不能按模型宣传值定版。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建议绕过登录或站点限制抓取。</w:t>
            </w:r>
          </w:p>
        </w:tc>
        <w:tc>
          <w:tcPr>
            <w:tcW w:type="dxa" w:w="5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明确剔除，系统只允许授权路径和入口提示。</w:t>
            </w:r>
          </w:p>
        </w:tc>
      </w:tr>
      <w:tr>
        <w:tc>
          <w:tcPr>
            <w:tcW w:type="dxa" w:w="43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把 MinerU 当作纯 Apache-2.0 依赖。</w:t>
            </w:r>
          </w:p>
        </w:tc>
        <w:tc>
          <w:tcPr>
            <w:tcW w:type="dxa" w:w="506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附加条款规定 MAU 超 1 亿或月收入超 2000 万美元需商业授权，且第三方在线服务必须显著署名。</w:t>
            </w:r>
          </w:p>
        </w:tc>
      </w:tr>
    </w:tbl>
    <w:p>
      <w:pPr>
        <w:pStyle w:val="Heading1"/>
        <w:pageBreakBefore/>
        <w:spacing w:before="240" w:after="160"/>
      </w:pPr>
      <w:r>
        <w:rPr>
          <w:b/>
          <w:bCs/>
          <w:color w:val="1F4E79"/>
          <w:sz w:val="32"/>
          <w:szCs w:val="32"/>
        </w:rPr>
        <w:t xml:space="preserve">产品需求定版</w:t>
      </w:r>
    </w:p>
    <w:p>
      <w:pPr>
        <w:pStyle w:val="Heading2"/>
        <w:spacing w:before="220" w:after="100"/>
      </w:pPr>
      <w:r>
        <w:rPr>
          <w:b/>
          <w:bCs/>
          <w:color w:val="1F4E79"/>
          <w:sz w:val="26"/>
          <w:szCs w:val="26"/>
        </w:rPr>
        <w:t xml:space="preserve">用户主旅程</w:t>
      </w:r>
    </w:p>
    <w:p>
      <w:pPr>
        <w:pStyle w:val="Heading3"/>
        <w:spacing w:before="180" w:after="80"/>
      </w:pPr>
      <w:r>
        <w:rPr>
          <w:b/>
          <w:bCs/>
          <w:color w:val="2F5597"/>
          <w:sz w:val="22"/>
          <w:szCs w:val="22"/>
        </w:rPr>
        <w:t xml:space="preserve">今日学习</w:t>
      </w:r>
    </w:p>
    <w:p>
      <w:pPr>
        <w:spacing w:after="120" w:line="300"/>
      </w:pPr>
      <w:r>
        <w:rPr>
          <w:sz w:val="21"/>
          <w:szCs w:val="21"/>
        </w:rPr>
        <w:t xml:space="preserve">系统读取目标、课程进度、考试日期、掌握度、错题、误解候选和遗忘风险，直接生成当日学习、练习与复盘任务。用户可以跳过、延后或反馈难度，但系统记录原因并用于后续计划。</w:t>
      </w:r>
    </w:p>
    <w:p>
      <w:pPr>
        <w:pStyle w:val="Heading3"/>
        <w:spacing w:before="180" w:after="80"/>
      </w:pPr>
      <w:r>
        <w:rPr>
          <w:b/>
          <w:bCs/>
          <w:color w:val="2F5597"/>
          <w:sz w:val="22"/>
          <w:szCs w:val="22"/>
        </w:rPr>
        <w:t xml:space="preserve">语音做题</w:t>
      </w:r>
    </w:p>
    <w:p>
      <w:pPr>
        <w:spacing w:after="120" w:line="300"/>
      </w:pPr>
      <w:r>
        <w:rPr>
          <w:sz w:val="21"/>
          <w:szCs w:val="21"/>
        </w:rPr>
        <w:t xml:space="preserve">系统播报题干和选项，用户通过自然语音作答。系统识别“选 B”“第二个”“改成 C”“重复一遍”“慢一点”等意图，客观题由确定性规则判分。全卷完成后播报总分，并分层讲解错题、干扰项和同类技巧。</w:t>
      </w:r>
    </w:p>
    <w:p>
      <w:pPr>
        <w:pStyle w:val="Heading3"/>
        <w:spacing w:before="180" w:after="80"/>
      </w:pPr>
      <w:r>
        <w:rPr>
          <w:b/>
          <w:bCs/>
          <w:color w:val="2F5597"/>
          <w:sz w:val="22"/>
          <w:szCs w:val="22"/>
        </w:rPr>
        <w:t xml:space="preserve">在线考试</w:t>
      </w:r>
    </w:p>
    <w:p>
      <w:pPr>
        <w:spacing w:after="120" w:line="300"/>
      </w:pPr>
      <w:r>
        <w:rPr>
          <w:sz w:val="21"/>
          <w:szCs w:val="21"/>
        </w:rPr>
        <w:t xml:space="preserve">系统生成或导入试卷后创建服务端权威考试会话。用户在线作答，系统自动保存答案、显示倒计时、断线恢复，并在超时后自动提交。提交后自动评分并生成总分、概念得分、错题清单、错因和补救任务。</w:t>
      </w:r>
    </w:p>
    <w:p>
      <w:pPr>
        <w:pStyle w:val="Heading3"/>
        <w:spacing w:before="180" w:after="80"/>
      </w:pPr>
      <w:r>
        <w:rPr>
          <w:b/>
          <w:bCs/>
          <w:color w:val="2F5597"/>
          <w:sz w:val="22"/>
          <w:szCs w:val="22"/>
        </w:rPr>
        <w:t xml:space="preserve">课程与真题发现</w:t>
      </w:r>
    </w:p>
    <w:p>
      <w:pPr>
        <w:spacing w:after="120" w:line="300"/>
      </w:pPr>
      <w:r>
        <w:rPr>
          <w:sz w:val="21"/>
          <w:szCs w:val="21"/>
        </w:rPr>
        <w:t xml:space="preserve">用户只需描述学校、课程、年份和资料类型。系统生成搜索计划，检索官方课程站、图书馆、OER、GitHub 和可信社区仓库，输出来源等级、授权状态和可导入动作。允许解析的内容进入课程和题库；受限内容只保留入口。</w:t>
      </w:r>
    </w:p>
    <w:p>
      <w:pPr>
        <w:pStyle w:val="Heading2"/>
        <w:spacing w:before="220" w:after="100"/>
      </w:pPr>
      <w:r>
        <w:rPr>
          <w:b/>
          <w:bCs/>
          <w:color w:val="1F4E79"/>
          <w:sz w:val="26"/>
          <w:szCs w:val="26"/>
        </w:rPr>
        <w:t xml:space="preserve">功能矩阵</w:t>
      </w:r>
    </w:p>
    <w:tbl>
      <w:tblPr>
        <w:tblW w:type="dxa" w:w="9360"/>
        <w:tblBorders>
          <w:top w:val="single" w:color="B7C9D6" w:sz="4"/>
          <w:left w:val="single" w:color="B7C9D6" w:sz="4"/>
          <w:bottom w:val="single" w:color="B7C9D6" w:sz="4"/>
          <w:right w:val="single" w:color="B7C9D6" w:sz="4"/>
          <w:insideH w:val="single" w:color="D8E2EA" w:sz="2"/>
          <w:insideV w:val="single" w:color="D8E2EA" w:sz="2"/>
        </w:tblBorders>
      </w:tblPr>
      <w:tblGrid>
        <w:gridCol w:w="2300"/>
        <w:gridCol w:w="1300"/>
        <w:gridCol w:w="5760"/>
      </w:tblGrid>
      <w:tr>
        <w:trPr>
          <w:tblHeader/>
        </w:trPr>
        <w:tc>
          <w:tcPr>
            <w:tcW w:type="dxa" w:w="2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功能</w:t>
            </w:r>
          </w:p>
        </w:tc>
        <w:tc>
          <w:tcPr>
            <w:tcW w:type="dxa" w:w="1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MVP 必需</w:t>
            </w:r>
          </w:p>
        </w:tc>
        <w:tc>
          <w:tcPr>
            <w:tcW w:type="dxa" w:w="57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关键验收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文档解析与证据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是</w:t>
            </w:r>
          </w:p>
        </w:tc>
        <w:tc>
          <w:tcPr>
            <w:tcW w:type="dxa" w:w="5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PDF 入库后可回到页码和原始来源。</w:t>
            </w:r>
          </w:p>
        </w:tc>
      </w:tr>
      <w:tr>
        <w:tc>
          <w:tcPr>
            <w:tcW w:type="dxa" w:w="23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题库与试卷</w:t>
            </w:r>
          </w:p>
        </w:tc>
        <w:tc>
          <w:tcPr>
            <w:tcW w:type="dxa" w:w="13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是</w:t>
            </w:r>
          </w:p>
        </w:tc>
        <w:tc>
          <w:tcPr>
            <w:tcW w:type="dxa" w:w="576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支持手动、导入和 AI 草稿，正式卷必须审核。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在线考试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是</w:t>
            </w:r>
          </w:p>
        </w:tc>
        <w:tc>
          <w:tcPr>
            <w:tcW w:type="dxa" w:w="5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服务端计时、自动保存、超时提交、幂等评分。</w:t>
            </w:r>
          </w:p>
        </w:tc>
      </w:tr>
      <w:tr>
        <w:tc>
          <w:tcPr>
            <w:tcW w:type="dxa" w:w="23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评分与报告</w:t>
            </w:r>
          </w:p>
        </w:tc>
        <w:tc>
          <w:tcPr>
            <w:tcW w:type="dxa" w:w="13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是</w:t>
            </w:r>
          </w:p>
        </w:tc>
        <w:tc>
          <w:tcPr>
            <w:tcW w:type="dxa" w:w="576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客观题 100% 规则判分，主观题 rubric + evidence。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错题与补救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是</w:t>
            </w:r>
          </w:p>
        </w:tc>
        <w:tc>
          <w:tcPr>
            <w:tcW w:type="dxa" w:w="5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错因分类、修复题、同构题、迁移题。</w:t>
            </w:r>
          </w:p>
        </w:tc>
      </w:tr>
      <w:tr>
        <w:tc>
          <w:tcPr>
            <w:tcW w:type="dxa" w:w="23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Student Model</w:t>
            </w:r>
          </w:p>
        </w:tc>
        <w:tc>
          <w:tcPr>
            <w:tcW w:type="dxa" w:w="13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是</w:t>
            </w:r>
          </w:p>
        </w:tc>
        <w:tc>
          <w:tcPr>
            <w:tcW w:type="dxa" w:w="576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第二次学习任务受第一次错题影响。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语音做题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是</w:t>
            </w:r>
          </w:p>
        </w:tc>
        <w:tc>
          <w:tcPr>
            <w:tcW w:type="dxa" w:w="5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完整完成一套题，支持打断、命令和恢复。</w:t>
            </w:r>
          </w:p>
        </w:tc>
      </w:tr>
      <w:tr>
        <w:tc>
          <w:tcPr>
            <w:tcW w:type="dxa" w:w="23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全网检索</w:t>
            </w:r>
          </w:p>
        </w:tc>
        <w:tc>
          <w:tcPr>
            <w:tcW w:type="dxa" w:w="13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是</w:t>
            </w:r>
          </w:p>
        </w:tc>
        <w:tc>
          <w:tcPr>
            <w:tcW w:type="dxa" w:w="576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结果带来源等级和授权状态。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课程生成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P1+</w:t>
            </w:r>
          </w:p>
        </w:tc>
        <w:tc>
          <w:tcPr>
            <w:tcW w:type="dxa" w:w="5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先出目标和结构，人工确认后再生成内容。</w:t>
            </w:r>
          </w:p>
        </w:tc>
      </w:tr>
    </w:tbl>
    <w:p>
      <w:pPr>
        <w:pStyle w:val="Heading2"/>
        <w:spacing w:before="220" w:after="100"/>
      </w:pPr>
      <w:r>
        <w:rPr>
          <w:b/>
          <w:bCs/>
          <w:color w:val="1F4E79"/>
          <w:sz w:val="26"/>
          <w:szCs w:val="26"/>
        </w:rPr>
        <w:t xml:space="preserve">非目标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MVP 不做万人并发在线教育平台。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不做社交社区和直播课。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不承诺绕权抓取所有大学受限真题。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不训练专属大模型。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不把 LLM 用于考试剩余时间和客观题判分。</w:t>
      </w:r>
    </w:p>
    <w:p>
      <w:pPr>
        <w:pStyle w:val="Heading1"/>
        <w:pageBreakBefore/>
        <w:spacing w:before="240" w:after="160"/>
      </w:pPr>
      <w:r>
        <w:rPr>
          <w:b/>
          <w:bCs/>
          <w:color w:val="1F4E79"/>
          <w:sz w:val="32"/>
          <w:szCs w:val="32"/>
        </w:rPr>
        <w:t xml:space="preserve">系统架构定版</w:t>
      </w:r>
    </w:p>
    <w:p>
      <w:pPr>
        <w:spacing w:after="120" w:line="300"/>
      </w:pPr>
      <w:r>
        <w:rPr>
          <w:sz w:val="21"/>
          <w:szCs w:val="21"/>
        </w:rPr>
        <w:t xml:space="preserve">系统采用分层架构：体验层、学习运行时、领域模型、学习策略、Agent/工具层、数据与治理平面。核心思想是把不可控模型隔离在可控业务边界内。</w:t>
      </w:r>
    </w:p>
    <w:p>
      <w:pPr>
        <w:shd w:fill="F3F4F6" w:val="clear"/>
        <w:spacing w:before="80" w:after="80"/>
      </w:pPr>
      <w:r>
        <w:rPr>
          <w:rFonts w:ascii="Consolas" w:cs="Consolas" w:eastAsia="Consolas" w:hAnsi="Consolas"/>
          <w:sz w:val="18"/>
          <w:szCs w:val="18"/>
        </w:rPr>
        <w:t xml:space="preserve">Experience Layer: Web / Voice / Exam UI / Reports</w:t>
      </w:r>
    </w:p>
    <w:p>
      <w:pPr>
        <w:shd w:fill="F3F4F6" w:val="clear"/>
        <w:spacing w:before="80" w:after="80"/>
      </w:pPr>
      <w:r>
        <w:rPr>
          <w:rFonts w:ascii="Consolas" w:cs="Consolas" w:eastAsia="Consolas" w:hAnsi="Consolas"/>
          <w:sz w:val="18"/>
          <w:szCs w:val="18"/>
        </w:rPr>
        <w:t xml:space="preserve">Learning Runtime: Session Manager / Exam Engine / Voice FSM / Planner</w:t>
      </w:r>
    </w:p>
    <w:p>
      <w:pPr>
        <w:shd w:fill="F3F4F6" w:val="clear"/>
        <w:spacing w:before="80" w:after="80"/>
      </w:pPr>
      <w:r>
        <w:rPr>
          <w:rFonts w:ascii="Consolas" w:cs="Consolas" w:eastAsia="Consolas" w:hAnsi="Consolas"/>
          <w:sz w:val="18"/>
          <w:szCs w:val="18"/>
        </w:rPr>
        <w:t xml:space="preserve">Domain Models: Student Model / Course Model / Question Model</w:t>
      </w:r>
    </w:p>
    <w:p>
      <w:pPr>
        <w:shd w:fill="F3F4F6" w:val="clear"/>
        <w:spacing w:before="80" w:after="80"/>
      </w:pPr>
      <w:r>
        <w:rPr>
          <w:rFonts w:ascii="Consolas" w:cs="Consolas" w:eastAsia="Consolas" w:hAnsi="Consolas"/>
          <w:sz w:val="18"/>
          <w:szCs w:val="18"/>
        </w:rPr>
        <w:t xml:space="preserve">Learning Policy: Tutor / Assessment / Research / Remediation</w:t>
      </w:r>
    </w:p>
    <w:p>
      <w:pPr>
        <w:shd w:fill="F3F4F6" w:val="clear"/>
        <w:spacing w:before="80" w:after="80"/>
      </w:pPr>
      <w:r>
        <w:rPr>
          <w:rFonts w:ascii="Consolas" w:cs="Consolas" w:eastAsia="Consolas" w:hAnsi="Consolas"/>
          <w:sz w:val="18"/>
          <w:szCs w:val="18"/>
        </w:rPr>
        <w:t xml:space="preserve">Evidence &amp; Tools: RAG / Search / Calculator / Sandbox / Model Gateway</w:t>
      </w:r>
    </w:p>
    <w:p>
      <w:pPr>
        <w:shd w:fill="F3F4F6" w:val="clear"/>
        <w:spacing w:before="80" w:after="80"/>
      </w:pPr>
      <w:r>
        <w:rPr>
          <w:rFonts w:ascii="Consolas" w:cs="Consolas" w:eastAsia="Consolas" w:hAnsi="Consolas"/>
          <w:sz w:val="18"/>
          <w:szCs w:val="18"/>
        </w:rPr>
        <w:t xml:space="preserve">Data Plane: PostgreSQL / pgvector / Redis / MinIO</w:t>
      </w:r>
    </w:p>
    <w:p>
      <w:pPr>
        <w:shd w:fill="F3F4F6" w:val="clear"/>
        <w:spacing w:before="80" w:after="80"/>
      </w:pPr>
      <w:r>
        <w:rPr>
          <w:rFonts w:ascii="Consolas" w:cs="Consolas" w:eastAsia="Consolas" w:hAnsi="Consolas"/>
          <w:sz w:val="18"/>
          <w:szCs w:val="18"/>
        </w:rPr>
        <w:t xml:space="preserve">Voice Plane: LiveKit -&gt; ASR -&gt; FSM -&gt; Policy -&gt; TTS</w:t>
      </w:r>
    </w:p>
    <w:p>
      <w:pPr>
        <w:shd w:fill="F3F4F6" w:val="clear"/>
        <w:spacing w:before="80" w:after="80"/>
      </w:pPr>
      <w:r>
        <w:rPr>
          <w:rFonts w:ascii="Consolas" w:cs="Consolas" w:eastAsia="Consolas" w:hAnsi="Consolas"/>
          <w:sz w:val="18"/>
          <w:szCs w:val="18"/>
        </w:rPr>
        <w:t xml:space="preserve">Governance: Source Registry / License / Permission / Audit</w:t>
      </w:r>
    </w:p>
    <w:p>
      <w:pPr>
        <w:pStyle w:val="Heading2"/>
        <w:spacing w:before="220" w:after="100"/>
      </w:pPr>
      <w:r>
        <w:rPr>
          <w:b/>
          <w:bCs/>
          <w:color w:val="1F4E79"/>
          <w:sz w:val="26"/>
          <w:szCs w:val="26"/>
        </w:rPr>
        <w:t xml:space="preserve">服务边界</w:t>
      </w:r>
    </w:p>
    <w:tbl>
      <w:tblPr>
        <w:tblW w:type="dxa" w:w="9360"/>
        <w:tblBorders>
          <w:top w:val="single" w:color="B7C9D6" w:sz="4"/>
          <w:left w:val="single" w:color="B7C9D6" w:sz="4"/>
          <w:bottom w:val="single" w:color="B7C9D6" w:sz="4"/>
          <w:right w:val="single" w:color="B7C9D6" w:sz="4"/>
          <w:insideH w:val="single" w:color="D8E2EA" w:sz="2"/>
          <w:insideV w:val="single" w:color="D8E2EA" w:sz="2"/>
        </w:tblBorders>
      </w:tblPr>
      <w:tblGrid>
        <w:gridCol w:w="1900"/>
        <w:gridCol w:w="3900"/>
        <w:gridCol w:w="356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服务</w:t>
            </w:r>
          </w:p>
        </w:tc>
        <w:tc>
          <w:tcPr>
            <w:tcW w:type="dxa" w:w="3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职责</w:t>
            </w:r>
          </w:p>
        </w:tc>
        <w:tc>
          <w:tcPr>
            <w:tcW w:type="dxa" w:w="35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关键边界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Core API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用户、课程、题目、考试、报告接口。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不直接实现复杂模型调用。</w:t>
            </w:r>
          </w:p>
        </w:tc>
      </w:tr>
      <w:tr>
        <w:tc>
          <w:tcPr>
            <w:tcW w:type="dxa" w:w="19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Learning Engine</w:t>
            </w:r>
          </w:p>
        </w:tc>
        <w:tc>
          <w:tcPr>
            <w:tcW w:type="dxa" w:w="39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掌握度、误解、复习、每日计划。</w:t>
            </w:r>
          </w:p>
        </w:tc>
        <w:tc>
          <w:tcPr>
            <w:tcW w:type="dxa" w:w="356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MVP 不训练深度模型。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Exam Engine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考试状态、计时、提交、幂等。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客户端无权威。</w:t>
            </w:r>
          </w:p>
        </w:tc>
      </w:tr>
      <w:tr>
        <w:tc>
          <w:tcPr>
            <w:tcW w:type="dxa" w:w="19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Grading Service</w:t>
            </w:r>
          </w:p>
        </w:tc>
        <w:tc>
          <w:tcPr>
            <w:tcW w:type="dxa" w:w="39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客观、数值、代码、主观评分。</w:t>
            </w:r>
          </w:p>
        </w:tc>
        <w:tc>
          <w:tcPr>
            <w:tcW w:type="dxa" w:w="356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客观题不用 LLM。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Content Pipeline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解析、清洗、切块、证据、索引。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License gate 前置。</w:t>
            </w:r>
          </w:p>
        </w:tc>
      </w:tr>
      <w:tr>
        <w:tc>
          <w:tcPr>
            <w:tcW w:type="dxa" w:w="19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Search Service</w:t>
            </w:r>
          </w:p>
        </w:tc>
        <w:tc>
          <w:tcPr>
            <w:tcW w:type="dxa" w:w="39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查询计划、来源分级、抓取、排序。</w:t>
            </w:r>
          </w:p>
        </w:tc>
        <w:tc>
          <w:tcPr>
            <w:tcW w:type="dxa" w:w="356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不绕过访问控制。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Voice Service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LiveKit、ASR/TTS、意图、打断。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不直接拥有最终成绩。</w:t>
            </w:r>
          </w:p>
        </w:tc>
      </w:tr>
      <w:tr>
        <w:tc>
          <w:tcPr>
            <w:tcW w:type="dxa" w:w="19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Agent Runtime</w:t>
            </w:r>
          </w:p>
        </w:tc>
        <w:tc>
          <w:tcPr>
            <w:tcW w:type="dxa" w:w="39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LangGraph 状态与工具权限。</w:t>
            </w:r>
          </w:p>
        </w:tc>
        <w:tc>
          <w:tcPr>
            <w:tcW w:type="dxa" w:w="356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输出必须 schema 校验。</w:t>
            </w:r>
          </w:p>
        </w:tc>
      </w:tr>
    </w:tbl>
    <w:p>
      <w:pPr>
        <w:pStyle w:val="Heading2"/>
        <w:spacing w:before="220" w:after="100"/>
      </w:pPr>
      <w:r>
        <w:rPr>
          <w:b/>
          <w:bCs/>
          <w:color w:val="1F4E79"/>
          <w:sz w:val="26"/>
          <w:szCs w:val="26"/>
        </w:rPr>
        <w:t xml:space="preserve">核心状态机</w:t>
      </w:r>
    </w:p>
    <w:p>
      <w:pPr>
        <w:shd w:fill="F3F4F6" w:val="clear"/>
        <w:spacing w:before="80" w:after="80"/>
      </w:pPr>
      <w:r>
        <w:rPr>
          <w:rFonts w:ascii="Consolas" w:cs="Consolas" w:eastAsia="Consolas" w:hAnsi="Consolas"/>
          <w:sz w:val="18"/>
          <w:szCs w:val="18"/>
        </w:rPr>
        <w:t xml:space="preserve">Exam: CREATED -&gt; READY -&gt; STARTED -&gt; IN_PROGRESS -&gt; SUBMITTED -&gt; GRADING -&gt; REPORT_READY -&gt; CLOSED</w:t>
      </w:r>
    </w:p>
    <w:p>
      <w:pPr>
        <w:shd w:fill="F3F4F6" w:val="clear"/>
        <w:spacing w:before="80" w:after="80"/>
      </w:pPr>
      <w:r>
        <w:rPr>
          <w:rFonts w:ascii="Consolas" w:cs="Consolas" w:eastAsia="Consolas" w:hAnsi="Consolas"/>
          <w:sz w:val="18"/>
          <w:szCs w:val="18"/>
        </w:rPr>
        <w:t xml:space="preserve">Voice: READY -&gt; READING_QUESTION -&gt; READING_OPTIONS -&gt; WAITING_ANSWER -&gt; COMMITTED -&gt; NEXT -&gt; REPORT</w:t>
      </w:r>
    </w:p>
    <w:p>
      <w:pPr>
        <w:shd w:fill="F3F4F6" w:val="clear"/>
        <w:spacing w:before="80" w:after="80"/>
      </w:pPr>
      <w:r>
        <w:rPr>
          <w:rFonts w:ascii="Consolas" w:cs="Consolas" w:eastAsia="Consolas" w:hAnsi="Consolas"/>
          <w:sz w:val="18"/>
          <w:szCs w:val="18"/>
        </w:rPr>
        <w:t xml:space="preserve">Search: INTENT -&gt; ENTITY -&gt; QUERY -&gt; SEARCH -&gt; DEDUPE -&gt; SOURCE -&gt; LICENSE -&gt; PARSE -&gt; INDEX</w:t>
      </w:r>
    </w:p>
    <w:p>
      <w:pPr>
        <w:shd w:fill="F3F4F6" w:val="clear"/>
        <w:spacing w:before="80" w:after="80"/>
      </w:pPr>
      <w:r>
        <w:rPr>
          <w:rFonts w:ascii="Consolas" w:cs="Consolas" w:eastAsia="Consolas" w:hAnsi="Consolas"/>
          <w:sz w:val="18"/>
          <w:szCs w:val="18"/>
        </w:rPr>
        <w:t xml:space="preserve">Course: GOAL -&gt; COMPETENCY -&gt; PREREQUISITE -&gt; DAG -&gt; RESOURCE -&gt; OUTLINE -&gt; LESSON -&gt; ASSESSMENT</w:t>
      </w:r>
    </w:p>
    <w:p>
      <w:pPr>
        <w:spacing w:after="120" w:line="300"/>
      </w:pPr>
      <w:r>
        <w:rPr>
          <w:sz w:val="21"/>
          <w:szCs w:val="21"/>
        </w:rPr>
        <w:t xml:space="preserve">考试状态必须满足：服务器时间权威、答案事件 append-only、submission 唯一、超时触发幂等、评分只引用已提交答案。语音状态必须满足：打断不提交半成品答案、断线可恢复、答案由学习服务最终确认。</w:t>
      </w:r>
    </w:p>
    <w:p>
      <w:pPr>
        <w:pStyle w:val="Heading1"/>
        <w:pageBreakBefore/>
        <w:spacing w:before="240" w:after="160"/>
      </w:pPr>
      <w:r>
        <w:rPr>
          <w:b/>
          <w:bCs/>
          <w:color w:val="1F4E79"/>
          <w:sz w:val="32"/>
          <w:szCs w:val="32"/>
        </w:rPr>
        <w:t xml:space="preserve">数据模型与 API</w:t>
      </w:r>
    </w:p>
    <w:p>
      <w:pPr>
        <w:pStyle w:val="Heading2"/>
        <w:spacing w:before="220" w:after="100"/>
      </w:pPr>
      <w:r>
        <w:rPr>
          <w:b/>
          <w:bCs/>
          <w:color w:val="1F4E79"/>
          <w:sz w:val="26"/>
          <w:szCs w:val="26"/>
        </w:rPr>
        <w:t xml:space="preserve">核心对象</w:t>
      </w:r>
    </w:p>
    <w:tbl>
      <w:tblPr>
        <w:tblW w:type="dxa" w:w="9360"/>
        <w:tblBorders>
          <w:top w:val="single" w:color="B7C9D6" w:sz="4"/>
          <w:left w:val="single" w:color="B7C9D6" w:sz="4"/>
          <w:bottom w:val="single" w:color="B7C9D6" w:sz="4"/>
          <w:right w:val="single" w:color="B7C9D6" w:sz="4"/>
          <w:insideH w:val="single" w:color="D8E2EA" w:sz="2"/>
          <w:insideV w:val="single" w:color="D8E2EA" w:sz="2"/>
        </w:tblBorders>
      </w:tblPr>
      <w:tblGrid>
        <w:gridCol w:w="2100"/>
        <w:gridCol w:w="4300"/>
        <w:gridCol w:w="2960"/>
      </w:tblGrid>
      <w:tr>
        <w:trPr>
          <w:tblHeader/>
        </w:trPr>
        <w:tc>
          <w:tcPr>
            <w:tcW w:type="dxa" w:w="2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对象</w:t>
            </w:r>
          </w:p>
        </w:tc>
        <w:tc>
          <w:tcPr>
            <w:tcW w:type="dxa" w:w="4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关键字段</w:t>
            </w:r>
          </w:p>
        </w:tc>
        <w:tc>
          <w:tcPr>
            <w:tcW w:type="dxa" w:w="29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约束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Course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title、provider、source_url、concept_ids、license_state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授权状态必须存在。</w:t>
            </w:r>
          </w:p>
        </w:tc>
      </w:tr>
      <w:tr>
        <w:tc>
          <w:tcPr>
            <w:tcW w:type="dxa" w:w="21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Concept</w:t>
            </w:r>
          </w:p>
        </w:tc>
        <w:tc>
          <w:tcPr>
            <w:tcW w:type="dxa" w:w="43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canonical_name、prerequisite_ids、parent_id、evidence_ids</w:t>
            </w:r>
          </w:p>
        </w:tc>
        <w:tc>
          <w:tcPr>
            <w:tcW w:type="dxa" w:w="296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课程、题目、学生共享。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Question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stem、options、answer_key、type、difficulty、concept_ids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正式题必须 review 通过。</w:t>
            </w:r>
          </w:p>
        </w:tc>
      </w:tr>
      <w:tr>
        <w:tc>
          <w:tcPr>
            <w:tcW w:type="dxa" w:w="21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Paper</w:t>
            </w:r>
          </w:p>
        </w:tc>
        <w:tc>
          <w:tcPr>
            <w:tcW w:type="dxa" w:w="43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question_ids、duration、total_score、policy</w:t>
            </w:r>
          </w:p>
        </w:tc>
        <w:tc>
          <w:tcPr>
            <w:tcW w:type="dxa" w:w="296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生成卷默认 draft。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ExamSession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server_started_at、server_end_at、status、revision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客户端不可修改时间。</w:t>
            </w:r>
          </w:p>
        </w:tc>
      </w:tr>
      <w:tr>
        <w:tc>
          <w:tcPr>
            <w:tcW w:type="dxa" w:w="21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AnswerEvent</w:t>
            </w:r>
          </w:p>
        </w:tc>
        <w:tc>
          <w:tcPr>
            <w:tcW w:type="dxa" w:w="43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question_id、payload、sequence、server_received_at</w:t>
            </w:r>
          </w:p>
        </w:tc>
        <w:tc>
          <w:tcPr>
            <w:tcW w:type="dxa" w:w="296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sequence 唯一。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Submission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answers、submitted_at、submit_reason、idempotency_key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考试会话唯一。</w:t>
            </w:r>
          </w:p>
        </w:tc>
      </w:tr>
      <w:tr>
        <w:tc>
          <w:tcPr>
            <w:tcW w:type="dxa" w:w="21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StudentConceptState</w:t>
            </w:r>
          </w:p>
        </w:tc>
        <w:tc>
          <w:tcPr>
            <w:tcW w:type="dxa" w:w="43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mastery、forgetting_risk、next_review_at、misconceptions</w:t>
            </w:r>
          </w:p>
        </w:tc>
        <w:tc>
          <w:tcPr>
            <w:tcW w:type="dxa" w:w="296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用户+概念唯一。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Evidence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source_id、locator、snippet_hash、retrieved_at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所有结论可追溯。</w:t>
            </w:r>
          </w:p>
        </w:tc>
      </w:tr>
    </w:tbl>
    <w:p>
      <w:pPr>
        <w:pStyle w:val="Heading2"/>
        <w:spacing w:before="220" w:after="100"/>
      </w:pPr>
      <w:r>
        <w:rPr>
          <w:b/>
          <w:bCs/>
          <w:color w:val="1F4E79"/>
          <w:sz w:val="26"/>
          <w:szCs w:val="26"/>
        </w:rPr>
        <w:t xml:space="preserve">API 契约要点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考试状态接口返回 server_now、server_remaining_seconds、revision 和 current_answers。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语音答案提交 transcript、intent、normalized_answer、confidence 和 event_id，由服务端决定接受或澄清。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搜索结果必须返回 url、source tier、license_state、import_action 和 reason。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评分结果必须返回 method、criteria、confidence、judge_model、prompt_hash 和 evidence_ids。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统一错误码覆盖考试过期、重复提交、sequence 冲突、license 受限、语音歧义、SSRF 拒绝等场景。</w:t>
      </w:r>
    </w:p>
    <w:p>
      <w:pPr>
        <w:pStyle w:val="Heading1"/>
        <w:pageBreakBefore/>
        <w:spacing w:before="240" w:after="160"/>
      </w:pPr>
      <w:r>
        <w:rPr>
          <w:b/>
          <w:bCs/>
          <w:color w:val="1F4E79"/>
          <w:sz w:val="32"/>
          <w:szCs w:val="32"/>
        </w:rPr>
        <w:t xml:space="preserve">语音学习模式设计</w:t>
      </w:r>
    </w:p>
    <w:p>
      <w:pPr>
        <w:pStyle w:val="Heading2"/>
        <w:spacing w:before="220" w:after="100"/>
      </w:pPr>
      <w:r>
        <w:rPr>
          <w:b/>
          <w:bCs/>
          <w:color w:val="1F4E79"/>
          <w:sz w:val="26"/>
          <w:szCs w:val="26"/>
        </w:rPr>
        <w:t xml:space="preserve">完整流程</w:t>
      </w:r>
    </w:p>
    <w:p>
      <w:pPr>
        <w:shd w:fill="F3F4F6" w:val="clear"/>
        <w:spacing w:before="80" w:after="80"/>
      </w:pPr>
      <w:r>
        <w:rPr>
          <w:rFonts w:ascii="Consolas" w:cs="Consolas" w:eastAsia="Consolas" w:hAnsi="Consolas"/>
          <w:sz w:val="18"/>
          <w:szCs w:val="18"/>
        </w:rPr>
        <w:t xml:space="preserve">创建/恢复 VoiceSession</w:t>
      </w:r>
    </w:p>
    <w:p>
      <w:pPr>
        <w:shd w:fill="F3F4F6" w:val="clear"/>
        <w:spacing w:before="80" w:after="80"/>
      </w:pPr>
      <w:r>
        <w:rPr>
          <w:rFonts w:ascii="Consolas" w:cs="Consolas" w:eastAsia="Consolas" w:hAnsi="Consolas"/>
          <w:sz w:val="18"/>
          <w:szCs w:val="18"/>
        </w:rPr>
        <w:t xml:space="preserve">  -&gt; 选择 Paper 或自适应题组</w:t>
      </w:r>
    </w:p>
    <w:p>
      <w:pPr>
        <w:shd w:fill="F3F4F6" w:val="clear"/>
        <w:spacing w:before="80" w:after="80"/>
      </w:pPr>
      <w:r>
        <w:rPr>
          <w:rFonts w:ascii="Consolas" w:cs="Consolas" w:eastAsia="Consolas" w:hAnsi="Consolas"/>
          <w:sz w:val="18"/>
          <w:szCs w:val="18"/>
        </w:rPr>
        <w:t xml:space="preserve">  -&gt; 播报规则和题量</w:t>
      </w:r>
    </w:p>
    <w:p>
      <w:pPr>
        <w:shd w:fill="F3F4F6" w:val="clear"/>
        <w:spacing w:before="80" w:after="80"/>
      </w:pPr>
      <w:r>
        <w:rPr>
          <w:rFonts w:ascii="Consolas" w:cs="Consolas" w:eastAsia="Consolas" w:hAnsi="Consolas"/>
          <w:sz w:val="18"/>
          <w:szCs w:val="18"/>
        </w:rPr>
        <w:t xml:space="preserve">  -&gt; TTS 读题干和选项</w:t>
      </w:r>
    </w:p>
    <w:p>
      <w:pPr>
        <w:shd w:fill="F3F4F6" w:val="clear"/>
        <w:spacing w:before="80" w:after="80"/>
      </w:pPr>
      <w:r>
        <w:rPr>
          <w:rFonts w:ascii="Consolas" w:cs="Consolas" w:eastAsia="Consolas" w:hAnsi="Consolas"/>
          <w:sz w:val="18"/>
          <w:szCs w:val="18"/>
        </w:rPr>
        <w:t xml:space="preserve">  -&gt; 等待用户语音</w:t>
      </w:r>
    </w:p>
    <w:p>
      <w:pPr>
        <w:shd w:fill="F3F4F6" w:val="clear"/>
        <w:spacing w:before="80" w:after="80"/>
      </w:pPr>
      <w:r>
        <w:rPr>
          <w:rFonts w:ascii="Consolas" w:cs="Consolas" w:eastAsia="Consolas" w:hAnsi="Consolas"/>
          <w:sz w:val="18"/>
          <w:szCs w:val="18"/>
        </w:rPr>
        <w:t xml:space="preserve">  -&gt; ASR + intent + answer normalization</w:t>
      </w:r>
    </w:p>
    <w:p>
      <w:pPr>
        <w:shd w:fill="F3F4F6" w:val="clear"/>
        <w:spacing w:before="80" w:after="80"/>
      </w:pPr>
      <w:r>
        <w:rPr>
          <w:rFonts w:ascii="Consolas" w:cs="Consolas" w:eastAsia="Consolas" w:hAnsi="Consolas"/>
          <w:sz w:val="18"/>
          <w:szCs w:val="18"/>
        </w:rPr>
        <w:t xml:space="preserve">  -&gt; deterministic grading</w:t>
      </w:r>
    </w:p>
    <w:p>
      <w:pPr>
        <w:shd w:fill="F3F4F6" w:val="clear"/>
        <w:spacing w:before="80" w:after="80"/>
      </w:pPr>
      <w:r>
        <w:rPr>
          <w:rFonts w:ascii="Consolas" w:cs="Consolas" w:eastAsia="Consolas" w:hAnsi="Consolas"/>
          <w:sz w:val="18"/>
          <w:szCs w:val="18"/>
        </w:rPr>
        <w:t xml:space="preserve">  -&gt; 短反馈 / 下一题</w:t>
      </w:r>
    </w:p>
    <w:p>
      <w:pPr>
        <w:shd w:fill="F3F4F6" w:val="clear"/>
        <w:spacing w:before="80" w:after="80"/>
      </w:pPr>
      <w:r>
        <w:rPr>
          <w:rFonts w:ascii="Consolas" w:cs="Consolas" w:eastAsia="Consolas" w:hAnsi="Consolas"/>
          <w:sz w:val="18"/>
          <w:szCs w:val="18"/>
        </w:rPr>
        <w:t xml:space="preserve">  -&gt; 全卷报告 / 错题讲解 / 变式练习</w:t>
      </w:r>
    </w:p>
    <w:p>
      <w:pPr>
        <w:pStyle w:val="Heading2"/>
        <w:spacing w:before="220" w:after="100"/>
      </w:pPr>
      <w:r>
        <w:rPr>
          <w:b/>
          <w:bCs/>
          <w:color w:val="1F4E79"/>
          <w:sz w:val="26"/>
          <w:szCs w:val="26"/>
        </w:rPr>
        <w:t xml:space="preserve">意图规范化</w:t>
      </w:r>
    </w:p>
    <w:tbl>
      <w:tblPr>
        <w:tblW w:type="dxa" w:w="9360"/>
        <w:tblBorders>
          <w:top w:val="single" w:color="B7C9D6" w:sz="4"/>
          <w:left w:val="single" w:color="B7C9D6" w:sz="4"/>
          <w:bottom w:val="single" w:color="B7C9D6" w:sz="4"/>
          <w:right w:val="single" w:color="B7C9D6" w:sz="4"/>
          <w:insideH w:val="single" w:color="D8E2EA" w:sz="2"/>
          <w:insideV w:val="single" w:color="D8E2EA" w:sz="2"/>
        </w:tblBorders>
      </w:tblPr>
      <w:tblGrid>
        <w:gridCol w:w="2500"/>
        <w:gridCol w:w="1900"/>
        <w:gridCol w:w="4960"/>
      </w:tblGrid>
      <w:tr>
        <w:trPr>
          <w:tblHeader/>
        </w:trPr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用户说</w:t>
            </w:r>
          </w:p>
        </w:tc>
        <w:tc>
          <w:tcPr>
            <w:tcW w:type="dxa" w:w="1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识别意图</w:t>
            </w:r>
          </w:p>
        </w:tc>
        <w:tc>
          <w:tcPr>
            <w:tcW w:type="dxa" w:w="49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系统行为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选 B / 我选第二个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choose_option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规范化为 B 并提交答案事件。</w:t>
            </w:r>
          </w:p>
        </w:tc>
      </w:tr>
      <w:tr>
        <w:tc>
          <w:tcPr>
            <w:tcW w:type="dxa" w:w="25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我改成 C</w:t>
            </w:r>
          </w:p>
        </w:tc>
        <w:tc>
          <w:tcPr>
            <w:tcW w:type="dxa" w:w="19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change_answer</w:t>
            </w:r>
          </w:p>
        </w:tc>
        <w:tc>
          <w:tcPr>
            <w:tcW w:type="dxa" w:w="496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追加覆盖事件，不删除历史。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重复题目 / 选项再说一遍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repeat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重读题干或选项。</w:t>
            </w:r>
          </w:p>
        </w:tc>
      </w:tr>
      <w:tr>
        <w:tc>
          <w:tcPr>
            <w:tcW w:type="dxa" w:w="25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慢一点</w:t>
            </w:r>
          </w:p>
        </w:tc>
        <w:tc>
          <w:tcPr>
            <w:tcW w:type="dxa" w:w="19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slow_down</w:t>
            </w:r>
          </w:p>
        </w:tc>
        <w:tc>
          <w:tcPr>
            <w:tcW w:type="dxa" w:w="496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调整 TTS rate。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跳过 / 暂停 / 结束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control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按状态机转移并保存状态。</w:t>
            </w:r>
          </w:p>
        </w:tc>
      </w:tr>
    </w:tbl>
    <w:p>
      <w:pPr>
        <w:pStyle w:val="Heading2"/>
        <w:spacing w:before="220" w:after="100"/>
      </w:pPr>
      <w:r>
        <w:rPr>
          <w:b/>
          <w:bCs/>
          <w:color w:val="1F4E79"/>
          <w:sz w:val="26"/>
          <w:szCs w:val="26"/>
        </w:rPr>
        <w:t xml:space="preserve">本地、云端与混合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本地：自托管 LiveKit + FunASR/Qwen3-ASR + 本地 LLM 可选 + CosyVoice，适合隐私优先。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云端：LiveKit Cloud 或在线 STT/LLM/TTS，适合快速启动和高质量。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混合：本地 ASR 与个人上下文，必要时云端强推理，按隐私、成本、网络和任务复杂度路由。</w:t>
      </w:r>
    </w:p>
    <w:p>
      <w:pPr>
        <w:spacing w:after="120" w:line="300"/>
      </w:pPr>
      <w:r>
        <w:rPr>
          <w:sz w:val="21"/>
          <w:szCs w:val="21"/>
        </w:rPr>
        <w:t xml:space="preserve">语音延迟必须拆分为 capture、VAD、ASR first/final token、意图规范化、策略决策、LLM、TTS first audio、网络 RTT 和状态提交，并全部埋点。</w:t>
      </w:r>
    </w:p>
    <w:p>
      <w:pPr>
        <w:pStyle w:val="Heading1"/>
        <w:pageBreakBefore/>
        <w:spacing w:before="240" w:after="160"/>
      </w:pPr>
      <w:r>
        <w:rPr>
          <w:b/>
          <w:bCs/>
          <w:color w:val="1F4E79"/>
          <w:sz w:val="32"/>
          <w:szCs w:val="32"/>
        </w:rPr>
        <w:t xml:space="preserve">在线考试与审阅设计</w:t>
      </w:r>
    </w:p>
    <w:p>
      <w:pPr>
        <w:pStyle w:val="Heading2"/>
        <w:spacing w:before="220" w:after="100"/>
      </w:pPr>
      <w:r>
        <w:rPr>
          <w:b/>
          <w:bCs/>
          <w:color w:val="1F4E79"/>
          <w:sz w:val="26"/>
          <w:szCs w:val="26"/>
        </w:rPr>
        <w:t xml:space="preserve">考试安全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start_at 和 end_at 由服务器写入，客户端只显示同步后的剩余时间。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答案以 append-only event 保存，sequence 单调且唯一。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submit 和 timeout submit 均幂等，重复请求返回同一 submission。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断网时客户端暂存，恢复后按服务端 revision 同步。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考试模式禁用 search、solution、hint 等未授权工具。</w:t>
      </w:r>
    </w:p>
    <w:p>
      <w:pPr>
        <w:pStyle w:val="Heading2"/>
        <w:spacing w:before="220" w:after="100"/>
      </w:pPr>
      <w:r>
        <w:rPr>
          <w:b/>
          <w:bCs/>
          <w:color w:val="1F4E79"/>
          <w:sz w:val="26"/>
          <w:szCs w:val="26"/>
        </w:rPr>
        <w:t xml:space="preserve">评分瀑布</w:t>
      </w:r>
    </w:p>
    <w:p>
      <w:pPr>
        <w:shd w:fill="F3F4F6" w:val="clear"/>
        <w:spacing w:before="80" w:after="80"/>
      </w:pPr>
      <w:r>
        <w:rPr>
          <w:rFonts w:ascii="Consolas" w:cs="Consolas" w:eastAsia="Consolas" w:hAnsi="Consolas"/>
          <w:sz w:val="18"/>
          <w:szCs w:val="18"/>
        </w:rPr>
        <w:t xml:space="preserve">格式校验 -&gt; 缺答策略 -&gt; deterministic objective -&gt; numeric/math verifier</w:t>
      </w:r>
    </w:p>
    <w:p>
      <w:pPr>
        <w:shd w:fill="F3F4F6" w:val="clear"/>
        <w:spacing w:before="80" w:after="80"/>
      </w:pPr>
      <w:r>
        <w:rPr>
          <w:rFonts w:ascii="Consolas" w:cs="Consolas" w:eastAsia="Consolas" w:hAnsi="Consolas"/>
          <w:sz w:val="18"/>
          <w:szCs w:val="18"/>
        </w:rPr>
        <w:t xml:space="preserve">  -&gt; coding sandbox -&gt; subjective rubric + evidence + LLM judge</w:t>
      </w:r>
    </w:p>
    <w:p>
      <w:pPr>
        <w:shd w:fill="F3F4F6" w:val="clear"/>
        <w:spacing w:before="80" w:after="80"/>
      </w:pPr>
      <w:r>
        <w:rPr>
          <w:rFonts w:ascii="Consolas" w:cs="Consolas" w:eastAsia="Consolas" w:hAnsi="Consolas"/>
          <w:sz w:val="18"/>
          <w:szCs w:val="18"/>
        </w:rPr>
        <w:t xml:space="preserve">  -&gt; confidence check -&gt; second judge / human review</w:t>
      </w:r>
    </w:p>
    <w:p>
      <w:pPr>
        <w:shd w:fill="F3F4F6" w:val="clear"/>
        <w:spacing w:before="80" w:after="80"/>
      </w:pPr>
      <w:r>
        <w:rPr>
          <w:rFonts w:ascii="Consolas" w:cs="Consolas" w:eastAsia="Consolas" w:hAnsi="Consolas"/>
          <w:sz w:val="18"/>
          <w:szCs w:val="18"/>
        </w:rPr>
        <w:t xml:space="preserve">  -&gt; report -&gt; student model update -&gt; remediation</w:t>
      </w:r>
    </w:p>
    <w:p>
      <w:pPr>
        <w:pStyle w:val="Heading2"/>
        <w:spacing w:before="220" w:after="100"/>
      </w:pPr>
      <w:r>
        <w:rPr>
          <w:b/>
          <w:bCs/>
          <w:color w:val="1F4E79"/>
          <w:sz w:val="26"/>
          <w:szCs w:val="26"/>
        </w:rPr>
        <w:t xml:space="preserve">错因与补救</w:t>
      </w:r>
    </w:p>
    <w:tbl>
      <w:tblPr>
        <w:tblW w:type="dxa" w:w="9360"/>
        <w:tblBorders>
          <w:top w:val="single" w:color="B7C9D6" w:sz="4"/>
          <w:left w:val="single" w:color="B7C9D6" w:sz="4"/>
          <w:bottom w:val="single" w:color="B7C9D6" w:sz="4"/>
          <w:right w:val="single" w:color="B7C9D6" w:sz="4"/>
          <w:insideH w:val="single" w:color="D8E2EA" w:sz="2"/>
          <w:insideV w:val="single" w:color="D8E2EA" w:sz="2"/>
        </w:tblBorders>
      </w:tblPr>
      <w:tblGrid>
        <w:gridCol w:w="1600"/>
        <w:gridCol w:w="3900"/>
        <w:gridCol w:w="3860"/>
      </w:tblGrid>
      <w:tr>
        <w:trPr>
          <w:tblHeader/>
        </w:trPr>
        <w:tc>
          <w:tcPr>
            <w:tcW w:type="dxa" w:w="1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错因</w:t>
            </w:r>
          </w:p>
        </w:tc>
        <w:tc>
          <w:tcPr>
            <w:tcW w:type="dxa" w:w="3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判断证据</w:t>
            </w:r>
          </w:p>
        </w:tc>
        <w:tc>
          <w:tcPr>
            <w:tcW w:type="dxa" w:w="38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补救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概念错误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同类概念题反复错，讲解后仍错。</w:t>
            </w:r>
          </w:p>
        </w:tc>
        <w:tc>
          <w:tcPr>
            <w:tcW w:type="dxa" w:w="3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概念讲解 + 低难度修复题。</w:t>
            </w:r>
          </w:p>
        </w:tc>
      </w:tr>
      <w:tr>
        <w:tc>
          <w:tcPr>
            <w:tcW w:type="dxa" w:w="16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先修缺失</w:t>
            </w:r>
          </w:p>
        </w:tc>
        <w:tc>
          <w:tcPr>
            <w:tcW w:type="dxa" w:w="39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错误集中在先修节点。</w:t>
            </w:r>
          </w:p>
        </w:tc>
        <w:tc>
          <w:tcPr>
            <w:tcW w:type="dxa" w:w="386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回补先修概念再回原题。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计算错误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思路正确但步骤或数值错。</w:t>
            </w:r>
          </w:p>
        </w:tc>
        <w:tc>
          <w:tcPr>
            <w:tcW w:type="dxa" w:w="3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步骤分训练和验算策略。</w:t>
            </w:r>
          </w:p>
        </w:tc>
      </w:tr>
      <w:tr>
        <w:tc>
          <w:tcPr>
            <w:tcW w:type="dxa" w:w="16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审题错误</w:t>
            </w:r>
          </w:p>
        </w:tc>
        <w:tc>
          <w:tcPr>
            <w:tcW w:type="dxa" w:w="39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忽略条件或误读限制。</w:t>
            </w:r>
          </w:p>
        </w:tc>
        <w:tc>
          <w:tcPr>
            <w:tcW w:type="dxa" w:w="386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条件圈画和审题清单。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时间压力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后半卷未答和超时占比高。</w:t>
            </w:r>
          </w:p>
        </w:tc>
        <w:tc>
          <w:tcPr>
            <w:tcW w:type="dxa" w:w="3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限时分块训练。</w:t>
            </w:r>
          </w:p>
        </w:tc>
      </w:tr>
    </w:tbl>
    <w:p>
      <w:pPr>
        <w:pStyle w:val="Heading1"/>
        <w:pageBreakBefore/>
        <w:spacing w:before="240" w:after="160"/>
      </w:pPr>
      <w:r>
        <w:rPr>
          <w:b/>
          <w:bCs/>
          <w:color w:val="1F4E79"/>
          <w:sz w:val="32"/>
          <w:szCs w:val="32"/>
        </w:rPr>
        <w:t xml:space="preserve">全网课程与真题检索</w:t>
      </w:r>
    </w:p>
    <w:p>
      <w:pPr>
        <w:pStyle w:val="Heading2"/>
        <w:spacing w:before="220" w:after="100"/>
      </w:pPr>
      <w:r>
        <w:rPr>
          <w:b/>
          <w:bCs/>
          <w:color w:val="1F4E79"/>
          <w:sz w:val="26"/>
          <w:szCs w:val="26"/>
        </w:rPr>
        <w:t xml:space="preserve">搜索流水线</w:t>
      </w:r>
    </w:p>
    <w:p>
      <w:pPr>
        <w:shd w:fill="F3F4F6" w:val="clear"/>
        <w:spacing w:before="80" w:after="80"/>
      </w:pPr>
      <w:r>
        <w:rPr>
          <w:rFonts w:ascii="Consolas" w:cs="Consolas" w:eastAsia="Consolas" w:hAnsi="Consolas"/>
          <w:sz w:val="18"/>
          <w:szCs w:val="18"/>
        </w:rPr>
        <w:t xml:space="preserve">INTENT_PARSE -&gt; ENTITY_RESOLUTION -&gt; QUERY_PLAN</w:t>
      </w:r>
    </w:p>
    <w:p>
      <w:pPr>
        <w:shd w:fill="F3F4F6" w:val="clear"/>
        <w:spacing w:before="80" w:after="80"/>
      </w:pPr>
      <w:r>
        <w:rPr>
          <w:rFonts w:ascii="Consolas" w:cs="Consolas" w:eastAsia="Consolas" w:hAnsi="Consolas"/>
          <w:sz w:val="18"/>
          <w:szCs w:val="18"/>
        </w:rPr>
        <w:t xml:space="preserve">  -&gt; OFFICIAL / LIBRARY / OER / GITHUB / COMMUNITY SEARCH</w:t>
      </w:r>
    </w:p>
    <w:p>
      <w:pPr>
        <w:shd w:fill="F3F4F6" w:val="clear"/>
        <w:spacing w:before="80" w:after="80"/>
      </w:pPr>
      <w:r>
        <w:rPr>
          <w:rFonts w:ascii="Consolas" w:cs="Consolas" w:eastAsia="Consolas" w:hAnsi="Consolas"/>
          <w:sz w:val="18"/>
          <w:szCs w:val="18"/>
        </w:rPr>
        <w:t xml:space="preserve">  -&gt; NORMALIZE -&gt; DEDUPLICATE -&gt; SOURCE TIER</w:t>
      </w:r>
    </w:p>
    <w:p>
      <w:pPr>
        <w:shd w:fill="F3F4F6" w:val="clear"/>
        <w:spacing w:before="80" w:after="80"/>
      </w:pPr>
      <w:r>
        <w:rPr>
          <w:rFonts w:ascii="Consolas" w:cs="Consolas" w:eastAsia="Consolas" w:hAnsi="Consolas"/>
          <w:sz w:val="18"/>
          <w:szCs w:val="18"/>
        </w:rPr>
        <w:t xml:space="preserve">  -&gt; LICENSE/ACCESS CHECK</w:t>
      </w:r>
    </w:p>
    <w:p>
      <w:pPr>
        <w:shd w:fill="F3F4F6" w:val="clear"/>
        <w:spacing w:before="80" w:after="80"/>
      </w:pPr>
      <w:r>
        <w:rPr>
          <w:rFonts w:ascii="Consolas" w:cs="Consolas" w:eastAsia="Consolas" w:hAnsi="Consolas"/>
          <w:sz w:val="18"/>
          <w:szCs w:val="18"/>
        </w:rPr>
        <w:t xml:space="preserve">     |-- LINK_ONLY</w:t>
      </w:r>
    </w:p>
    <w:p>
      <w:pPr>
        <w:shd w:fill="F3F4F6" w:val="clear"/>
        <w:spacing w:before="80" w:after="80"/>
      </w:pPr>
      <w:r>
        <w:rPr>
          <w:rFonts w:ascii="Consolas" w:cs="Consolas" w:eastAsia="Consolas" w:hAnsi="Consolas"/>
          <w:sz w:val="18"/>
          <w:szCs w:val="18"/>
        </w:rPr>
        <w:t xml:space="preserve">     |-- PRIVATE_IMPORT</w:t>
      </w:r>
    </w:p>
    <w:p>
      <w:pPr>
        <w:shd w:fill="F3F4F6" w:val="clear"/>
        <w:spacing w:before="80" w:after="80"/>
      </w:pPr>
      <w:r>
        <w:rPr>
          <w:rFonts w:ascii="Consolas" w:cs="Consolas" w:eastAsia="Consolas" w:hAnsi="Consolas"/>
          <w:sz w:val="18"/>
          <w:szCs w:val="18"/>
        </w:rPr>
        <w:t xml:space="preserve">     |-- OPEN_LICENSE_IMPORT</w:t>
      </w:r>
    </w:p>
    <w:p>
      <w:pPr>
        <w:shd w:fill="F3F4F6" w:val="clear"/>
        <w:spacing w:before="80" w:after="80"/>
      </w:pPr>
      <w:r>
        <w:rPr>
          <w:rFonts w:ascii="Consolas" w:cs="Consolas" w:eastAsia="Consolas" w:hAnsi="Consolas"/>
          <w:sz w:val="18"/>
          <w:szCs w:val="18"/>
        </w:rPr>
        <w:t xml:space="preserve">     +-- BLOCK_IMPORT</w:t>
      </w:r>
    </w:p>
    <w:p>
      <w:pPr>
        <w:shd w:fill="F3F4F6" w:val="clear"/>
        <w:spacing w:before="80" w:after="80"/>
      </w:pPr>
      <w:r>
        <w:rPr>
          <w:rFonts w:ascii="Consolas" w:cs="Consolas" w:eastAsia="Consolas" w:hAnsi="Consolas"/>
          <w:sz w:val="18"/>
          <w:szCs w:val="18"/>
        </w:rPr>
        <w:t xml:space="preserve">  -&gt; PARSE -&gt; EXTRACT OBJECTS -&gt; HUMAN REVIEW -&gt; INDEX</w:t>
      </w:r>
    </w:p>
    <w:p>
      <w:pPr>
        <w:pStyle w:val="Heading2"/>
        <w:spacing w:before="220" w:after="100"/>
      </w:pPr>
      <w:r>
        <w:rPr>
          <w:b/>
          <w:bCs/>
          <w:color w:val="1F4E79"/>
          <w:sz w:val="26"/>
          <w:szCs w:val="26"/>
        </w:rPr>
        <w:t xml:space="preserve">来源等级</w:t>
      </w:r>
    </w:p>
    <w:tbl>
      <w:tblPr>
        <w:tblW w:type="dxa" w:w="9360"/>
        <w:tblBorders>
          <w:top w:val="single" w:color="B7C9D6" w:sz="4"/>
          <w:left w:val="single" w:color="B7C9D6" w:sz="4"/>
          <w:bottom w:val="single" w:color="B7C9D6" w:sz="4"/>
          <w:right w:val="single" w:color="B7C9D6" w:sz="4"/>
          <w:insideH w:val="single" w:color="D8E2EA" w:sz="2"/>
          <w:insideV w:val="single" w:color="D8E2EA" w:sz="2"/>
        </w:tblBorders>
      </w:tblPr>
      <w:tblGrid>
        <w:gridCol w:w="1000"/>
        <w:gridCol w:w="4300"/>
        <w:gridCol w:w="4060"/>
      </w:tblGrid>
      <w:tr>
        <w:trPr>
          <w:tblHeader/>
        </w:trPr>
        <w:tc>
          <w:tcPr>
            <w:tcW w:type="dxa" w:w="1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等级</w:t>
            </w:r>
          </w:p>
        </w:tc>
        <w:tc>
          <w:tcPr>
            <w:tcW w:type="dxa" w:w="4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来源</w:t>
            </w:r>
          </w:p>
        </w:tc>
        <w:tc>
          <w:tcPr>
            <w:tcW w:type="dxa" w:w="40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策略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大学官方课程站、官方图书馆、官方 GitHub。</w:t>
            </w:r>
          </w:p>
        </w:tc>
        <w:tc>
          <w:tcPr>
            <w:tcW w:type="dxa" w:w="4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优先检索和引用。</w:t>
            </w:r>
          </w:p>
        </w:tc>
      </w:tr>
      <w:tr>
        <w:tc>
          <w:tcPr>
            <w:tcW w:type="dxa" w:w="10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</w:t>
            </w:r>
          </w:p>
        </w:tc>
        <w:tc>
          <w:tcPr>
            <w:tcW w:type="dxa" w:w="43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OpenStax/OER、明确授权公开材料。</w:t>
            </w:r>
          </w:p>
        </w:tc>
        <w:tc>
          <w:tcPr>
            <w:tcW w:type="dxa" w:w="406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按具体 CC 条款导入。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B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社区维护课程资料仓库、可信教师材料。</w:t>
            </w:r>
          </w:p>
        </w:tc>
        <w:tc>
          <w:tcPr>
            <w:tcW w:type="dxa" w:w="4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需检查上游权利和人工复核。</w:t>
            </w:r>
          </w:p>
        </w:tc>
      </w:tr>
      <w:tr>
        <w:tc>
          <w:tcPr>
            <w:tcW w:type="dxa" w:w="10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</w:t>
            </w:r>
          </w:p>
        </w:tc>
        <w:tc>
          <w:tcPr>
            <w:tcW w:type="dxa" w:w="43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博客、论坛、社交媒体。</w:t>
            </w:r>
          </w:p>
        </w:tc>
        <w:tc>
          <w:tcPr>
            <w:tcW w:type="dxa" w:w="406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只作线索，不当官方事实。</w:t>
            </w:r>
          </w:p>
        </w:tc>
      </w:tr>
    </w:tbl>
    <w:p>
      <w:pPr>
        <w:pStyle w:val="Heading2"/>
        <w:spacing w:before="220" w:after="100"/>
      </w:pPr>
      <w:r>
        <w:rPr>
          <w:b/>
          <w:bCs/>
          <w:color w:val="1F4E79"/>
          <w:sz w:val="26"/>
          <w:szCs w:val="26"/>
        </w:rPr>
        <w:t xml:space="preserve">授权边界</w:t>
      </w:r>
    </w:p>
    <w:tbl>
      <w:tblPr>
        <w:tblW w:type="dxa" w:w="9360"/>
        <w:tblBorders>
          <w:top w:val="single" w:color="B7C9D6" w:sz="4"/>
          <w:left w:val="single" w:color="B7C9D6" w:sz="4"/>
          <w:bottom w:val="single" w:color="B7C9D6" w:sz="4"/>
          <w:right w:val="single" w:color="B7C9D6" w:sz="4"/>
          <w:insideH w:val="single" w:color="D8E2EA" w:sz="2"/>
          <w:insideV w:val="single" w:color="D8E2EA" w:sz="2"/>
        </w:tblBorders>
      </w:tblPr>
      <w:tblGrid>
        <w:gridCol w:w="2300"/>
        <w:gridCol w:w="1400"/>
        <w:gridCol w:w="1900"/>
        <w:gridCol w:w="3760"/>
      </w:tblGrid>
      <w:tr>
        <w:trPr>
          <w:tblHeader/>
        </w:trPr>
        <w:tc>
          <w:tcPr>
            <w:tcW w:type="dxa" w:w="2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可链接</w:t>
            </w:r>
          </w:p>
        </w:tc>
        <w:tc>
          <w:tcPr>
            <w:tcW w:type="dxa" w:w="1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可解析</w:t>
            </w:r>
          </w:p>
        </w:tc>
        <w:tc>
          <w:tcPr>
            <w:tcW w:type="dxa" w:w="37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可派生/再分发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UNKNOWN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是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否</w:t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否。</w:t>
            </w:r>
          </w:p>
        </w:tc>
      </w:tr>
      <w:tr>
        <w:tc>
          <w:tcPr>
            <w:tcW w:type="dxa" w:w="23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OPEN_LICENSE</w:t>
            </w:r>
          </w:p>
        </w:tc>
        <w:tc>
          <w:tcPr>
            <w:tcW w:type="dxa" w:w="14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是</w:t>
            </w:r>
          </w:p>
        </w:tc>
        <w:tc>
          <w:tcPr>
            <w:tcW w:type="dxa" w:w="19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是</w:t>
            </w:r>
          </w:p>
        </w:tc>
        <w:tc>
          <w:tcPr>
            <w:tcW w:type="dxa" w:w="376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按署名、非商业、ShareAlike 等条款。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ACCESS_CONTROLLED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是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仅授权用户</w:t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默认否。</w:t>
            </w:r>
          </w:p>
        </w:tc>
      </w:tr>
      <w:tr>
        <w:tc>
          <w:tcPr>
            <w:tcW w:type="dxa" w:w="23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ALL_RIGHTS_RESERVED</w:t>
            </w:r>
          </w:p>
        </w:tc>
        <w:tc>
          <w:tcPr>
            <w:tcW w:type="dxa" w:w="14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是</w:t>
            </w:r>
          </w:p>
        </w:tc>
        <w:tc>
          <w:tcPr>
            <w:tcW w:type="dxa" w:w="19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否</w:t>
            </w:r>
          </w:p>
        </w:tc>
        <w:tc>
          <w:tcPr>
            <w:tcW w:type="dxa" w:w="376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否。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PROHIBITED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仅记录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否</w:t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否。</w:t>
            </w:r>
          </w:p>
        </w:tc>
      </w:tr>
    </w:tbl>
    <w:p>
      <w:pPr>
        <w:spacing w:after="120" w:line="300"/>
      </w:pPr>
      <w:r>
        <w:rPr>
          <w:sz w:val="21"/>
          <w:szCs w:val="21"/>
        </w:rPr>
        <w:t xml:space="preserve">MIT OCW、CMU OLI、OpenStax 等资源虽有开放许可，但常见 CC BY-NC-SA 条款意味着署名、非商业和 ShareAlike 义务不能被忽略。HKU ExamBase 等受限资源只能提供入口与使用说明，不能被绕权抓取或镜像。</w:t>
      </w:r>
    </w:p>
    <w:p>
      <w:pPr>
        <w:spacing w:after="120" w:line="300"/>
      </w:pPr>
      <w:r>
        <w:rPr>
          <w:sz w:val="21"/>
          <w:szCs w:val="21"/>
        </w:rPr>
        <w:t xml:space="preserve">官方课程入口扩展为 HKU Online/edX/Coursera、清华 XuetangX、北大 Global Open Courses、MIT OCW、CMU OLI、Stanford Online、Harvard CS50x、Berkeley 课程站、Open Yale、OpenStax 和 OER Commons。lib-pku、清华课程攻略、USTC-Course 等社区仓库只作为发现线索，不默认进入内容池。</w:t>
      </w:r>
    </w:p>
    <w:p>
      <w:pPr>
        <w:pStyle w:val="Heading1"/>
        <w:pageBreakBefore/>
        <w:spacing w:before="240" w:after="160"/>
      </w:pPr>
      <w:r>
        <w:rPr>
          <w:b/>
          <w:bCs/>
          <w:color w:val="1F4E79"/>
          <w:sz w:val="32"/>
          <w:szCs w:val="32"/>
        </w:rPr>
        <w:t xml:space="preserve">开发计划与验收</w:t>
      </w:r>
    </w:p>
    <w:tbl>
      <w:tblPr>
        <w:tblW w:type="dxa" w:w="9360"/>
        <w:tblBorders>
          <w:top w:val="single" w:color="B7C9D6" w:sz="4"/>
          <w:left w:val="single" w:color="B7C9D6" w:sz="4"/>
          <w:bottom w:val="single" w:color="B7C9D6" w:sz="4"/>
          <w:right w:val="single" w:color="B7C9D6" w:sz="4"/>
          <w:insideH w:val="single" w:color="D8E2EA" w:sz="2"/>
          <w:insideV w:val="single" w:color="D8E2EA" w:sz="2"/>
        </w:tblBorders>
      </w:tblPr>
      <w:tblGrid>
        <w:gridCol w:w="1100"/>
        <w:gridCol w:w="1800"/>
        <w:gridCol w:w="6460"/>
      </w:tblGrid>
      <w:tr>
        <w:trPr>
          <w:tblHeader/>
        </w:trPr>
        <w:tc>
          <w:tcPr>
            <w:tcW w:type="dxa" w:w="1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周次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里程碑</w:t>
            </w:r>
          </w:p>
        </w:tc>
        <w:tc>
          <w:tcPr>
            <w:tcW w:type="dxa" w:w="64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验收 Gate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Week 1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Foundation</w:t>
            </w:r>
          </w:p>
        </w:tc>
        <w:tc>
          <w:tcPr>
            <w:tcW w:type="dxa" w:w="6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Docker Compose 可运行；登录、课程、健康检查、持久化、CI。</w:t>
            </w:r>
          </w:p>
        </w:tc>
      </w:tr>
      <w:tr>
        <w:tc>
          <w:tcPr>
            <w:tcW w:type="dxa" w:w="11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Week 2</w:t>
            </w:r>
          </w:p>
        </w:tc>
        <w:tc>
          <w:tcPr>
            <w:tcW w:type="dxa" w:w="18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Content</w:t>
            </w:r>
          </w:p>
        </w:tc>
        <w:tc>
          <w:tcPr>
            <w:tcW w:type="dxa" w:w="646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PDF 入库；chunk 可回页；重复上传去重。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Week 3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Exam</w:t>
            </w:r>
          </w:p>
        </w:tc>
        <w:tc>
          <w:tcPr>
            <w:tcW w:type="dxa" w:w="6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完整 mock exam；刷新、断网、重复提交不破坏状态。</w:t>
            </w:r>
          </w:p>
        </w:tc>
      </w:tr>
      <w:tr>
        <w:tc>
          <w:tcPr>
            <w:tcW w:type="dxa" w:w="11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Week 4</w:t>
            </w:r>
          </w:p>
        </w:tc>
        <w:tc>
          <w:tcPr>
            <w:tcW w:type="dxa" w:w="18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Grading</w:t>
            </w:r>
          </w:p>
        </w:tc>
        <w:tc>
          <w:tcPr>
            <w:tcW w:type="dxa" w:w="646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自动评分、报告、错题、补救和 golden set。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Week 5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Student Model</w:t>
            </w:r>
          </w:p>
        </w:tc>
        <w:tc>
          <w:tcPr>
            <w:tcW w:type="dxa" w:w="6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错题影响次日计划；复习任务有 next_review_at。</w:t>
            </w:r>
          </w:p>
        </w:tc>
      </w:tr>
      <w:tr>
        <w:tc>
          <w:tcPr>
            <w:tcW w:type="dxa" w:w="11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Week 6</w:t>
            </w:r>
          </w:p>
        </w:tc>
        <w:tc>
          <w:tcPr>
            <w:tcW w:type="dxa" w:w="18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Voice Quiz</w:t>
            </w:r>
          </w:p>
        </w:tc>
        <w:tc>
          <w:tcPr>
            <w:tcW w:type="dxa" w:w="646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语音完整做 20 题；命令、打断、恢复可用。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Week 7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Voice Tutor</w:t>
            </w:r>
          </w:p>
        </w:tc>
        <w:tc>
          <w:tcPr>
            <w:tcW w:type="dxa" w:w="6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提示阶梯、证据讲解、考试权限隔离。</w:t>
            </w:r>
          </w:p>
        </w:tc>
      </w:tr>
      <w:tr>
        <w:tc>
          <w:tcPr>
            <w:tcW w:type="dxa" w:w="11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Week 8</w:t>
            </w:r>
          </w:p>
        </w:tc>
        <w:tc>
          <w:tcPr>
            <w:tcW w:type="dxa" w:w="18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Search</w:t>
            </w:r>
          </w:p>
        </w:tc>
        <w:tc>
          <w:tcPr>
            <w:tcW w:type="dxa" w:w="646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来源化搜索；license state 正确；SSRF 防护。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Week 9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Hardening</w:t>
            </w:r>
          </w:p>
        </w:tc>
        <w:tc>
          <w:tcPr>
            <w:tcW w:type="dxa" w:w="6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测试矩阵、语音评测、评分一致性、安全测试。</w:t>
            </w:r>
          </w:p>
        </w:tc>
      </w:tr>
      <w:tr>
        <w:tc>
          <w:tcPr>
            <w:tcW w:type="dxa" w:w="11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Week 10</w:t>
            </w:r>
          </w:p>
        </w:tc>
        <w:tc>
          <w:tcPr>
            <w:tcW w:type="dxa" w:w="18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Release</w:t>
            </w:r>
          </w:p>
        </w:tc>
        <w:tc>
          <w:tcPr>
            <w:tcW w:type="dxa" w:w="646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Docker build、备份恢复、文档、发布清单全通过。</w:t>
            </w:r>
          </w:p>
        </w:tc>
      </w:tr>
    </w:tbl>
    <w:p>
      <w:pPr>
        <w:pStyle w:val="Heading2"/>
        <w:spacing w:before="220" w:after="100"/>
      </w:pPr>
      <w:r>
        <w:rPr>
          <w:b/>
          <w:bCs/>
          <w:color w:val="1F4E79"/>
          <w:sz w:val="26"/>
          <w:szCs w:val="26"/>
        </w:rPr>
        <w:t xml:space="preserve">MVP Gate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上传资料 -&gt; 解析 -&gt; 题库 -&gt; 考试 -&gt; 评分 -&gt; 错题 -&gt; 复习闭环完整可用。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Student Model 能影响下一轮选题。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语音能完整完成一套题并生成报告。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检索结果具备来源、授权状态和可解释排序。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客户端无法通过改时间、刷新、重复提交或并发请求破坏考试。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lint、typecheck、unit、integration、E2E smoke 全部通过。</w:t>
      </w:r>
    </w:p>
    <w:p>
      <w:pPr>
        <w:pStyle w:val="Heading1"/>
        <w:pageBreakBefore/>
        <w:spacing w:before="240" w:after="160"/>
      </w:pPr>
      <w:r>
        <w:rPr>
          <w:b/>
          <w:bCs/>
          <w:color w:val="1F4E79"/>
          <w:sz w:val="32"/>
          <w:szCs w:val="32"/>
        </w:rPr>
        <w:t xml:space="preserve">AI 开发提示词包</w:t>
      </w:r>
    </w:p>
    <w:p>
      <w:pPr>
        <w:spacing w:after="120" w:line="300"/>
      </w:pPr>
      <w:r>
        <w:rPr>
          <w:sz w:val="21"/>
          <w:szCs w:val="21"/>
        </w:rPr>
        <w:t xml:space="preserve">完整提示词保存在 `docs/07_AI_AGENT_PROMPT_PACK.md`，可直接复制给 Codex、Claude Code 或其他 coding agent。建议一次只给一个角色提示词和一个明确任务。</w:t>
      </w:r>
    </w:p>
    <w:tbl>
      <w:tblPr>
        <w:tblW w:type="dxa" w:w="9360"/>
        <w:tblBorders>
          <w:top w:val="single" w:color="B7C9D6" w:sz="4"/>
          <w:left w:val="single" w:color="B7C9D6" w:sz="4"/>
          <w:bottom w:val="single" w:color="B7C9D6" w:sz="4"/>
          <w:right w:val="single" w:color="B7C9D6" w:sz="4"/>
          <w:insideH w:val="single" w:color="D8E2EA" w:sz="2"/>
          <w:insideV w:val="single" w:color="D8E2EA" w:sz="2"/>
        </w:tblBorders>
      </w:tblPr>
      <w:tblGrid>
        <w:gridCol w:w="2100"/>
        <w:gridCol w:w="2200"/>
        <w:gridCol w:w="5060"/>
      </w:tblGrid>
      <w:tr>
        <w:trPr>
          <w:tblHeader/>
        </w:trPr>
        <w:tc>
          <w:tcPr>
            <w:tcW w:type="dxa" w:w="2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提示词</w:t>
            </w:r>
          </w:p>
        </w:tc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50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关键输出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Master System Prompt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全局工程约束。</w:t>
            </w:r>
          </w:p>
        </w:tc>
        <w:tc>
          <w:tcPr>
            <w:tcW w:type="dxa" w:w="5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技术默认值、禁止行为、工作循环。</w:t>
            </w:r>
          </w:p>
        </w:tc>
      </w:tr>
      <w:tr>
        <w:tc>
          <w:tcPr>
            <w:tcW w:type="dxa" w:w="21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Bootstrap Monorepo</w:t>
            </w:r>
          </w:p>
        </w:tc>
        <w:tc>
          <w:tcPr>
            <w:tcW w:type="dxa" w:w="22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初始化项目。</w:t>
            </w:r>
          </w:p>
        </w:tc>
        <w:tc>
          <w:tcPr>
            <w:tcW w:type="dxa" w:w="506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服务目录、Compose、migration、CI。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Content Pipeline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文档摄取。</w:t>
            </w:r>
          </w:p>
        </w:tc>
        <w:tc>
          <w:tcPr>
            <w:tcW w:type="dxa" w:w="5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解析、证据、切块、索引、幂等任务。</w:t>
            </w:r>
          </w:p>
        </w:tc>
      </w:tr>
      <w:tr>
        <w:tc>
          <w:tcPr>
            <w:tcW w:type="dxa" w:w="21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Exam Engine</w:t>
            </w:r>
          </w:p>
        </w:tc>
        <w:tc>
          <w:tcPr>
            <w:tcW w:type="dxa" w:w="22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考试核心。</w:t>
            </w:r>
          </w:p>
        </w:tc>
        <w:tc>
          <w:tcPr>
            <w:tcW w:type="dxa" w:w="506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服务端计时、事件、幂等提交和测试。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Grading Service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评分路由。</w:t>
            </w:r>
          </w:p>
        </w:tc>
        <w:tc>
          <w:tcPr>
            <w:tcW w:type="dxa" w:w="5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确定性评分、rubric、judge schema。</w:t>
            </w:r>
          </w:p>
        </w:tc>
      </w:tr>
      <w:tr>
        <w:tc>
          <w:tcPr>
            <w:tcW w:type="dxa" w:w="21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Student Model</w:t>
            </w:r>
          </w:p>
        </w:tc>
        <w:tc>
          <w:tcPr>
            <w:tcW w:type="dxa" w:w="22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学生状态。</w:t>
            </w:r>
          </w:p>
        </w:tc>
        <w:tc>
          <w:tcPr>
            <w:tcW w:type="dxa" w:w="506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mastery、误解、遗忘风险、复习队列。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Voice Quiz FSM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语音做题。</w:t>
            </w:r>
          </w:p>
        </w:tc>
        <w:tc>
          <w:tcPr>
            <w:tcW w:type="dxa" w:w="5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状态机、意图、打断、恢复、latency。</w:t>
            </w:r>
          </w:p>
        </w:tc>
      </w:tr>
      <w:tr>
        <w:tc>
          <w:tcPr>
            <w:tcW w:type="dxa" w:w="21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Search Agent</w:t>
            </w:r>
          </w:p>
        </w:tc>
        <w:tc>
          <w:tcPr>
            <w:tcW w:type="dxa" w:w="22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资源发现。</w:t>
            </w:r>
          </w:p>
        </w:tc>
        <w:tc>
          <w:tcPr>
            <w:tcW w:type="dxa" w:w="506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来源分级、授权、抓取安全和证据。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Course Generator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课程生成。</w:t>
            </w:r>
          </w:p>
        </w:tc>
        <w:tc>
          <w:tcPr>
            <w:tcW w:type="dxa" w:w="5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目标 -&gt; 能力 -&gt; 概念 -&gt; 大纲 -&gt; 内容 -&gt; 测验。</w:t>
            </w:r>
          </w:p>
        </w:tc>
      </w:tr>
      <w:tr>
        <w:tc>
          <w:tcPr>
            <w:tcW w:type="dxa" w:w="21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Review/Release</w:t>
            </w:r>
          </w:p>
        </w:tc>
        <w:tc>
          <w:tcPr>
            <w:tcW w:type="dxa" w:w="22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质量门槛。</w:t>
            </w:r>
          </w:p>
        </w:tc>
        <w:tc>
          <w:tcPr>
            <w:tcW w:type="dxa" w:w="506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问题分级和发布证据。</w:t>
            </w:r>
          </w:p>
        </w:tc>
      </w:tr>
    </w:tbl>
    <w:p>
      <w:pPr>
        <w:pStyle w:val="Heading1"/>
        <w:pageBreakBefore/>
        <w:spacing w:before="240" w:after="160"/>
      </w:pPr>
      <w:r>
        <w:rPr>
          <w:b/>
          <w:bCs/>
          <w:color w:val="1F4E79"/>
          <w:sz w:val="32"/>
          <w:szCs w:val="32"/>
        </w:rPr>
        <w:t xml:space="preserve">风险控制与合规</w:t>
      </w:r>
    </w:p>
    <w:p>
      <w:pPr>
        <w:pStyle w:val="Heading2"/>
        <w:spacing w:before="220" w:after="100"/>
      </w:pPr>
      <w:r>
        <w:rPr>
          <w:b/>
          <w:bCs/>
          <w:color w:val="1F4E79"/>
          <w:sz w:val="26"/>
          <w:szCs w:val="26"/>
        </w:rPr>
        <w:t xml:space="preserve">安全基线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所有 API 默认鉴权，对象存储默认私有，signed URL 短期有效。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搜索执行 DNS 解析后校验地址，拒绝内网、metadata、localhost 和危险 scheme。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模型生成代码只在无敏感挂载的沙箱执行。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外部网页、PDF 和学生答案均视为 untrusted data，防止 prompt injection。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模型无法读取 secret，工具权限由服务端状态机决定。</w:t>
      </w:r>
    </w:p>
    <w:p>
      <w:pPr>
        <w:pStyle w:val="Heading2"/>
        <w:spacing w:before="220" w:after="100"/>
      </w:pPr>
      <w:r>
        <w:rPr>
          <w:b/>
          <w:bCs/>
          <w:color w:val="1F4E79"/>
          <w:sz w:val="26"/>
          <w:szCs w:val="26"/>
        </w:rPr>
        <w:t xml:space="preserve">隐私模式</w:t>
      </w:r>
    </w:p>
    <w:tbl>
      <w:tblPr>
        <w:tblW w:type="dxa" w:w="9360"/>
        <w:tblBorders>
          <w:top w:val="single" w:color="B7C9D6" w:sz="4"/>
          <w:left w:val="single" w:color="B7C9D6" w:sz="4"/>
          <w:bottom w:val="single" w:color="B7C9D6" w:sz="4"/>
          <w:right w:val="single" w:color="B7C9D6" w:sz="4"/>
          <w:insideH w:val="single" w:color="D8E2EA" w:sz="2"/>
          <w:insideV w:val="single" w:color="D8E2EA" w:sz="2"/>
        </w:tblBorders>
      </w:tblPr>
      <w:tblGrid>
        <w:gridCol w:w="1200"/>
        <w:gridCol w:w="4900"/>
        <w:gridCol w:w="3260"/>
      </w:tblGrid>
      <w:tr>
        <w:trPr>
          <w:tblHeader/>
        </w:trPr>
        <w:tc>
          <w:tcPr>
            <w:tcW w:type="dxa" w:w="1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模式</w:t>
            </w:r>
          </w:p>
        </w:tc>
        <w:tc>
          <w:tcPr>
            <w:tcW w:type="dxa" w:w="4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数据路径</w:t>
            </w:r>
          </w:p>
        </w:tc>
        <w:tc>
          <w:tcPr>
            <w:tcW w:type="dxa" w:w="32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适用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Local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文档、音频、推理留在本机或局域网。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隐私优先。</w:t>
            </w:r>
          </w:p>
        </w:tc>
      </w:tr>
      <w:tr>
        <w:tc>
          <w:tcPr>
            <w:tcW w:type="dxa" w:w="12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Cloud</w:t>
            </w:r>
          </w:p>
        </w:tc>
        <w:tc>
          <w:tcPr>
            <w:tcW w:type="dxa" w:w="490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按配置使用云端模型或语音。</w:t>
            </w:r>
          </w:p>
        </w:tc>
        <w:tc>
          <w:tcPr>
            <w:tcW w:type="dxa" w:w="3260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质量与维护优先。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Hybrid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本地 ASR/个人上下文，必要任务云端推理。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平衡隐私、质量和成本。</w:t>
            </w:r>
          </w:p>
        </w:tc>
      </w:tr>
    </w:tbl>
    <w:p>
      <w:pPr>
        <w:pStyle w:val="Heading2"/>
        <w:spacing w:before="220" w:after="100"/>
      </w:pPr>
      <w:r>
        <w:rPr>
          <w:b/>
          <w:bCs/>
          <w:color w:val="1F4E79"/>
          <w:sz w:val="26"/>
          <w:szCs w:val="26"/>
        </w:rPr>
        <w:t xml:space="preserve">版权决策</w:t>
      </w:r>
    </w:p>
    <w:p>
      <w:pPr>
        <w:spacing w:after="120" w:line="300"/>
      </w:pPr>
      <w:r>
        <w:rPr>
          <w:sz w:val="21"/>
          <w:szCs w:val="21"/>
        </w:rPr>
        <w:t xml:space="preserve">系统必须将“来源可访问”“可私下学习”“可派生”“可再分发”“可训练”拆成独立字段。没有明确授权时，系统只能提供链接、摘要和人工复核入口。对 CC BY-NC-SA 资源，系统必须保留署名、非商业和 ShareAlike 信息，并把派生物与原资源关联。</w:t>
      </w:r>
    </w:p>
    <w:p>
      <w:pPr>
        <w:pStyle w:val="Heading1"/>
        <w:pageBreakBefore/>
        <w:spacing w:before="240" w:after="160"/>
      </w:pPr>
      <w:r>
        <w:rPr>
          <w:b/>
          <w:bCs/>
          <w:color w:val="1F4E79"/>
          <w:sz w:val="32"/>
          <w:szCs w:val="32"/>
        </w:rPr>
        <w:t xml:space="preserve">最终定版结论</w:t>
      </w:r>
    </w:p>
    <w:p>
      <w:pPr>
        <w:spacing w:after="120" w:line="300"/>
      </w:pPr>
      <w:r>
        <w:rPr>
          <w:sz w:val="21"/>
          <w:szCs w:val="21"/>
        </w:rPr>
        <w:t xml:space="preserve">本项目的最佳路线不是复刻某一个开源项目，而是组合 2026 年已经验证的能力拼图：DeepTutor 的长期学习工作台与 RAG，OpenMAIC 的可恢复课程生成，CMU OLI/OLI Torus 的 learning-by-doing 与课程运行时，OATutor 的 BKT 和提示阶梯，LiveKit 的实时语音基础设施，EduStudio/pyKT/FSRS 的学习建模与复习，MinerU/Docling/olmOCR 的文档解析。真正需要自研的是考试事务、三图共享概念空间、学生模型、错因诊断、授权治理和教学评测。</w:t>
      </w:r>
    </w:p>
    <w:p>
      <w:pPr>
        <w:spacing w:after="120" w:line="300"/>
      </w:pPr>
      <w:r>
        <w:rPr>
          <w:sz w:val="21"/>
          <w:szCs w:val="21"/>
        </w:rPr>
        <w:t xml:space="preserve">v2.2 定版文档已经将产品、架构、接口、数据、开发计划、提示词、课程源种子、Backlog、部署运维和合规边界拆成可执行交付物。下一步应从 Week 1 Foundation 开始开发，优先完成上传 -&gt; 解析 -&gt; 考试 -&gt; 评分 -&gt; 错题闭环，再叠加个性化与语音。</w:t>
      </w:r>
    </w:p>
    <w:p>
      <w:pPr>
        <w:spacing w:after="120"/>
      </w:pPr>
    </w:p>
    <w:p>
      <w:pPr>
        <w:spacing w:before="120" w:after="80" w:line="300"/>
      </w:pPr>
      <w:r>
        <w:rPr>
          <w:b/>
          <w:bCs/>
          <w:color w:val="1F4E79"/>
          <w:sz w:val="21"/>
          <w:szCs w:val="21"/>
        </w:rPr>
        <w:t xml:space="preserve">附：交付文档清单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docs/00_EXECUTIVE_SUMMARY.md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docs/01_RESEARCH_EVIDENCE_MATRIX.md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docs/02_PRD_FINAL.md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docs/03_SYSTEM_ARCHITECTURE.md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docs/04_DATA_MODEL_AND_API.md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docs/05_VOICE_EXAM_SEARCH_DESIGN.md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docs/06_DEVELOPMENT_PLAN.md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docs/07_AI_AGENT_PROMPT_PACK.md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docs/08_SECURITY_LICENSE_EVALUATION.md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docs/09_SOURCE_REGISTER.md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docs/10_COURSE_SOURCE_SEEDS.md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docs/11_IMPLEMENTATION_BACKLOG.md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docs/12_DEPLOYMENT_OPERATIONS_RUNBOOK.md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AI Learning OS 2026 深度调研与定版报告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Learning OS 2026 深度调研与定版报告</dc:title>
  <dc:creator>AI Learning OS Project</dc:creator>
  <dc:description>Personal Learning OS research, architecture, and execution plan</dc:description>
  <cp:lastModifiedBy>Un-named</cp:lastModifiedBy>
  <cp:revision>1</cp:revision>
  <dcterms:created xsi:type="dcterms:W3CDTF">2026-08-30T12:18:16.469Z</dcterms:created>
  <dcterms:modified xsi:type="dcterms:W3CDTF">2026-08-30T12:18:16.469Z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