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8DA1" w14:textId="6C36AF0F" w:rsidR="00505CD0" w:rsidRDefault="00505CD0" w:rsidP="00505CD0">
      <w:pPr>
        <w:pStyle w:val="Header"/>
        <w:tabs>
          <w:tab w:val="clear" w:pos="4320"/>
          <w:tab w:val="clear" w:pos="8640"/>
        </w:tabs>
        <w:spacing w:line="480" w:lineRule="auto"/>
        <w:jc w:val="both"/>
        <w:rPr>
          <w:rFonts w:ascii="Times New Roman" w:hAnsi="Times New Roman"/>
          <w:bCs/>
          <w:szCs w:val="22"/>
        </w:rPr>
      </w:pPr>
      <w:r>
        <w:rPr>
          <w:rFonts w:ascii="Times New Roman" w:hAnsi="Times New Roman"/>
          <w:bCs/>
          <w:szCs w:val="22"/>
        </w:rPr>
        <w:t>The proposed projection framework uses stochastic biological inputs and deterministic management control rules to produce probabilistic outcomes. A key focus of the approach is simplicity and transparency and the outlined model here will be developed further across future projects. The estimated abundance (</w:t>
      </w:r>
      <m:oMath>
        <m:sSub>
          <m:sSubPr>
            <m:ctrlPr>
              <w:rPr>
                <w:rFonts w:ascii="Cambria Math" w:hAnsi="Cambria Math"/>
                <w:i/>
              </w:rPr>
            </m:ctrlPr>
          </m:sSubPr>
          <m:e>
            <m:r>
              <w:rPr>
                <w:rFonts w:ascii="Cambria Math" w:hAnsi="Cambria Math"/>
              </w:rPr>
              <m:t>N</m:t>
            </m:r>
          </m:e>
          <m:sub>
            <m:r>
              <w:rPr>
                <w:rFonts w:ascii="Cambria Math" w:hAnsi="Cambria Math"/>
              </w:rPr>
              <m:t>l,a,t1</m:t>
            </m:r>
          </m:sub>
        </m:sSub>
      </m:oMath>
      <w:r>
        <w:rPr>
          <w:rFonts w:ascii="Times New Roman" w:hAnsi="Times New Roman"/>
        </w:rPr>
        <w:t xml:space="preserve">) </w:t>
      </w:r>
      <w:r>
        <w:rPr>
          <w:rFonts w:ascii="Times New Roman" w:hAnsi="Times New Roman"/>
          <w:bCs/>
          <w:szCs w:val="22"/>
        </w:rPr>
        <w:t>at shell height (</w:t>
      </w:r>
      <w:r>
        <w:rPr>
          <w:rFonts w:ascii="Times New Roman" w:hAnsi="Times New Roman"/>
          <w:bCs/>
          <w:i/>
          <w:iCs/>
          <w:szCs w:val="22"/>
        </w:rPr>
        <w:t>l</w:t>
      </w:r>
      <w:r>
        <w:rPr>
          <w:rFonts w:ascii="Times New Roman" w:hAnsi="Times New Roman"/>
          <w:bCs/>
          <w:szCs w:val="22"/>
        </w:rPr>
        <w:t>, mm) in each sub-area (</w:t>
      </w:r>
      <w:r>
        <w:rPr>
          <w:rFonts w:ascii="Times New Roman" w:hAnsi="Times New Roman"/>
          <w:bCs/>
          <w:i/>
          <w:iCs/>
          <w:szCs w:val="22"/>
        </w:rPr>
        <w:t>a</w:t>
      </w:r>
      <w:r>
        <w:rPr>
          <w:rFonts w:ascii="Times New Roman" w:hAnsi="Times New Roman"/>
          <w:bCs/>
          <w:szCs w:val="22"/>
        </w:rPr>
        <w:t>) at the early stages of the first fishing year (</w:t>
      </w:r>
      <w:r w:rsidRPr="00002992">
        <w:rPr>
          <w:rFonts w:ascii="Times New Roman" w:hAnsi="Times New Roman"/>
          <w:bCs/>
          <w:i/>
          <w:iCs/>
          <w:szCs w:val="22"/>
        </w:rPr>
        <w:t>t1</w:t>
      </w:r>
      <w:r>
        <w:rPr>
          <w:rFonts w:ascii="Times New Roman" w:hAnsi="Times New Roman"/>
          <w:bCs/>
          <w:szCs w:val="22"/>
        </w:rPr>
        <w:t>) will be estimated directly from fishery-independent survey estimates. These estimates will be for scallops greater than 40 mm shell height to ensure consistent selectivity among survey gears, however observations of smaller scallops from optical surveys will serve as recruitment estimates in the projection framework. The initial abundance estimates will be projected to the end of the first fishing year (</w:t>
      </w:r>
      <m:oMath>
        <m:sSub>
          <m:sSubPr>
            <m:ctrlPr>
              <w:rPr>
                <w:rFonts w:ascii="Cambria Math" w:hAnsi="Cambria Math"/>
                <w:i/>
              </w:rPr>
            </m:ctrlPr>
          </m:sSubPr>
          <m:e>
            <m:r>
              <w:rPr>
                <w:rFonts w:ascii="Cambria Math" w:hAnsi="Cambria Math"/>
              </w:rPr>
              <m:t>N</m:t>
            </m:r>
          </m:e>
          <m:sub>
            <m:r>
              <w:rPr>
                <w:rFonts w:ascii="Cambria Math" w:hAnsi="Cambria Math"/>
              </w:rPr>
              <m:t>l2,a,t2</m:t>
            </m:r>
          </m:sub>
        </m:sSub>
      </m:oMath>
      <w:r>
        <w:rPr>
          <w:rFonts w:ascii="Times New Roman" w:hAnsi="Times New Roman"/>
          <w:bCs/>
          <w:szCs w:val="22"/>
        </w:rPr>
        <w:t>)</w:t>
      </w:r>
      <w:r>
        <w:rPr>
          <w:rFonts w:ascii="Times New Roman" w:hAnsi="Times New Roman"/>
          <w:bCs/>
          <w:i/>
          <w:iCs/>
          <w:szCs w:val="22"/>
        </w:rPr>
        <w:t xml:space="preserve"> </w:t>
      </w:r>
      <w:r>
        <w:rPr>
          <w:rFonts w:ascii="Times New Roman" w:hAnsi="Times New Roman"/>
          <w:bCs/>
          <w:szCs w:val="22"/>
        </w:rPr>
        <w:t>using area-specific growth and natural mortality (</w:t>
      </w:r>
      <w:r>
        <w:rPr>
          <w:rFonts w:ascii="Times New Roman" w:hAnsi="Times New Roman"/>
          <w:bCs/>
          <w:i/>
          <w:iCs/>
          <w:szCs w:val="22"/>
        </w:rPr>
        <w:t>M</w:t>
      </w:r>
      <w:r>
        <w:rPr>
          <w:rFonts w:ascii="Times New Roman" w:hAnsi="Times New Roman"/>
          <w:bCs/>
          <w:szCs w:val="22"/>
        </w:rPr>
        <w:t xml:space="preserve">) assumptions (Equations 1 and 2) (Hilborn and Walters 1992; Quinn and Deriso 1999). Growth will use area-specific von </w:t>
      </w:r>
      <w:proofErr w:type="spellStart"/>
      <w:r>
        <w:rPr>
          <w:rFonts w:ascii="Times New Roman" w:hAnsi="Times New Roman"/>
          <w:bCs/>
          <w:szCs w:val="22"/>
        </w:rPr>
        <w:t>Bertalanffy</w:t>
      </w:r>
      <w:proofErr w:type="spellEnd"/>
      <w:r>
        <w:rPr>
          <w:rFonts w:ascii="Times New Roman" w:hAnsi="Times New Roman"/>
          <w:bCs/>
          <w:szCs w:val="22"/>
        </w:rPr>
        <w:t xml:space="preserve"> parameters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Pr>
          <w:rFonts w:ascii="Times New Roman" w:hAnsi="Times New Roman"/>
        </w:rPr>
        <w:t xml:space="preserve"> and </w:t>
      </w:r>
      <w:r>
        <w:rPr>
          <w:rFonts w:ascii="Times New Roman" w:hAnsi="Times New Roman"/>
          <w:i/>
          <w:iCs/>
        </w:rPr>
        <w:t>k</w:t>
      </w:r>
      <w:r>
        <w:rPr>
          <w:rFonts w:ascii="Times New Roman" w:hAnsi="Times New Roman"/>
          <w:bCs/>
          <w:szCs w:val="22"/>
        </w:rPr>
        <w:t>) to increase the observed shell heights from surveys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Pr>
          <w:rFonts w:ascii="Times New Roman" w:hAnsi="Times New Roman"/>
          <w:bCs/>
          <w:szCs w:val="22"/>
        </w:rPr>
        <w:t>) to the end of the fishing year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Pr>
          <w:rFonts w:ascii="Times New Roman" w:hAnsi="Times New Roman"/>
          <w:bCs/>
          <w:szCs w:val="22"/>
        </w:rPr>
        <w:t xml:space="preserve">) and incorporate smaller scallops recruiting into the fishable population (Equation 2) (Stokesbury et al 2007). Direct survey observations of </w:t>
      </w:r>
      <w:proofErr w:type="gramStart"/>
      <w:r>
        <w:rPr>
          <w:rFonts w:ascii="Times New Roman" w:hAnsi="Times New Roman"/>
          <w:bCs/>
          <w:szCs w:val="22"/>
        </w:rPr>
        <w:t>scallops</w:t>
      </w:r>
      <w:proofErr w:type="gramEnd"/>
      <w:r>
        <w:rPr>
          <w:rFonts w:ascii="Times New Roman" w:hAnsi="Times New Roman"/>
          <w:bCs/>
          <w:szCs w:val="22"/>
        </w:rPr>
        <w:t xml:space="preserve"> less than 40 mm shell height from optical surveys will grow into </w:t>
      </w:r>
      <w:proofErr w:type="gramStart"/>
      <w:r>
        <w:rPr>
          <w:rFonts w:ascii="Times New Roman" w:hAnsi="Times New Roman"/>
          <w:bCs/>
          <w:szCs w:val="22"/>
        </w:rPr>
        <w:t>the</w:t>
      </w:r>
      <w:proofErr w:type="gramEnd"/>
      <w:r>
        <w:rPr>
          <w:rFonts w:ascii="Times New Roman" w:hAnsi="Times New Roman"/>
          <w:bCs/>
          <w:szCs w:val="22"/>
        </w:rPr>
        <w:t xml:space="preserve"> greater than 40 mm population throughout the first year.</w:t>
      </w:r>
    </w:p>
    <w:p w14:paraId="7CCB0338" w14:textId="77777777" w:rsidR="00505CD0" w:rsidRPr="00001E2B" w:rsidRDefault="00000000" w:rsidP="00505CD0">
      <w:pPr>
        <w:pStyle w:val="ListParagraph"/>
        <w:spacing w:line="480" w:lineRule="auto"/>
        <w:ind w:left="360"/>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l2,a,t2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l,a,t1</m:t>
                  </m:r>
                </m:sub>
              </m:sSub>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t2-t1</m:t>
                          </m:r>
                        </m:e>
                      </m:d>
                    </m:e>
                  </m:d>
                </m:sup>
              </m:sSup>
              <m:r>
                <w:rPr>
                  <w:rFonts w:ascii="Cambria Math" w:hAnsi="Cambria Math"/>
                </w:rPr>
                <m:t>#</m:t>
              </m:r>
              <m:d>
                <m:dPr>
                  <m:ctrlPr>
                    <w:rPr>
                      <w:rFonts w:ascii="Cambria Math" w:eastAsiaTheme="minorEastAsia" w:hAnsi="Cambria Math"/>
                      <w:i/>
                    </w:rPr>
                  </m:ctrlPr>
                </m:dPr>
                <m:e>
                  <m:r>
                    <w:rPr>
                      <w:rFonts w:ascii="Cambria Math" w:eastAsiaTheme="minorEastAsia" w:hAnsi="Cambria Math"/>
                    </w:rPr>
                    <m:t>Eq 1</m:t>
                  </m:r>
                </m:e>
              </m:d>
              <m:ctrlPr>
                <w:rPr>
                  <w:rFonts w:ascii="Cambria Math" w:hAnsi="Cambria Math"/>
                  <w:i/>
                </w:rPr>
              </m:ctrlPr>
            </m:e>
          </m:eqArr>
        </m:oMath>
      </m:oMathPara>
    </w:p>
    <w:p w14:paraId="13478238" w14:textId="77777777" w:rsidR="00505CD0" w:rsidRPr="005576E9" w:rsidRDefault="00000000" w:rsidP="00505CD0">
      <w:pPr>
        <w:pStyle w:val="ListParagraph"/>
        <w:spacing w:line="480" w:lineRule="auto"/>
        <w:ind w:left="3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d>
                        <m:dPr>
                          <m:ctrlPr>
                            <w:rPr>
                              <w:rFonts w:ascii="Cambria Math" w:hAnsi="Cambria Math"/>
                              <w:i/>
                            </w:rPr>
                          </m:ctrlPr>
                        </m:dPr>
                        <m:e>
                          <m:r>
                            <w:rPr>
                              <w:rFonts w:ascii="Cambria Math" w:hAnsi="Cambria Math"/>
                            </w:rPr>
                            <m:t>t2-t1</m:t>
                          </m:r>
                        </m:e>
                      </m:d>
                    </m:sup>
                  </m:sSup>
                </m:e>
              </m:d>
              <m:r>
                <w:rPr>
                  <w:rFonts w:ascii="Cambria Math" w:hAnsi="Cambria Math"/>
                </w:rPr>
                <m:t>#</m:t>
              </m:r>
              <m:d>
                <m:dPr>
                  <m:ctrlPr>
                    <w:rPr>
                      <w:rFonts w:ascii="Cambria Math" w:hAnsi="Cambria Math"/>
                      <w:i/>
                    </w:rPr>
                  </m:ctrlPr>
                </m:dPr>
                <m:e>
                  <m:r>
                    <w:rPr>
                      <w:rFonts w:ascii="Cambria Math" w:hAnsi="Cambria Math"/>
                    </w:rPr>
                    <m:t>Eq 2</m:t>
                  </m:r>
                </m:e>
              </m:d>
            </m:e>
          </m:eqArr>
        </m:oMath>
      </m:oMathPara>
    </w:p>
    <w:p w14:paraId="395B5006" w14:textId="77777777" w:rsidR="00505CD0" w:rsidRDefault="00505CD0" w:rsidP="00505CD0">
      <w:pPr>
        <w:spacing w:line="480" w:lineRule="auto"/>
        <w:jc w:val="both"/>
      </w:pPr>
      <w:r>
        <w:t>The exploitable biomass-at-size at the end of the first year (</w:t>
      </w:r>
      <m:oMath>
        <m:sSub>
          <m:sSubPr>
            <m:ctrlPr>
              <w:rPr>
                <w:rFonts w:ascii="Cambria Math" w:hAnsi="Cambria Math"/>
                <w:i/>
              </w:rPr>
            </m:ctrlPr>
          </m:sSubPr>
          <m:e>
            <m:r>
              <w:rPr>
                <w:rFonts w:ascii="Cambria Math" w:hAnsi="Cambria Math"/>
              </w:rPr>
              <m:t>B</m:t>
            </m:r>
          </m:e>
          <m:sub>
            <m:r>
              <w:rPr>
                <w:rFonts w:ascii="Cambria Math" w:hAnsi="Cambria Math"/>
              </w:rPr>
              <m:t>l2,a,t2</m:t>
            </m:r>
          </m:sub>
        </m:sSub>
      </m:oMath>
      <w:r>
        <w:t>) (all biomass, yield, and catch metrics will use metric tons of meats unless otherwise stated), before any fishing throughout the first year has been accounted for, will be estimated by multiplying the abundance at size by weight-at-size (</w:t>
      </w:r>
      <m:oMath>
        <m:sSub>
          <m:sSubPr>
            <m:ctrlPr>
              <w:rPr>
                <w:rFonts w:ascii="Cambria Math" w:hAnsi="Cambria Math"/>
                <w:i/>
              </w:rPr>
            </m:ctrlPr>
          </m:sSubPr>
          <m:e>
            <m:r>
              <w:rPr>
                <w:rFonts w:ascii="Cambria Math" w:hAnsi="Cambria Math"/>
              </w:rPr>
              <m:t>w</m:t>
            </m:r>
          </m:e>
          <m:sub>
            <m:r>
              <w:rPr>
                <w:rFonts w:ascii="Cambria Math" w:hAnsi="Cambria Math"/>
              </w:rPr>
              <m:t>l2,a</m:t>
            </m:r>
          </m:sub>
        </m:sSub>
      </m:oMath>
      <w:r>
        <w:t>) derived from area-specific shell height to meat weight relationships and the size-specific selectivity of the commercial fishery dredges (</w:t>
      </w:r>
      <m:oMath>
        <m:sSub>
          <m:sSubPr>
            <m:ctrlPr>
              <w:rPr>
                <w:rFonts w:ascii="Cambria Math" w:hAnsi="Cambria Math"/>
                <w:i/>
              </w:rPr>
            </m:ctrlPr>
          </m:sSubPr>
          <m:e>
            <m:r>
              <w:rPr>
                <w:rFonts w:ascii="Cambria Math" w:hAnsi="Cambria Math"/>
              </w:rPr>
              <m:t>s</m:t>
            </m:r>
          </m:e>
          <m:sub>
            <m:r>
              <w:rPr>
                <w:rFonts w:ascii="Cambria Math" w:hAnsi="Cambria Math"/>
              </w:rPr>
              <m:t>l2</m:t>
            </m:r>
          </m:sub>
        </m:sSub>
      </m:oMath>
      <w:r>
        <w:t xml:space="preserve">) (Equation 3). </w:t>
      </w:r>
    </w:p>
    <w:p w14:paraId="7F19BA10" w14:textId="77777777" w:rsidR="00505CD0" w:rsidRPr="00BD57FE" w:rsidRDefault="00000000" w:rsidP="00505CD0">
      <w:pPr>
        <w:pStyle w:val="ListParagraph"/>
        <w:spacing w:line="480" w:lineRule="auto"/>
        <w:ind w:left="3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l2,a,t2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l2,a,t2</m:t>
                  </m:r>
                </m:sub>
              </m:sSub>
              <m:sSub>
                <m:sSubPr>
                  <m:ctrlPr>
                    <w:rPr>
                      <w:rFonts w:ascii="Cambria Math" w:hAnsi="Cambria Math"/>
                      <w:i/>
                    </w:rPr>
                  </m:ctrlPr>
                </m:sSubPr>
                <m:e>
                  <m:r>
                    <w:rPr>
                      <w:rFonts w:ascii="Cambria Math" w:hAnsi="Cambria Math"/>
                    </w:rPr>
                    <m:t>w</m:t>
                  </m:r>
                </m:e>
                <m:sub>
                  <m:r>
                    <w:rPr>
                      <w:rFonts w:ascii="Cambria Math" w:hAnsi="Cambria Math"/>
                    </w:rPr>
                    <m:t>l2,a</m:t>
                  </m:r>
                </m:sub>
              </m:sSub>
              <m:sSub>
                <m:sSubPr>
                  <m:ctrlPr>
                    <w:rPr>
                      <w:rFonts w:ascii="Cambria Math" w:hAnsi="Cambria Math"/>
                      <w:i/>
                    </w:rPr>
                  </m:ctrlPr>
                </m:sSubPr>
                <m:e>
                  <m:r>
                    <w:rPr>
                      <w:rFonts w:ascii="Cambria Math" w:hAnsi="Cambria Math"/>
                    </w:rPr>
                    <m:t>s</m:t>
                  </m:r>
                </m:e>
                <m:sub>
                  <m:r>
                    <w:rPr>
                      <w:rFonts w:ascii="Cambria Math" w:hAnsi="Cambria Math"/>
                    </w:rPr>
                    <m:t>l2</m:t>
                  </m:r>
                </m:sub>
              </m:sSub>
              <m:r>
                <w:rPr>
                  <w:rFonts w:ascii="Cambria Math" w:hAnsi="Cambria Math"/>
                </w:rPr>
                <m:t>#</m:t>
              </m:r>
              <m:d>
                <m:dPr>
                  <m:ctrlPr>
                    <w:rPr>
                      <w:rFonts w:ascii="Cambria Math" w:hAnsi="Cambria Math"/>
                      <w:i/>
                    </w:rPr>
                  </m:ctrlPr>
                </m:dPr>
                <m:e>
                  <m:r>
                    <w:rPr>
                      <w:rFonts w:ascii="Cambria Math" w:hAnsi="Cambria Math"/>
                    </w:rPr>
                    <m:t>Eq 3</m:t>
                  </m:r>
                </m:e>
              </m:d>
            </m:e>
          </m:eqArr>
        </m:oMath>
      </m:oMathPara>
    </w:p>
    <w:p w14:paraId="1903E762" w14:textId="77777777" w:rsidR="00505CD0" w:rsidRDefault="00505CD0" w:rsidP="00505CD0">
      <w:pPr>
        <w:spacing w:line="480" w:lineRule="auto"/>
        <w:jc w:val="both"/>
      </w:pPr>
      <w:r>
        <w:lastRenderedPageBreak/>
        <w:t xml:space="preserve">The scallop fishery spatial management includes areas open to fishing regulated by an allocation of DAS (open bottom), areas open to fishing through the rotational management plan that are assigned a catch quota, and areas closed to fishing (Hart 2003; Hart and Rago 2006). Open bottom areas are distinguished from open rotational areas by how landings are reported, where all open bottom landings are reported without further distinction of area and open rotational area landings are reported for each rotational access area. Therefore, assigning yield to sub-areas (which are finer spatial classification than rotational areas) is more precise for open rotational areas. </w:t>
      </w:r>
    </w:p>
    <w:p w14:paraId="45D05FE9" w14:textId="77777777" w:rsidR="00505CD0" w:rsidRDefault="00505CD0" w:rsidP="00505CD0">
      <w:pPr>
        <w:spacing w:line="480" w:lineRule="auto"/>
        <w:jc w:val="both"/>
      </w:pPr>
      <w:r>
        <w:t xml:space="preserve">The total exploitable biomass at the end of the first year will be summed across sizes and the sub-areas in each of the three groups (open bottom, open rotational, and closed), where </w:t>
      </w:r>
      <m:oMath>
        <m:sSub>
          <m:sSubPr>
            <m:ctrlPr>
              <w:rPr>
                <w:rFonts w:ascii="Cambria Math" w:hAnsi="Cambria Math"/>
                <w:i/>
              </w:rPr>
            </m:ctrlPr>
          </m:sSubPr>
          <m:e>
            <m:sSup>
              <m:sSupPr>
                <m:ctrlPr>
                  <w:rPr>
                    <w:rFonts w:ascii="Cambria Math" w:hAnsi="Cambria Math"/>
                    <w:i/>
                  </w:rPr>
                </m:ctrlPr>
              </m:sSupPr>
              <m:e>
                <m:r>
                  <w:rPr>
                    <w:rFonts w:ascii="Cambria Math" w:hAnsi="Cambria Math"/>
                  </w:rPr>
                  <m:t>B</m:t>
                </m:r>
              </m:e>
              <m:sup>
                <m:r>
                  <w:rPr>
                    <w:rFonts w:ascii="Cambria Math" w:hAnsi="Cambria Math"/>
                  </w:rPr>
                  <m:t>G</m:t>
                </m:r>
              </m:sup>
            </m:sSup>
          </m:e>
          <m:sub>
            <m:r>
              <w:rPr>
                <w:rFonts w:ascii="Cambria Math" w:hAnsi="Cambria Math"/>
              </w:rPr>
              <m:t>t2</m:t>
            </m:r>
          </m:sub>
        </m:sSub>
      </m:oMath>
      <w:r>
        <w:t xml:space="preserve"> denotes the exploitable biomass for group </w:t>
      </w:r>
      <w:r>
        <w:rPr>
          <w:i/>
          <w:iCs/>
        </w:rPr>
        <w:t>G</w:t>
      </w:r>
      <w:r>
        <w:t xml:space="preserve"> (Equation 4).</w:t>
      </w:r>
    </w:p>
    <w:p w14:paraId="65FC4828" w14:textId="77777777" w:rsidR="00505CD0" w:rsidRDefault="00000000" w:rsidP="00505CD0">
      <w:pPr>
        <w:pStyle w:val="ListParagraph"/>
        <w:spacing w:line="480" w:lineRule="auto"/>
        <w:ind w:left="360"/>
      </w:pPr>
      <m:oMathPara>
        <m:oMath>
          <m:eqArr>
            <m:eqArrPr>
              <m:maxDist m:val="1"/>
              <m:ctrlPr>
                <w:rPr>
                  <w:rFonts w:ascii="Cambria Math" w:hAnsi="Cambria Math"/>
                  <w:i/>
                </w:rPr>
              </m:ctrlPr>
            </m:eqArrPr>
            <m:e>
              <m:sSub>
                <m:sSubPr>
                  <m:ctrlPr>
                    <w:rPr>
                      <w:rFonts w:ascii="Cambria Math" w:hAnsi="Cambria Math"/>
                      <w:i/>
                    </w:rPr>
                  </m:ctrlPr>
                </m:sSubPr>
                <m:e>
                  <m:sSup>
                    <m:sSupPr>
                      <m:ctrlPr>
                        <w:rPr>
                          <w:rFonts w:ascii="Cambria Math" w:hAnsi="Cambria Math"/>
                          <w:i/>
                        </w:rPr>
                      </m:ctrlPr>
                    </m:sSupPr>
                    <m:e>
                      <m:r>
                        <w:rPr>
                          <w:rFonts w:ascii="Cambria Math" w:hAnsi="Cambria Math"/>
                        </w:rPr>
                        <m:t>B</m:t>
                      </m:r>
                    </m:e>
                    <m:sup>
                      <m:r>
                        <w:rPr>
                          <w:rFonts w:ascii="Cambria Math" w:hAnsi="Cambria Math"/>
                        </w:rPr>
                        <m:t>G</m:t>
                      </m:r>
                    </m:sup>
                  </m:sSup>
                </m:e>
                <m:sub>
                  <m:r>
                    <w:rPr>
                      <w:rFonts w:ascii="Cambria Math" w:hAnsi="Cambria Math"/>
                    </w:rPr>
                    <m:t>t2</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a=X</m:t>
                  </m:r>
                </m:sup>
                <m:e>
                  <m:nary>
                    <m:naryPr>
                      <m:chr m:val="∑"/>
                      <m:limLoc m:val="undOvr"/>
                      <m:supHide m:val="1"/>
                      <m:ctrlPr>
                        <w:rPr>
                          <w:rFonts w:ascii="Cambria Math" w:hAnsi="Cambria Math"/>
                          <w:i/>
                        </w:rPr>
                      </m:ctrlPr>
                    </m:naryPr>
                    <m:sub>
                      <m:r>
                        <w:rPr>
                          <w:rFonts w:ascii="Cambria Math" w:hAnsi="Cambria Math"/>
                        </w:rPr>
                        <m:t>l</m:t>
                      </m:r>
                    </m:sub>
                    <m:sup/>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l2,a,t2</m:t>
                              </m:r>
                            </m:sub>
                          </m:sSub>
                        </m:e>
                      </m:d>
                    </m:e>
                  </m:nary>
                </m:e>
              </m:nary>
              <m:r>
                <w:rPr>
                  <w:rFonts w:ascii="Cambria Math" w:hAnsi="Cambria Math"/>
                </w:rPr>
                <m:t>#</m:t>
              </m:r>
              <m:d>
                <m:dPr>
                  <m:ctrlPr>
                    <w:rPr>
                      <w:rFonts w:ascii="Cambria Math" w:hAnsi="Cambria Math"/>
                      <w:i/>
                    </w:rPr>
                  </m:ctrlPr>
                </m:dPr>
                <m:e>
                  <m:r>
                    <w:rPr>
                      <w:rFonts w:ascii="Cambria Math" w:hAnsi="Cambria Math"/>
                    </w:rPr>
                    <m:t>Eq 4</m:t>
                  </m:r>
                </m:e>
              </m:d>
            </m:e>
          </m:eqArr>
        </m:oMath>
      </m:oMathPara>
    </w:p>
    <w:p w14:paraId="1A69108F" w14:textId="77777777" w:rsidR="00505CD0" w:rsidRDefault="00505CD0" w:rsidP="00505CD0">
      <w:pPr>
        <w:spacing w:line="480" w:lineRule="auto"/>
        <w:jc w:val="both"/>
      </w:pPr>
      <w:r>
        <w:t>The exploitable biomass estimates from the two open area groups will then be reduced by the yield removed by the commercial fishery during the first year from each of these regions (</w:t>
      </w:r>
      <m:oMath>
        <m:sSub>
          <m:sSubPr>
            <m:ctrlPr>
              <w:rPr>
                <w:rFonts w:ascii="Cambria Math" w:hAnsi="Cambria Math"/>
                <w:i/>
              </w:rPr>
            </m:ctrlPr>
          </m:sSubPr>
          <m:e>
            <m:sSup>
              <m:sSupPr>
                <m:ctrlPr>
                  <w:rPr>
                    <w:rFonts w:ascii="Cambria Math" w:hAnsi="Cambria Math"/>
                    <w:i/>
                  </w:rPr>
                </m:ctrlPr>
              </m:sSupPr>
              <m:e>
                <m:r>
                  <w:rPr>
                    <w:rFonts w:ascii="Cambria Math" w:hAnsi="Cambria Math"/>
                  </w:rPr>
                  <m:t>Y</m:t>
                </m:r>
              </m:e>
              <m:sup>
                <m:r>
                  <w:rPr>
                    <w:rFonts w:ascii="Cambria Math" w:hAnsi="Cambria Math"/>
                  </w:rPr>
                  <m:t>G=open</m:t>
                </m:r>
              </m:sup>
            </m:sSup>
          </m:e>
          <m:sub>
            <m:r>
              <w:rPr>
                <w:rFonts w:ascii="Cambria Math" w:hAnsi="Cambria Math"/>
              </w:rPr>
              <m:t>t2-t1</m:t>
            </m:r>
          </m:sub>
        </m:sSub>
      </m:oMath>
      <w:r>
        <w:t>) to obtain the exploitable biomass at the beginning of the second year (</w:t>
      </w:r>
      <m:oMath>
        <m:sSub>
          <m:sSubPr>
            <m:ctrlPr>
              <w:rPr>
                <w:rFonts w:ascii="Cambria Math" w:hAnsi="Cambria Math"/>
                <w:i/>
              </w:rPr>
            </m:ctrlPr>
          </m:sSubPr>
          <m:e>
            <m:sSup>
              <m:sSupPr>
                <m:ctrlPr>
                  <w:rPr>
                    <w:rFonts w:ascii="Cambria Math" w:hAnsi="Cambria Math"/>
                    <w:i/>
                  </w:rPr>
                </m:ctrlPr>
              </m:sSupPr>
              <m:e>
                <m:r>
                  <w:rPr>
                    <w:rFonts w:ascii="Cambria Math" w:hAnsi="Cambria Math"/>
                  </w:rPr>
                  <m:t>B</m:t>
                </m:r>
              </m:e>
              <m:sup>
                <m:r>
                  <w:rPr>
                    <w:rFonts w:ascii="Cambria Math" w:hAnsi="Cambria Math"/>
                  </w:rPr>
                  <m:t>G=open</m:t>
                </m:r>
              </m:sup>
            </m:sSup>
          </m:e>
          <m:sub>
            <m:r>
              <w:rPr>
                <w:rFonts w:ascii="Cambria Math" w:hAnsi="Cambria Math"/>
              </w:rPr>
              <m:t>t3</m:t>
            </m:r>
          </m:sub>
        </m:sSub>
      </m:oMath>
      <w:r>
        <w:t>) for each of these groups (Equation 5). This implicitly assumes that yield is directly proportional to exploitable biomass for this first year yield subtraction.</w:t>
      </w:r>
    </w:p>
    <w:p w14:paraId="4BACF240" w14:textId="77777777" w:rsidR="00505CD0" w:rsidRDefault="00000000" w:rsidP="00505CD0">
      <w:pPr>
        <w:pStyle w:val="ListParagraph"/>
        <w:spacing w:line="480" w:lineRule="auto"/>
        <w:ind w:left="360"/>
      </w:pPr>
      <m:oMathPara>
        <m:oMath>
          <m:eqArr>
            <m:eqArrPr>
              <m:maxDist m:val="1"/>
              <m:ctrlPr>
                <w:rPr>
                  <w:rFonts w:ascii="Cambria Math" w:hAnsi="Cambria Math"/>
                  <w:i/>
                </w:rPr>
              </m:ctrlPr>
            </m:eqArrPr>
            <m:e>
              <m:sSub>
                <m:sSubPr>
                  <m:ctrlPr>
                    <w:rPr>
                      <w:rFonts w:ascii="Cambria Math" w:hAnsi="Cambria Math"/>
                      <w:i/>
                    </w:rPr>
                  </m:ctrlPr>
                </m:sSubPr>
                <m:e>
                  <m:sSup>
                    <m:sSupPr>
                      <m:ctrlPr>
                        <w:rPr>
                          <w:rFonts w:ascii="Cambria Math" w:hAnsi="Cambria Math"/>
                          <w:i/>
                        </w:rPr>
                      </m:ctrlPr>
                    </m:sSupPr>
                    <m:e>
                      <m:r>
                        <w:rPr>
                          <w:rFonts w:ascii="Cambria Math" w:hAnsi="Cambria Math"/>
                        </w:rPr>
                        <m:t>B</m:t>
                      </m:r>
                    </m:e>
                    <m:sup>
                      <m:r>
                        <w:rPr>
                          <w:rFonts w:ascii="Cambria Math" w:hAnsi="Cambria Math"/>
                        </w:rPr>
                        <m:t>G=open</m:t>
                      </m:r>
                    </m:sup>
                  </m:sSup>
                </m:e>
                <m:sub>
                  <m:r>
                    <w:rPr>
                      <w:rFonts w:ascii="Cambria Math" w:hAnsi="Cambria Math"/>
                    </w:rPr>
                    <m:t>t3</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B</m:t>
                      </m:r>
                    </m:e>
                    <m:sup>
                      <m:r>
                        <w:rPr>
                          <w:rFonts w:ascii="Cambria Math" w:hAnsi="Cambria Math"/>
                        </w:rPr>
                        <m:t>G=open</m:t>
                      </m:r>
                    </m:sup>
                  </m:sSup>
                </m:e>
                <m:sub>
                  <m:r>
                    <w:rPr>
                      <w:rFonts w:ascii="Cambria Math" w:hAnsi="Cambria Math"/>
                    </w:rPr>
                    <m:t>t2</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Y</m:t>
                      </m:r>
                    </m:e>
                    <m:sup>
                      <m:r>
                        <w:rPr>
                          <w:rFonts w:ascii="Cambria Math" w:hAnsi="Cambria Math"/>
                        </w:rPr>
                        <m:t>G=open</m:t>
                      </m:r>
                    </m:sup>
                  </m:sSup>
                </m:e>
                <m:sub>
                  <m:r>
                    <w:rPr>
                      <w:rFonts w:ascii="Cambria Math" w:hAnsi="Cambria Math"/>
                    </w:rPr>
                    <m:t>t2-t1</m:t>
                  </m:r>
                </m:sub>
              </m:sSub>
              <m:r>
                <w:rPr>
                  <w:rFonts w:ascii="Cambria Math" w:hAnsi="Cambria Math"/>
                </w:rPr>
                <m:t>#</m:t>
              </m:r>
              <m:d>
                <m:dPr>
                  <m:ctrlPr>
                    <w:rPr>
                      <w:rFonts w:ascii="Cambria Math" w:hAnsi="Cambria Math"/>
                      <w:i/>
                    </w:rPr>
                  </m:ctrlPr>
                </m:dPr>
                <m:e>
                  <m:r>
                    <w:rPr>
                      <w:rFonts w:ascii="Cambria Math" w:hAnsi="Cambria Math"/>
                    </w:rPr>
                    <m:t>Eq 5</m:t>
                  </m:r>
                </m:e>
              </m:d>
            </m:e>
          </m:eqArr>
        </m:oMath>
      </m:oMathPara>
    </w:p>
    <w:p w14:paraId="44D652D9" w14:textId="77777777" w:rsidR="00505CD0" w:rsidRDefault="00505CD0" w:rsidP="00505CD0">
      <w:pPr>
        <w:spacing w:line="480" w:lineRule="auto"/>
        <w:jc w:val="both"/>
      </w:pPr>
      <w:r>
        <w:t xml:space="preserve">The sub-areas that are open or closed may change between the first and second fishing years, and therefore the exploitable biomass available to the fishery at the beginning of the second year needs to be adjusted to account for these management changes by either subtracting open area biomass that will be closed in the second year or adding closed area biomass that will be open in the second year. To account for a closed area being changed to an open area, the exploitable biomass </w:t>
      </w:r>
      <w:r>
        <w:lastRenderedPageBreak/>
        <w:t>estimate(s) at the end of the first year for the sub-area(s) that changed status will be added to the appropriate open area exploitable biomass estimate (either open bottom or rotational, depending on the designation) at the start of the second year (</w:t>
      </w:r>
      <m:oMath>
        <m:sSub>
          <m:sSubPr>
            <m:ctrlPr>
              <w:rPr>
                <w:rFonts w:ascii="Cambria Math" w:hAnsi="Cambria Math"/>
                <w:i/>
              </w:rPr>
            </m:ctrlPr>
          </m:sSubPr>
          <m:e>
            <m:sSup>
              <m:sSupPr>
                <m:ctrlPr>
                  <w:rPr>
                    <w:rFonts w:ascii="Cambria Math" w:hAnsi="Cambria Math"/>
                    <w:i/>
                  </w:rPr>
                </m:ctrlPr>
              </m:sSupPr>
              <m:e>
                <m:r>
                  <w:rPr>
                    <w:rFonts w:ascii="Cambria Math" w:hAnsi="Cambria Math"/>
                  </w:rPr>
                  <m:t>B</m:t>
                </m:r>
              </m:e>
              <m:sup>
                <m:r>
                  <w:rPr>
                    <w:rFonts w:ascii="Cambria Math" w:hAnsi="Cambria Math"/>
                  </w:rPr>
                  <m:t>G=open</m:t>
                </m:r>
              </m:sup>
            </m:sSup>
          </m:e>
          <m:sub>
            <m:r>
              <w:rPr>
                <w:rFonts w:ascii="Cambria Math" w:hAnsi="Cambria Math"/>
              </w:rPr>
              <m:t>t3</m:t>
            </m:r>
          </m:sub>
        </m:sSub>
      </m:oMath>
      <w:r>
        <w:t>). In the reverse scenario, where an open area is changed to closed, a portion of the appropriate open area exploitable biomass will be subtracted and added to the closed area exploitable biomass estimate at the start of the second year (</w:t>
      </w:r>
      <m:oMath>
        <m:sSub>
          <m:sSubPr>
            <m:ctrlPr>
              <w:rPr>
                <w:rFonts w:ascii="Cambria Math" w:hAnsi="Cambria Math"/>
                <w:i/>
              </w:rPr>
            </m:ctrlPr>
          </m:sSubPr>
          <m:e>
            <m:sSup>
              <m:sSupPr>
                <m:ctrlPr>
                  <w:rPr>
                    <w:rFonts w:ascii="Cambria Math" w:hAnsi="Cambria Math"/>
                    <w:i/>
                  </w:rPr>
                </m:ctrlPr>
              </m:sSupPr>
              <m:e>
                <m:r>
                  <w:rPr>
                    <w:rFonts w:ascii="Cambria Math" w:hAnsi="Cambria Math"/>
                  </w:rPr>
                  <m:t>B</m:t>
                </m:r>
              </m:e>
              <m:sup>
                <m:r>
                  <w:rPr>
                    <w:rFonts w:ascii="Cambria Math" w:hAnsi="Cambria Math"/>
                  </w:rPr>
                  <m:t>G=closed</m:t>
                </m:r>
              </m:sup>
            </m:sSup>
          </m:e>
          <m:sub>
            <m:r>
              <w:rPr>
                <w:rFonts w:ascii="Cambria Math" w:hAnsi="Cambria Math"/>
              </w:rPr>
              <m:t>t3</m:t>
            </m:r>
          </m:sub>
        </m:sSub>
      </m:oMath>
      <w:r>
        <w:t>). The amount subtracted will be proportional to the amount of exploitable biomass estimated in the sub-area with changed status relative to the overall amount of exploitable biomass in the open area group. This approach assumes fishing mortality is uniform</w:t>
      </w:r>
      <w:r w:rsidRPr="00F519A1">
        <w:t xml:space="preserve"> </w:t>
      </w:r>
      <w:r>
        <w:t>within each</w:t>
      </w:r>
      <w:r w:rsidRPr="00F519A1">
        <w:t xml:space="preserve"> management group</w:t>
      </w:r>
      <w:r>
        <w:t xml:space="preserve"> because this is the level that the fishery catch is reported at (Hilborn and Walters 1992; Quinn and Deriso 1999).</w:t>
      </w:r>
    </w:p>
    <w:p w14:paraId="6D352140" w14:textId="77777777" w:rsidR="00505CD0" w:rsidRDefault="00505CD0" w:rsidP="00505CD0">
      <w:pPr>
        <w:spacing w:line="480" w:lineRule="auto"/>
        <w:jc w:val="both"/>
      </w:pPr>
      <w:r>
        <w:t>The target yield for the fishery in the second year (</w:t>
      </w:r>
      <m:oMath>
        <m:sSubSup>
          <m:sSubSupPr>
            <m:ctrlPr>
              <w:rPr>
                <w:rFonts w:ascii="Cambria Math" w:hAnsi="Cambria Math"/>
                <w:i/>
              </w:rPr>
            </m:ctrlPr>
          </m:sSubSupPr>
          <m:e>
            <m:r>
              <w:rPr>
                <w:rFonts w:ascii="Cambria Math" w:hAnsi="Cambria Math"/>
              </w:rPr>
              <m:t>Y</m:t>
            </m:r>
          </m:e>
          <m:sub>
            <m:r>
              <w:rPr>
                <w:rFonts w:ascii="Cambria Math" w:hAnsi="Cambria Math"/>
              </w:rPr>
              <m:t>t3</m:t>
            </m:r>
          </m:sub>
          <m:sup>
            <m:r>
              <w:rPr>
                <w:rFonts w:ascii="Cambria Math" w:hAnsi="Cambria Math"/>
              </w:rPr>
              <m:t>target</m:t>
            </m:r>
          </m:sup>
        </m:sSubSup>
      </m:oMath>
      <w:r>
        <w:t>) will be estimated using a target exploitation rate (</w:t>
      </w:r>
      <m:oMath>
        <m:sSub>
          <m:sSubPr>
            <m:ctrlPr>
              <w:rPr>
                <w:rFonts w:ascii="Cambria Math" w:hAnsi="Cambria Math"/>
                <w:i/>
              </w:rPr>
            </m:ctrlPr>
          </m:sSubPr>
          <m:e>
            <m:r>
              <w:rPr>
                <w:rFonts w:ascii="Cambria Math" w:hAnsi="Cambria Math"/>
              </w:rPr>
              <m:t>μ</m:t>
            </m:r>
          </m:e>
          <m:sub>
            <m:r>
              <w:rPr>
                <w:rFonts w:ascii="Cambria Math" w:hAnsi="Cambria Math"/>
              </w:rPr>
              <m:t>target</m:t>
            </m:r>
          </m:sub>
        </m:sSub>
      </m:oMath>
      <w:r>
        <w:t>), derived from a target fishing mortality rate (</w:t>
      </w:r>
      <m:oMath>
        <m:sSub>
          <m:sSubPr>
            <m:ctrlPr>
              <w:rPr>
                <w:rFonts w:ascii="Cambria Math" w:hAnsi="Cambria Math"/>
                <w:i/>
              </w:rPr>
            </m:ctrlPr>
          </m:sSubPr>
          <m:e>
            <m:r>
              <w:rPr>
                <w:rFonts w:ascii="Cambria Math" w:hAnsi="Cambria Math"/>
              </w:rPr>
              <m:t>F</m:t>
            </m:r>
          </m:e>
          <m:sub>
            <m:r>
              <w:rPr>
                <w:rFonts w:ascii="Cambria Math" w:hAnsi="Cambria Math"/>
              </w:rPr>
              <m:t>target</m:t>
            </m:r>
          </m:sub>
        </m:sSub>
      </m:oMath>
      <w:r>
        <w:t>), multiplied by the combined exploitable biomass accessible by the fleet (the sum of the open bottom and open rotational estimates (</w:t>
      </w:r>
      <m:oMath>
        <m:sSub>
          <m:sSubPr>
            <m:ctrlPr>
              <w:rPr>
                <w:rFonts w:ascii="Cambria Math" w:hAnsi="Cambria Math"/>
                <w:i/>
              </w:rPr>
            </m:ctrlPr>
          </m:sSubPr>
          <m:e>
            <m:sSup>
              <m:sSupPr>
                <m:ctrlPr>
                  <w:rPr>
                    <w:rFonts w:ascii="Cambria Math" w:hAnsi="Cambria Math"/>
                    <w:i/>
                  </w:rPr>
                </m:ctrlPr>
              </m:sSupPr>
              <m:e>
                <m:r>
                  <w:rPr>
                    <w:rFonts w:ascii="Cambria Math" w:hAnsi="Cambria Math"/>
                  </w:rPr>
                  <m:t>B</m:t>
                </m:r>
              </m:e>
              <m:sup>
                <m:r>
                  <w:rPr>
                    <w:rFonts w:ascii="Cambria Math" w:hAnsi="Cambria Math"/>
                  </w:rPr>
                  <m:t>G=open total</m:t>
                </m:r>
              </m:sup>
            </m:sSup>
          </m:e>
          <m:sub>
            <m:r>
              <w:rPr>
                <w:rFonts w:ascii="Cambria Math" w:hAnsi="Cambria Math"/>
              </w:rPr>
              <m:t>t3</m:t>
            </m:r>
          </m:sub>
        </m:sSub>
      </m:oMath>
      <w:r>
        <w:t>)) (Equations 6 and 7).</w:t>
      </w:r>
    </w:p>
    <w:p w14:paraId="2A498CF6" w14:textId="77777777" w:rsidR="00505CD0" w:rsidRPr="001542CA" w:rsidRDefault="00000000" w:rsidP="00505CD0">
      <w:pPr>
        <w:spacing w:line="480" w:lineRule="auto"/>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t3</m:t>
                  </m:r>
                </m:sub>
                <m:sup>
                  <m:r>
                    <w:rPr>
                      <w:rFonts w:ascii="Cambria Math" w:hAnsi="Cambria Math"/>
                    </w:rPr>
                    <m:t>target</m:t>
                  </m:r>
                </m:sup>
              </m:sSubSup>
              <m:r>
                <w:rPr>
                  <w:rFonts w:ascii="Cambria Math" w:hAnsi="Cambria Math"/>
                </w:rPr>
                <m:t>=</m:t>
              </m:r>
              <m:r>
                <m:rPr>
                  <m:sty m:val="p"/>
                </m:rP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B</m:t>
                      </m:r>
                    </m:e>
                    <m:sup>
                      <m:r>
                        <w:rPr>
                          <w:rFonts w:ascii="Cambria Math" w:hAnsi="Cambria Math"/>
                        </w:rPr>
                        <m:t>G=open total</m:t>
                      </m:r>
                    </m:sup>
                  </m:sSup>
                </m:e>
                <m:sub>
                  <m:r>
                    <w:rPr>
                      <w:rFonts w:ascii="Cambria Math" w:hAnsi="Cambria Math"/>
                    </w:rPr>
                    <m:t>t3</m:t>
                  </m:r>
                </m:sub>
              </m:sSub>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target</m:t>
                  </m:r>
                </m:sub>
              </m:sSub>
              <m:r>
                <w:rPr>
                  <w:rFonts w:ascii="Cambria Math" w:hAnsi="Cambria Math"/>
                </w:rPr>
                <m:t>#</m:t>
              </m:r>
              <m:d>
                <m:dPr>
                  <m:ctrlPr>
                    <w:rPr>
                      <w:rFonts w:ascii="Cambria Math" w:hAnsi="Cambria Math"/>
                      <w:i/>
                    </w:rPr>
                  </m:ctrlPr>
                </m:dPr>
                <m:e>
                  <m:r>
                    <w:rPr>
                      <w:rFonts w:ascii="Cambria Math" w:hAnsi="Cambria Math"/>
                    </w:rPr>
                    <m:t>Eq 6</m:t>
                  </m:r>
                </m:e>
              </m:d>
            </m:e>
          </m:eqArr>
        </m:oMath>
      </m:oMathPara>
    </w:p>
    <w:p w14:paraId="62B184D1" w14:textId="77777777" w:rsidR="00505CD0" w:rsidRDefault="00000000" w:rsidP="00505CD0">
      <w:pPr>
        <w:pStyle w:val="ListParagraph"/>
        <w:spacing w:line="480" w:lineRule="auto"/>
        <w:ind w:left="3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target</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target</m:t>
                          </m:r>
                        </m:sub>
                      </m:sSub>
                      <m:r>
                        <w:rPr>
                          <w:rFonts w:ascii="Cambria Math" w:hAnsi="Cambria Math"/>
                        </w:rPr>
                        <m:t>+M</m:t>
                      </m:r>
                    </m:e>
                  </m:d>
                </m:sup>
              </m:s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target</m:t>
                          </m:r>
                        </m:sub>
                      </m:sSub>
                    </m:num>
                    <m:den>
                      <m:sSub>
                        <m:sSubPr>
                          <m:ctrlPr>
                            <w:rPr>
                              <w:rFonts w:ascii="Cambria Math" w:hAnsi="Cambria Math"/>
                              <w:i/>
                            </w:rPr>
                          </m:ctrlPr>
                        </m:sSubPr>
                        <m:e>
                          <m:r>
                            <w:rPr>
                              <w:rFonts w:ascii="Cambria Math" w:hAnsi="Cambria Math"/>
                            </w:rPr>
                            <m:t>F</m:t>
                          </m:r>
                        </m:e>
                        <m:sub>
                          <m:r>
                            <w:rPr>
                              <w:rFonts w:ascii="Cambria Math" w:hAnsi="Cambria Math"/>
                            </w:rPr>
                            <m:t>target</m:t>
                          </m:r>
                        </m:sub>
                      </m:sSub>
                      <m:r>
                        <w:rPr>
                          <w:rFonts w:ascii="Cambria Math" w:hAnsi="Cambria Math"/>
                        </w:rPr>
                        <m:t>+M</m:t>
                      </m:r>
                    </m:den>
                  </m:f>
                </m:e>
              </m:d>
              <m:r>
                <w:rPr>
                  <w:rFonts w:ascii="Cambria Math" w:hAnsi="Cambria Math"/>
                </w:rPr>
                <m:t>#</m:t>
              </m:r>
              <m:d>
                <m:dPr>
                  <m:ctrlPr>
                    <w:rPr>
                      <w:rFonts w:ascii="Cambria Math" w:hAnsi="Cambria Math"/>
                      <w:i/>
                    </w:rPr>
                  </m:ctrlPr>
                </m:dPr>
                <m:e>
                  <m:r>
                    <w:rPr>
                      <w:rFonts w:ascii="Cambria Math" w:hAnsi="Cambria Math"/>
                    </w:rPr>
                    <m:t>Eq 7</m:t>
                  </m:r>
                </m:e>
              </m:d>
            </m:e>
          </m:eqArr>
        </m:oMath>
      </m:oMathPara>
    </w:p>
    <w:p w14:paraId="4F4142C1" w14:textId="77777777" w:rsidR="00505CD0" w:rsidRDefault="00505CD0" w:rsidP="00505CD0">
      <w:pPr>
        <w:spacing w:line="480" w:lineRule="auto"/>
        <w:jc w:val="both"/>
        <w:rPr>
          <w:rFonts w:eastAsia="Aptos"/>
          <w:kern w:val="2"/>
        </w:rPr>
      </w:pPr>
      <w:r w:rsidRPr="002070CB">
        <w:rPr>
          <w:rFonts w:eastAsia="Aptos"/>
          <w:kern w:val="2"/>
        </w:rPr>
        <w:t xml:space="preserve">Target </w:t>
      </w:r>
      <w:r w:rsidRPr="002070CB">
        <w:rPr>
          <w:rFonts w:eastAsia="Aptos"/>
          <w:i/>
          <w:iCs/>
          <w:kern w:val="2"/>
        </w:rPr>
        <w:t>F</w:t>
      </w:r>
      <w:r w:rsidRPr="002070CB">
        <w:rPr>
          <w:rFonts w:eastAsia="Aptos"/>
          <w:kern w:val="2"/>
        </w:rPr>
        <w:t xml:space="preserve"> will be</w:t>
      </w:r>
      <w:r>
        <w:rPr>
          <w:rFonts w:eastAsia="Aptos"/>
          <w:kern w:val="2"/>
        </w:rPr>
        <w:t xml:space="preserve"> varied in different model scenario runs. Reference points </w:t>
      </w:r>
      <w:r w:rsidRPr="00BA6AC7">
        <w:rPr>
          <w:rFonts w:eastAsia="Aptos"/>
          <w:i/>
          <w:iCs/>
          <w:kern w:val="2"/>
        </w:rPr>
        <w:t>F</w:t>
      </w:r>
      <w:r w:rsidRPr="00BA6AC7">
        <w:rPr>
          <w:rFonts w:eastAsia="Aptos"/>
          <w:i/>
          <w:iCs/>
          <w:kern w:val="2"/>
          <w:vertAlign w:val="subscript"/>
        </w:rPr>
        <w:t>max</w:t>
      </w:r>
      <w:r w:rsidRPr="00BA6AC7">
        <w:rPr>
          <w:rFonts w:eastAsia="Aptos"/>
          <w:kern w:val="2"/>
        </w:rPr>
        <w:t xml:space="preserve">, </w:t>
      </w:r>
      <w:r w:rsidRPr="00BA6AC7">
        <w:rPr>
          <w:rFonts w:eastAsia="Aptos"/>
          <w:i/>
          <w:iCs/>
          <w:kern w:val="2"/>
        </w:rPr>
        <w:t>F</w:t>
      </w:r>
      <w:r w:rsidRPr="00BA6AC7">
        <w:rPr>
          <w:rFonts w:eastAsia="Aptos"/>
          <w:i/>
          <w:iCs/>
          <w:kern w:val="2"/>
          <w:vertAlign w:val="subscript"/>
        </w:rPr>
        <w:t>0.1</w:t>
      </w:r>
      <w:r w:rsidRPr="00BA6AC7">
        <w:rPr>
          <w:rFonts w:eastAsia="Aptos"/>
          <w:kern w:val="2"/>
        </w:rPr>
        <w:t>,</w:t>
      </w:r>
      <w:r>
        <w:rPr>
          <w:rFonts w:eastAsia="Aptos"/>
          <w:kern w:val="2"/>
        </w:rPr>
        <w:t xml:space="preserve"> and others will be derived from yield-per-recruit analysis using stock-wide growth, natural mortality, selectivity, and meat weight regression parameters (Hart and Rago 2006; Truesdell et al 2016). </w:t>
      </w:r>
      <w:r w:rsidRPr="002C6C2E">
        <w:rPr>
          <w:rFonts w:eastAsia="Aptos"/>
          <w:kern w:val="2"/>
        </w:rPr>
        <w:t>These reference points w</w:t>
      </w:r>
      <w:r>
        <w:rPr>
          <w:rFonts w:eastAsia="Aptos"/>
          <w:kern w:val="2"/>
        </w:rPr>
        <w:t>ill be</w:t>
      </w:r>
      <w:r w:rsidRPr="002C6C2E">
        <w:rPr>
          <w:rFonts w:eastAsia="Aptos"/>
          <w:kern w:val="2"/>
        </w:rPr>
        <w:t xml:space="preserve"> estimated outside of the </w:t>
      </w:r>
      <w:r>
        <w:rPr>
          <w:rFonts w:eastAsia="Aptos"/>
          <w:kern w:val="2"/>
        </w:rPr>
        <w:t>main model</w:t>
      </w:r>
      <w:r w:rsidRPr="002C6C2E">
        <w:rPr>
          <w:rFonts w:eastAsia="Aptos"/>
          <w:kern w:val="2"/>
        </w:rPr>
        <w:t xml:space="preserve"> and treated as fixed management control parameters within each scenario</w:t>
      </w:r>
      <w:r>
        <w:rPr>
          <w:rFonts w:eastAsia="Aptos"/>
          <w:kern w:val="2"/>
        </w:rPr>
        <w:t xml:space="preserve">. Scenarios will also vary the rotational access trip numbers and trip limits. </w:t>
      </w:r>
      <w:r w:rsidRPr="002070CB">
        <w:rPr>
          <w:rFonts w:eastAsia="Aptos"/>
          <w:kern w:val="2"/>
        </w:rPr>
        <w:t xml:space="preserve">The </w:t>
      </w:r>
      <w:r>
        <w:rPr>
          <w:rFonts w:eastAsia="Aptos"/>
          <w:kern w:val="2"/>
        </w:rPr>
        <w:t xml:space="preserve">projected </w:t>
      </w:r>
      <w:r w:rsidRPr="002070CB">
        <w:rPr>
          <w:rFonts w:eastAsia="Aptos"/>
          <w:kern w:val="2"/>
        </w:rPr>
        <w:t xml:space="preserve">yield </w:t>
      </w:r>
      <w:r>
        <w:rPr>
          <w:rFonts w:eastAsia="Aptos"/>
          <w:kern w:val="2"/>
        </w:rPr>
        <w:t xml:space="preserve">for the second year </w:t>
      </w:r>
      <w:r w:rsidRPr="002070CB">
        <w:rPr>
          <w:rFonts w:eastAsia="Aptos"/>
          <w:kern w:val="2"/>
        </w:rPr>
        <w:t xml:space="preserve">for rotational access areas </w:t>
      </w:r>
      <w:r>
        <w:rPr>
          <w:rFonts w:eastAsia="Aptos"/>
          <w:kern w:val="2"/>
        </w:rPr>
        <w:lastRenderedPageBreak/>
        <w:t>(</w:t>
      </w:r>
      <m:oMath>
        <m:sSubSup>
          <m:sSubSupPr>
            <m:ctrlPr>
              <w:rPr>
                <w:rFonts w:ascii="Cambria Math" w:eastAsia="Aptos" w:hAnsi="Cambria Math"/>
                <w:i/>
                <w:kern w:val="2"/>
              </w:rPr>
            </m:ctrlPr>
          </m:sSubSupPr>
          <m:e>
            <m:r>
              <w:rPr>
                <w:rFonts w:ascii="Cambria Math" w:eastAsia="Aptos" w:hAnsi="Cambria Math"/>
                <w:kern w:val="2"/>
              </w:rPr>
              <m:t>Y</m:t>
            </m:r>
          </m:e>
          <m:sub>
            <m:r>
              <w:rPr>
                <w:rFonts w:ascii="Cambria Math" w:eastAsia="Aptos" w:hAnsi="Cambria Math"/>
                <w:kern w:val="2"/>
              </w:rPr>
              <m:t>t3</m:t>
            </m:r>
          </m:sub>
          <m:sup>
            <m:r>
              <w:rPr>
                <w:rFonts w:ascii="Cambria Math" w:eastAsia="Aptos" w:hAnsi="Cambria Math"/>
                <w:kern w:val="2"/>
              </w:rPr>
              <m:t>rot</m:t>
            </m:r>
          </m:sup>
        </m:sSubSup>
      </m:oMath>
      <w:r>
        <w:rPr>
          <w:rFonts w:eastAsia="Aptos"/>
          <w:kern w:val="2"/>
        </w:rPr>
        <w:t xml:space="preserve">) </w:t>
      </w:r>
      <w:r w:rsidRPr="002070CB">
        <w:rPr>
          <w:rFonts w:eastAsia="Aptos"/>
          <w:kern w:val="2"/>
        </w:rPr>
        <w:t>will be calculated</w:t>
      </w:r>
      <w:r>
        <w:rPr>
          <w:rFonts w:eastAsia="Aptos"/>
          <w:kern w:val="2"/>
        </w:rPr>
        <w:t xml:space="preserve"> for each area (</w:t>
      </w:r>
      <w:r>
        <w:rPr>
          <w:rFonts w:eastAsia="Aptos"/>
          <w:i/>
          <w:iCs/>
          <w:kern w:val="2"/>
        </w:rPr>
        <w:t>r</w:t>
      </w:r>
      <w:r>
        <w:rPr>
          <w:rFonts w:eastAsia="Aptos"/>
          <w:kern w:val="2"/>
        </w:rPr>
        <w:t>) and then summed</w:t>
      </w:r>
      <w:r w:rsidRPr="002070CB">
        <w:rPr>
          <w:rFonts w:eastAsia="Aptos"/>
          <w:kern w:val="2"/>
        </w:rPr>
        <w:t xml:space="preserve"> based on scenario inputs of number of trips </w:t>
      </w:r>
      <w:r>
        <w:rPr>
          <w:rFonts w:eastAsia="Aptos"/>
          <w:kern w:val="2"/>
        </w:rPr>
        <w:t>(</w:t>
      </w:r>
      <m:oMath>
        <m:sSub>
          <m:sSubPr>
            <m:ctrlPr>
              <w:rPr>
                <w:rFonts w:ascii="Cambria Math" w:eastAsia="Aptos" w:hAnsi="Cambria Math"/>
                <w:i/>
                <w:kern w:val="2"/>
              </w:rPr>
            </m:ctrlPr>
          </m:sSubPr>
          <m:e>
            <m:r>
              <w:rPr>
                <w:rFonts w:ascii="Cambria Math" w:eastAsia="Aptos" w:hAnsi="Cambria Math"/>
                <w:kern w:val="2"/>
              </w:rPr>
              <m:t>T</m:t>
            </m:r>
          </m:e>
          <m:sub>
            <m:r>
              <w:rPr>
                <w:rFonts w:ascii="Cambria Math" w:eastAsia="Aptos" w:hAnsi="Cambria Math"/>
                <w:kern w:val="2"/>
              </w:rPr>
              <m:t>r</m:t>
            </m:r>
          </m:sub>
        </m:sSub>
      </m:oMath>
      <w:r>
        <w:rPr>
          <w:rFonts w:eastAsia="Aptos"/>
          <w:kern w:val="2"/>
        </w:rPr>
        <w:t xml:space="preserve">) </w:t>
      </w:r>
      <w:r w:rsidRPr="002070CB">
        <w:rPr>
          <w:rFonts w:eastAsia="Aptos"/>
          <w:kern w:val="2"/>
        </w:rPr>
        <w:t xml:space="preserve">and trip </w:t>
      </w:r>
      <w:r>
        <w:rPr>
          <w:rFonts w:eastAsia="Aptos"/>
          <w:kern w:val="2"/>
        </w:rPr>
        <w:t xml:space="preserve">catch </w:t>
      </w:r>
      <w:r w:rsidRPr="002070CB">
        <w:rPr>
          <w:rFonts w:eastAsia="Aptos"/>
          <w:kern w:val="2"/>
        </w:rPr>
        <w:t>limits</w:t>
      </w:r>
      <w:r>
        <w:rPr>
          <w:rFonts w:eastAsia="Aptos"/>
          <w:kern w:val="2"/>
        </w:rPr>
        <w:t xml:space="preserve"> (</w:t>
      </w:r>
      <m:oMath>
        <m:sSub>
          <m:sSubPr>
            <m:ctrlPr>
              <w:rPr>
                <w:rFonts w:ascii="Cambria Math" w:eastAsia="Aptos" w:hAnsi="Cambria Math"/>
                <w:i/>
                <w:kern w:val="2"/>
              </w:rPr>
            </m:ctrlPr>
          </m:sSubPr>
          <m:e>
            <m:r>
              <w:rPr>
                <w:rFonts w:ascii="Cambria Math" w:eastAsia="Aptos" w:hAnsi="Cambria Math"/>
                <w:kern w:val="2"/>
              </w:rPr>
              <m:t>C</m:t>
            </m:r>
          </m:e>
          <m:sub>
            <m:r>
              <w:rPr>
                <w:rFonts w:ascii="Cambria Math" w:eastAsia="Aptos" w:hAnsi="Cambria Math"/>
                <w:kern w:val="2"/>
              </w:rPr>
              <m:t>r</m:t>
            </m:r>
          </m:sub>
        </m:sSub>
      </m:oMath>
      <w:r>
        <w:rPr>
          <w:rFonts w:eastAsia="Aptos"/>
          <w:kern w:val="2"/>
        </w:rPr>
        <w:t>)</w:t>
      </w:r>
      <w:r w:rsidRPr="002070CB">
        <w:rPr>
          <w:rFonts w:eastAsia="Aptos"/>
          <w:kern w:val="2"/>
        </w:rPr>
        <w:t xml:space="preserve">, as well as a specified number of vessels in the </w:t>
      </w:r>
      <w:r w:rsidRPr="002070CB">
        <w:rPr>
          <w:rFonts w:eastAsia="Aptos"/>
          <w:bCs/>
          <w:kern w:val="2"/>
        </w:rPr>
        <w:t>full-time Limited Access (LA)</w:t>
      </w:r>
      <w:r w:rsidRPr="002070CB">
        <w:rPr>
          <w:rFonts w:eastAsia="Aptos"/>
          <w:kern w:val="2"/>
        </w:rPr>
        <w:t xml:space="preserve"> fleet</w:t>
      </w:r>
      <w:r>
        <w:rPr>
          <w:rFonts w:eastAsia="Aptos"/>
          <w:kern w:val="2"/>
        </w:rPr>
        <w:t xml:space="preserve"> (</w:t>
      </w:r>
      <w:r w:rsidRPr="00562E32">
        <w:rPr>
          <w:rFonts w:eastAsia="Aptos"/>
          <w:i/>
          <w:iCs/>
          <w:kern w:val="2"/>
        </w:rPr>
        <w:t>V</w:t>
      </w:r>
      <w:r>
        <w:rPr>
          <w:rFonts w:eastAsia="Aptos"/>
          <w:kern w:val="2"/>
        </w:rPr>
        <w:t>) (Equation 8)</w:t>
      </w:r>
      <w:r w:rsidRPr="002070CB">
        <w:rPr>
          <w:rFonts w:eastAsia="Aptos"/>
          <w:kern w:val="2"/>
        </w:rPr>
        <w:t xml:space="preserve">. </w:t>
      </w:r>
    </w:p>
    <w:p w14:paraId="15AAD77C" w14:textId="77777777" w:rsidR="00505CD0" w:rsidRPr="002070CB" w:rsidRDefault="00000000" w:rsidP="00505CD0">
      <w:pPr>
        <w:spacing w:line="480" w:lineRule="auto"/>
        <w:jc w:val="both"/>
        <w:rPr>
          <w:rFonts w:eastAsia="Aptos"/>
          <w:kern w:val="2"/>
        </w:rPr>
      </w:pPr>
      <m:oMathPara>
        <m:oMath>
          <m:eqArr>
            <m:eqArrPr>
              <m:maxDist m:val="1"/>
              <m:ctrlPr>
                <w:rPr>
                  <w:rFonts w:ascii="Cambria Math" w:eastAsia="Aptos" w:hAnsi="Cambria Math"/>
                  <w:i/>
                  <w:kern w:val="2"/>
                </w:rPr>
              </m:ctrlPr>
            </m:eqArrPr>
            <m:e>
              <m:sSubSup>
                <m:sSubSupPr>
                  <m:ctrlPr>
                    <w:rPr>
                      <w:rFonts w:ascii="Cambria Math" w:eastAsia="Aptos" w:hAnsi="Cambria Math"/>
                      <w:i/>
                      <w:kern w:val="2"/>
                    </w:rPr>
                  </m:ctrlPr>
                </m:sSubSupPr>
                <m:e>
                  <m:r>
                    <w:rPr>
                      <w:rFonts w:ascii="Cambria Math" w:eastAsia="Aptos" w:hAnsi="Cambria Math"/>
                      <w:kern w:val="2"/>
                    </w:rPr>
                    <m:t>Y</m:t>
                  </m:r>
                </m:e>
                <m:sub>
                  <m:r>
                    <w:rPr>
                      <w:rFonts w:ascii="Cambria Math" w:eastAsia="Aptos" w:hAnsi="Cambria Math"/>
                      <w:kern w:val="2"/>
                    </w:rPr>
                    <m:t>t3</m:t>
                  </m:r>
                </m:sub>
                <m:sup>
                  <m:r>
                    <w:rPr>
                      <w:rFonts w:ascii="Cambria Math" w:eastAsia="Aptos" w:hAnsi="Cambria Math"/>
                      <w:kern w:val="2"/>
                    </w:rPr>
                    <m:t>rot</m:t>
                  </m:r>
                </m:sup>
              </m:sSubSup>
              <m:r>
                <w:rPr>
                  <w:rFonts w:ascii="Cambria Math" w:eastAsia="Aptos" w:hAnsi="Cambria Math"/>
                  <w:kern w:val="2"/>
                </w:rPr>
                <m:t>=</m:t>
              </m:r>
              <m:nary>
                <m:naryPr>
                  <m:chr m:val="∑"/>
                  <m:limLoc m:val="undOvr"/>
                  <m:ctrlPr>
                    <w:rPr>
                      <w:rFonts w:ascii="Cambria Math" w:eastAsia="Aptos" w:hAnsi="Cambria Math"/>
                      <w:i/>
                      <w:kern w:val="2"/>
                    </w:rPr>
                  </m:ctrlPr>
                </m:naryPr>
                <m:sub>
                  <m:r>
                    <w:rPr>
                      <w:rFonts w:ascii="Cambria Math" w:eastAsia="Aptos" w:hAnsi="Cambria Math"/>
                      <w:kern w:val="2"/>
                    </w:rPr>
                    <m:t>r=1</m:t>
                  </m:r>
                </m:sub>
                <m:sup>
                  <m:r>
                    <w:rPr>
                      <w:rFonts w:ascii="Cambria Math" w:eastAsia="Aptos" w:hAnsi="Cambria Math"/>
                      <w:kern w:val="2"/>
                    </w:rPr>
                    <m:t>r=R</m:t>
                  </m:r>
                </m:sup>
                <m:e>
                  <m:sSub>
                    <m:sSubPr>
                      <m:ctrlPr>
                        <w:rPr>
                          <w:rFonts w:ascii="Cambria Math" w:eastAsia="Aptos" w:hAnsi="Cambria Math"/>
                          <w:i/>
                          <w:kern w:val="2"/>
                        </w:rPr>
                      </m:ctrlPr>
                    </m:sSubPr>
                    <m:e>
                      <m:r>
                        <w:rPr>
                          <w:rFonts w:ascii="Cambria Math" w:eastAsia="Aptos" w:hAnsi="Cambria Math"/>
                          <w:kern w:val="2"/>
                        </w:rPr>
                        <m:t>T</m:t>
                      </m:r>
                    </m:e>
                    <m:sub>
                      <m:r>
                        <w:rPr>
                          <w:rFonts w:ascii="Cambria Math" w:eastAsia="Aptos" w:hAnsi="Cambria Math"/>
                          <w:kern w:val="2"/>
                        </w:rPr>
                        <m:t>r</m:t>
                      </m:r>
                    </m:sub>
                  </m:sSub>
                  <m:r>
                    <w:rPr>
                      <w:rFonts w:ascii="Cambria Math" w:eastAsia="Aptos" w:hAnsi="Cambria Math"/>
                      <w:kern w:val="2"/>
                    </w:rPr>
                    <m:t>V</m:t>
                  </m:r>
                </m:e>
              </m:nary>
              <m:sSub>
                <m:sSubPr>
                  <m:ctrlPr>
                    <w:rPr>
                      <w:rFonts w:ascii="Cambria Math" w:eastAsia="Aptos" w:hAnsi="Cambria Math"/>
                      <w:i/>
                      <w:kern w:val="2"/>
                    </w:rPr>
                  </m:ctrlPr>
                </m:sSubPr>
                <m:e>
                  <m:r>
                    <w:rPr>
                      <w:rFonts w:ascii="Cambria Math" w:eastAsia="Aptos" w:hAnsi="Cambria Math"/>
                      <w:kern w:val="2"/>
                    </w:rPr>
                    <m:t>C</m:t>
                  </m:r>
                </m:e>
                <m:sub>
                  <m:r>
                    <w:rPr>
                      <w:rFonts w:ascii="Cambria Math" w:eastAsia="Aptos" w:hAnsi="Cambria Math"/>
                      <w:kern w:val="2"/>
                    </w:rPr>
                    <m:t>r</m:t>
                  </m:r>
                </m:sub>
              </m:sSub>
              <m:r>
                <w:rPr>
                  <w:rFonts w:ascii="Cambria Math" w:eastAsia="Aptos" w:hAnsi="Cambria Math"/>
                  <w:kern w:val="2"/>
                </w:rPr>
                <m:t>#</m:t>
              </m:r>
              <m:d>
                <m:dPr>
                  <m:ctrlPr>
                    <w:rPr>
                      <w:rFonts w:ascii="Cambria Math" w:eastAsia="Aptos" w:hAnsi="Cambria Math"/>
                      <w:i/>
                      <w:kern w:val="2"/>
                    </w:rPr>
                  </m:ctrlPr>
                </m:dPr>
                <m:e>
                  <m:r>
                    <w:rPr>
                      <w:rFonts w:ascii="Cambria Math" w:eastAsia="Aptos" w:hAnsi="Cambria Math"/>
                      <w:kern w:val="2"/>
                    </w:rPr>
                    <m:t>Eq 8</m:t>
                  </m:r>
                </m:e>
              </m:d>
            </m:e>
          </m:eqArr>
        </m:oMath>
      </m:oMathPara>
    </w:p>
    <w:p w14:paraId="56195CB4" w14:textId="77777777" w:rsidR="00505CD0" w:rsidRDefault="00505CD0" w:rsidP="00505CD0">
      <w:pPr>
        <w:spacing w:line="480" w:lineRule="auto"/>
        <w:jc w:val="both"/>
        <w:rPr>
          <w:rFonts w:eastAsia="Aptos"/>
          <w:kern w:val="2"/>
        </w:rPr>
      </w:pPr>
      <w:r>
        <w:rPr>
          <w:rFonts w:eastAsia="Aptos"/>
          <w:kern w:val="2"/>
        </w:rPr>
        <w:t xml:space="preserve">Yield in the open bottom areas will be estimated by subtracting the rotational area yield from the target yield. </w:t>
      </w:r>
      <w:r>
        <w:rPr>
          <w:rFonts w:eastAsia="Aptos"/>
          <w:bCs/>
          <w:kern w:val="2"/>
        </w:rPr>
        <w:t>The open bottom</w:t>
      </w:r>
      <w:r w:rsidRPr="002070CB">
        <w:rPr>
          <w:rFonts w:eastAsia="Aptos"/>
          <w:bCs/>
          <w:kern w:val="2"/>
        </w:rPr>
        <w:t xml:space="preserve"> yield estimate will be divided by </w:t>
      </w:r>
      <w:r>
        <w:rPr>
          <w:rFonts w:eastAsia="Aptos"/>
          <w:bCs/>
          <w:kern w:val="2"/>
        </w:rPr>
        <w:t xml:space="preserve">an </w:t>
      </w:r>
      <w:r w:rsidRPr="002070CB">
        <w:rPr>
          <w:rFonts w:eastAsia="Aptos"/>
          <w:bCs/>
          <w:kern w:val="2"/>
        </w:rPr>
        <w:t>LPUE estimate and the number LA vessels to estimate DAS for this fleet under each management scenario.</w:t>
      </w:r>
      <w:r>
        <w:rPr>
          <w:rFonts w:eastAsia="Aptos"/>
          <w:bCs/>
          <w:kern w:val="2"/>
        </w:rPr>
        <w:t xml:space="preserve"> </w:t>
      </w:r>
      <w:r>
        <w:rPr>
          <w:rFonts w:eastAsia="Aptos"/>
          <w:kern w:val="2"/>
        </w:rPr>
        <w:t>Realized fishing mortality rates for each of the open rotational, open bottom areas and entire fishery will be calculated using the yield and respective exploitable biomass estimate for each of these areas (Equation 9).</w:t>
      </w:r>
    </w:p>
    <w:p w14:paraId="2606491F" w14:textId="77777777" w:rsidR="00505CD0" w:rsidRDefault="00000000" w:rsidP="00505CD0">
      <w:pPr>
        <w:spacing w:line="480" w:lineRule="auto"/>
        <w:jc w:val="both"/>
        <w:rPr>
          <w:rFonts w:eastAsia="Aptos"/>
          <w:kern w:val="2"/>
        </w:rPr>
      </w:pPr>
      <m:oMathPara>
        <m:oMath>
          <m:eqArr>
            <m:eqArrPr>
              <m:maxDist m:val="1"/>
              <m:ctrlPr>
                <w:rPr>
                  <w:rFonts w:ascii="Cambria Math" w:eastAsia="Aptos" w:hAnsi="Cambria Math"/>
                  <w:i/>
                  <w:kern w:val="2"/>
                </w:rPr>
              </m:ctrlPr>
            </m:eqArrPr>
            <m:e>
              <m:r>
                <w:rPr>
                  <w:rFonts w:ascii="Cambria Math" w:eastAsia="Aptos" w:hAnsi="Cambria Math"/>
                  <w:kern w:val="2"/>
                </w:rPr>
                <m:t>F=-</m:t>
              </m:r>
              <m:func>
                <m:funcPr>
                  <m:ctrlPr>
                    <w:rPr>
                      <w:rFonts w:ascii="Cambria Math" w:eastAsia="Aptos" w:hAnsi="Cambria Math"/>
                      <w:kern w:val="2"/>
                    </w:rPr>
                  </m:ctrlPr>
                </m:funcPr>
                <m:fName>
                  <m:r>
                    <m:rPr>
                      <m:sty m:val="p"/>
                    </m:rPr>
                    <w:rPr>
                      <w:rFonts w:ascii="Cambria Math" w:eastAsia="Aptos" w:hAnsi="Cambria Math"/>
                      <w:kern w:val="2"/>
                    </w:rPr>
                    <m:t>ln</m:t>
                  </m:r>
                  <m:ctrlPr>
                    <w:rPr>
                      <w:rFonts w:ascii="Cambria Math" w:eastAsia="Aptos" w:hAnsi="Cambria Math"/>
                      <w:i/>
                      <w:kern w:val="2"/>
                    </w:rPr>
                  </m:ctrlPr>
                </m:fName>
                <m:e>
                  <m:d>
                    <m:dPr>
                      <m:ctrlPr>
                        <w:rPr>
                          <w:rFonts w:ascii="Cambria Math" w:eastAsia="Aptos" w:hAnsi="Cambria Math"/>
                          <w:i/>
                          <w:kern w:val="2"/>
                        </w:rPr>
                      </m:ctrlPr>
                    </m:dPr>
                    <m:e>
                      <m:r>
                        <w:rPr>
                          <w:rFonts w:ascii="Cambria Math" w:eastAsia="Aptos" w:hAnsi="Cambria Math"/>
                          <w:kern w:val="2"/>
                        </w:rPr>
                        <m:t>1-</m:t>
                      </m:r>
                      <m:f>
                        <m:fPr>
                          <m:ctrlPr>
                            <w:rPr>
                              <w:rFonts w:ascii="Cambria Math" w:eastAsia="Aptos" w:hAnsi="Cambria Math"/>
                              <w:i/>
                              <w:kern w:val="2"/>
                            </w:rPr>
                          </m:ctrlPr>
                        </m:fPr>
                        <m:num>
                          <m:r>
                            <w:rPr>
                              <w:rFonts w:ascii="Cambria Math" w:eastAsia="Aptos" w:hAnsi="Cambria Math"/>
                              <w:kern w:val="2"/>
                            </w:rPr>
                            <m:t>Y</m:t>
                          </m:r>
                        </m:num>
                        <m:den>
                          <m:r>
                            <w:rPr>
                              <w:rFonts w:ascii="Cambria Math" w:eastAsia="Aptos" w:hAnsi="Cambria Math"/>
                              <w:kern w:val="2"/>
                            </w:rPr>
                            <m:t>B</m:t>
                          </m:r>
                        </m:den>
                      </m:f>
                    </m:e>
                  </m:d>
                </m:e>
              </m:func>
              <m:r>
                <w:rPr>
                  <w:rFonts w:ascii="Cambria Math" w:eastAsia="Aptos" w:hAnsi="Cambria Math"/>
                  <w:kern w:val="2"/>
                </w:rPr>
                <m:t>#</m:t>
              </m:r>
              <m:d>
                <m:dPr>
                  <m:ctrlPr>
                    <w:rPr>
                      <w:rFonts w:ascii="Cambria Math" w:eastAsia="Aptos" w:hAnsi="Cambria Math"/>
                      <w:i/>
                      <w:kern w:val="2"/>
                    </w:rPr>
                  </m:ctrlPr>
                </m:dPr>
                <m:e>
                  <m:r>
                    <w:rPr>
                      <w:rFonts w:ascii="Cambria Math" w:eastAsia="Aptos" w:hAnsi="Cambria Math"/>
                      <w:kern w:val="2"/>
                    </w:rPr>
                    <m:t>Eq 9</m:t>
                  </m:r>
                </m:e>
              </m:d>
            </m:e>
          </m:eqArr>
        </m:oMath>
      </m:oMathPara>
    </w:p>
    <w:p w14:paraId="5A2FFB08" w14:textId="77777777" w:rsidR="00505CD0" w:rsidRPr="00245F43" w:rsidRDefault="00505CD0" w:rsidP="00505CD0">
      <w:pPr>
        <w:spacing w:line="480" w:lineRule="auto"/>
        <w:jc w:val="both"/>
        <w:rPr>
          <w:rFonts w:eastAsia="Aptos"/>
          <w:bCs/>
          <w:kern w:val="2"/>
        </w:rPr>
      </w:pPr>
      <w:r>
        <w:rPr>
          <w:rFonts w:eastAsia="Aptos"/>
          <w:bCs/>
          <w:kern w:val="2"/>
        </w:rPr>
        <w:t>Under this framework, t</w:t>
      </w:r>
      <w:r w:rsidRPr="00B22612">
        <w:rPr>
          <w:rFonts w:eastAsia="Aptos"/>
          <w:bCs/>
          <w:kern w:val="2"/>
        </w:rPr>
        <w:t xml:space="preserve">he target fishing mortality rate </w:t>
      </w:r>
      <w:r>
        <w:rPr>
          <w:rFonts w:eastAsia="Aptos"/>
          <w:bCs/>
          <w:kern w:val="2"/>
        </w:rPr>
        <w:t>can be</w:t>
      </w:r>
      <w:r w:rsidRPr="00B22612">
        <w:rPr>
          <w:rFonts w:eastAsia="Aptos"/>
          <w:bCs/>
          <w:kern w:val="2"/>
        </w:rPr>
        <w:t xml:space="preserve"> interpreted as applying to the L</w:t>
      </w:r>
      <w:r>
        <w:rPr>
          <w:rFonts w:eastAsia="Aptos"/>
          <w:bCs/>
          <w:kern w:val="2"/>
        </w:rPr>
        <w:t>A</w:t>
      </w:r>
      <w:r w:rsidRPr="00B22612">
        <w:rPr>
          <w:rFonts w:eastAsia="Aptos"/>
          <w:bCs/>
          <w:kern w:val="2"/>
        </w:rPr>
        <w:t xml:space="preserve"> fleet removals. Total removals and </w:t>
      </w:r>
      <w:r>
        <w:rPr>
          <w:rFonts w:eastAsia="Aptos"/>
          <w:bCs/>
          <w:kern w:val="2"/>
        </w:rPr>
        <w:t xml:space="preserve">the </w:t>
      </w:r>
      <w:r w:rsidRPr="002070CB">
        <w:rPr>
          <w:rFonts w:eastAsia="Aptos"/>
          <w:bCs/>
          <w:kern w:val="2"/>
        </w:rPr>
        <w:t xml:space="preserve">Limited Access General Category (LAGC) </w:t>
      </w:r>
      <w:r w:rsidRPr="00B22612">
        <w:rPr>
          <w:rFonts w:eastAsia="Aptos"/>
          <w:bCs/>
          <w:kern w:val="2"/>
        </w:rPr>
        <w:t>allocation w</w:t>
      </w:r>
      <w:r>
        <w:rPr>
          <w:rFonts w:eastAsia="Aptos"/>
          <w:bCs/>
          <w:kern w:val="2"/>
        </w:rPr>
        <w:t xml:space="preserve">ill be </w:t>
      </w:r>
      <w:r w:rsidRPr="00B22612">
        <w:rPr>
          <w:rFonts w:eastAsia="Aptos"/>
          <w:bCs/>
          <w:kern w:val="2"/>
        </w:rPr>
        <w:t>calculated assuming th</w:t>
      </w:r>
      <w:r>
        <w:rPr>
          <w:rFonts w:eastAsia="Aptos"/>
          <w:bCs/>
          <w:kern w:val="2"/>
        </w:rPr>
        <w:t>at the LA vessel yield represents</w:t>
      </w:r>
      <w:r w:rsidRPr="00B22612">
        <w:rPr>
          <w:rFonts w:eastAsia="Aptos"/>
          <w:bCs/>
          <w:kern w:val="2"/>
        </w:rPr>
        <w:t xml:space="preserve"> 94.5% </w:t>
      </w:r>
      <w:r>
        <w:rPr>
          <w:rFonts w:eastAsia="Aptos"/>
          <w:bCs/>
          <w:kern w:val="2"/>
        </w:rPr>
        <w:t xml:space="preserve">of the total </w:t>
      </w:r>
      <w:r w:rsidRPr="00B22612">
        <w:rPr>
          <w:rFonts w:eastAsia="Aptos"/>
          <w:bCs/>
          <w:kern w:val="2"/>
        </w:rPr>
        <w:t>allocation</w:t>
      </w:r>
      <w:r>
        <w:rPr>
          <w:rFonts w:eastAsia="Aptos"/>
          <w:bCs/>
          <w:kern w:val="2"/>
        </w:rPr>
        <w:t>, as</w:t>
      </w:r>
      <w:r w:rsidRPr="00B22612">
        <w:rPr>
          <w:rFonts w:eastAsia="Aptos"/>
          <w:bCs/>
          <w:kern w:val="2"/>
        </w:rPr>
        <w:t xml:space="preserve"> specified in the </w:t>
      </w:r>
      <w:r w:rsidRPr="002070CB">
        <w:rPr>
          <w:rFonts w:eastAsia="Aptos"/>
          <w:bCs/>
          <w:kern w:val="2"/>
        </w:rPr>
        <w:t xml:space="preserve">Atlantic </w:t>
      </w:r>
      <w:r>
        <w:rPr>
          <w:rFonts w:eastAsia="Aptos"/>
          <w:bCs/>
          <w:kern w:val="2"/>
        </w:rPr>
        <w:t>s</w:t>
      </w:r>
      <w:r w:rsidRPr="002070CB">
        <w:rPr>
          <w:rFonts w:eastAsia="Aptos"/>
          <w:bCs/>
          <w:kern w:val="2"/>
        </w:rPr>
        <w:t xml:space="preserve">ea </w:t>
      </w:r>
      <w:r>
        <w:rPr>
          <w:rFonts w:eastAsia="Aptos"/>
          <w:bCs/>
          <w:kern w:val="2"/>
        </w:rPr>
        <w:t>s</w:t>
      </w:r>
      <w:r w:rsidRPr="002070CB">
        <w:rPr>
          <w:rFonts w:eastAsia="Aptos"/>
          <w:bCs/>
          <w:kern w:val="2"/>
        </w:rPr>
        <w:t xml:space="preserve">callop Fishery Management Plan. </w:t>
      </w:r>
      <w:r w:rsidRPr="002070CB">
        <w:rPr>
          <w:rFonts w:eastAsia="Aptos"/>
          <w:kern w:val="2"/>
        </w:rPr>
        <w:t xml:space="preserve"> </w:t>
      </w:r>
    </w:p>
    <w:p w14:paraId="7DBE5AC3" w14:textId="77777777" w:rsidR="00505CD0" w:rsidRDefault="00505CD0" w:rsidP="00505CD0">
      <w:pPr>
        <w:spacing w:line="480" w:lineRule="auto"/>
        <w:jc w:val="both"/>
        <w:rPr>
          <w:rFonts w:eastAsia="Aptos"/>
          <w:kern w:val="2"/>
        </w:rPr>
      </w:pPr>
      <w:r w:rsidRPr="002070CB">
        <w:rPr>
          <w:rFonts w:eastAsia="Aptos"/>
          <w:kern w:val="2"/>
        </w:rPr>
        <w:t xml:space="preserve">Uncertainty in biomass estimates </w:t>
      </w:r>
      <w:r>
        <w:rPr>
          <w:rFonts w:eastAsia="Aptos"/>
          <w:kern w:val="2"/>
        </w:rPr>
        <w:t xml:space="preserve">for each scenario </w:t>
      </w:r>
      <w:r w:rsidRPr="002070CB">
        <w:rPr>
          <w:rFonts w:eastAsia="Aptos"/>
          <w:kern w:val="2"/>
        </w:rPr>
        <w:t xml:space="preserve">will be propagated using Monte Carlo draws, where management scenarios will be repeated 5,000 times and during each repetition survey abundance, von </w:t>
      </w:r>
      <w:proofErr w:type="spellStart"/>
      <w:r w:rsidRPr="002070CB">
        <w:rPr>
          <w:rFonts w:eastAsia="Aptos"/>
          <w:kern w:val="2"/>
        </w:rPr>
        <w:t>Bertalanffy</w:t>
      </w:r>
      <w:proofErr w:type="spellEnd"/>
      <w:r w:rsidRPr="002070CB">
        <w:rPr>
          <w:rFonts w:eastAsia="Aptos"/>
          <w:kern w:val="2"/>
        </w:rPr>
        <w:t xml:space="preserve"> growth parameters, natural mortality rates, </w:t>
      </w:r>
      <w:r>
        <w:rPr>
          <w:rFonts w:eastAsia="Aptos"/>
          <w:kern w:val="2"/>
        </w:rPr>
        <w:t xml:space="preserve">and </w:t>
      </w:r>
      <w:r w:rsidRPr="002070CB">
        <w:rPr>
          <w:rFonts w:eastAsia="Aptos"/>
          <w:kern w:val="2"/>
        </w:rPr>
        <w:t>meat weight regression parameter values will be drawn from distributions</w:t>
      </w:r>
      <w:r>
        <w:rPr>
          <w:rFonts w:eastAsia="Aptos"/>
          <w:kern w:val="2"/>
        </w:rPr>
        <w:t xml:space="preserve"> and appropriately assigned to sub-areas (Hilborn and Walters 1992; Punt and Hilborn 1997; Ralston et al 2011)</w:t>
      </w:r>
      <w:r w:rsidRPr="002070CB">
        <w:rPr>
          <w:rFonts w:eastAsia="Aptos"/>
          <w:kern w:val="2"/>
        </w:rPr>
        <w:t>. This will allow for exploitable biomass</w:t>
      </w:r>
      <w:r>
        <w:rPr>
          <w:rFonts w:eastAsia="Aptos"/>
          <w:kern w:val="2"/>
        </w:rPr>
        <w:t>, yield, and realized fishing mortality rate</w:t>
      </w:r>
      <w:r w:rsidRPr="002070CB">
        <w:rPr>
          <w:rFonts w:eastAsia="Aptos"/>
          <w:kern w:val="2"/>
        </w:rPr>
        <w:t xml:space="preserve"> estimates to be expressed as median values with 95% confidence intervals, and biomass decline probabilities for scenarios can be described. </w:t>
      </w:r>
    </w:p>
    <w:p w14:paraId="0AACEA85" w14:textId="77777777" w:rsidR="00505CD0" w:rsidRDefault="00505CD0" w:rsidP="00505CD0">
      <w:pPr>
        <w:spacing w:line="480" w:lineRule="auto"/>
        <w:jc w:val="both"/>
        <w:rPr>
          <w:rFonts w:eastAsia="Aptos"/>
          <w:kern w:val="2"/>
        </w:rPr>
      </w:pPr>
      <w:r>
        <w:rPr>
          <w:rFonts w:eastAsia="Aptos"/>
          <w:kern w:val="2"/>
        </w:rPr>
        <w:lastRenderedPageBreak/>
        <w:t xml:space="preserve">Regional (at least one set for each of Georges Bank and the Mid Atlantic) von </w:t>
      </w:r>
      <w:proofErr w:type="spellStart"/>
      <w:r>
        <w:rPr>
          <w:rFonts w:eastAsia="Aptos"/>
          <w:kern w:val="2"/>
        </w:rPr>
        <w:t>Bertalanffy</w:t>
      </w:r>
      <w:proofErr w:type="spellEnd"/>
      <w:r>
        <w:rPr>
          <w:rFonts w:eastAsia="Aptos"/>
          <w:kern w:val="2"/>
        </w:rPr>
        <w:t xml:space="preserve"> growth parameters will follow normal distributions, with means and coefficient of variations (CVs) obtained from the 2025 Atlantic Sea Scallop Research Track (Sullivan et al 2025). Regional natural mortality rates will be drawn from lognormal distributions that allow for high uncertainty (CVs ~ 30-40%) and means informed by the 2025 Atlantic Sea Scallop Research Track (Sullivan et al 2025). Regional meat weight regression parameters will be drawn from normal distributions and the means and CVs informed by the Scallop Plan Development Team (PDT) regional regressions developed in 2025 (NEFMC Scallop PDT 2025). Sub-area level abundance distributions will be derived from drop camera survey data (Bethoney and Stokesbury 2018) and other survey groups (such as the dredge and </w:t>
      </w:r>
      <w:proofErr w:type="spellStart"/>
      <w:r>
        <w:rPr>
          <w:rFonts w:eastAsia="Aptos"/>
          <w:kern w:val="2"/>
        </w:rPr>
        <w:t>HabCam</w:t>
      </w:r>
      <w:proofErr w:type="spellEnd"/>
      <w:r>
        <w:rPr>
          <w:rFonts w:eastAsia="Aptos"/>
          <w:kern w:val="2"/>
        </w:rPr>
        <w:t xml:space="preserve"> surveys) will be contacted for inclusion of their data. The abundance distributions at the sub-area level will follow a lognormal distribution with means and CVs derived from the survey observations, and the drawn sub-area specific abundances will be distributed across the observed shell-height frequencies in each sub-area (Pennington 1983; Thorson 2018). </w:t>
      </w:r>
    </w:p>
    <w:p w14:paraId="26ADB793" w14:textId="77777777" w:rsidR="00505CD0" w:rsidRDefault="00505CD0" w:rsidP="00505CD0">
      <w:pPr>
        <w:spacing w:line="480" w:lineRule="auto"/>
        <w:jc w:val="both"/>
        <w:rPr>
          <w:rFonts w:eastAsia="Aptos"/>
          <w:kern w:val="2"/>
        </w:rPr>
      </w:pPr>
      <w:r>
        <w:rPr>
          <w:rFonts w:eastAsia="Aptos"/>
          <w:kern w:val="2"/>
        </w:rPr>
        <w:t>Fishery yield data will be obtained from the Greater Atlantic Regional Fisheries Office quota monitoring website (</w:t>
      </w:r>
      <w:hyperlink r:id="rId4" w:history="1">
        <w:r w:rsidRPr="00013876">
          <w:rPr>
            <w:rStyle w:val="Hyperlink"/>
            <w:rFonts w:eastAsia="Aptos"/>
            <w:kern w:val="2"/>
          </w:rPr>
          <w:t>https://apps-garfo.fisheries.noaa.gov/quota-monitoring/atlantic-sea-scallop/reports-current/atlanticseascallop.html</w:t>
        </w:r>
      </w:hyperlink>
      <w:r>
        <w:rPr>
          <w:rFonts w:eastAsia="Aptos"/>
          <w:kern w:val="2"/>
        </w:rPr>
        <w:t xml:space="preserve">), which tracks landings for all open bottom areas combined and for individual rotational areas. Commercial dredge size-selectivity will be fixed in the model and use the parameters from Roman and Rudders (2019). The LPUE value used for calculating DAS from projected open bottom yield will be an average LPUE from three years prior. </w:t>
      </w:r>
      <w:r w:rsidRPr="00E518FE">
        <w:rPr>
          <w:rFonts w:eastAsia="Aptos"/>
          <w:kern w:val="2"/>
        </w:rPr>
        <w:t>The framework assumes no movement of scallops among sub-areas over the projection timeframe. Furthermore, processes such as natural mortality, growth, and recruitment are implicitly assumed to be density independent</w:t>
      </w:r>
      <w:r>
        <w:rPr>
          <w:rFonts w:eastAsia="Aptos"/>
          <w:kern w:val="2"/>
        </w:rPr>
        <w:t xml:space="preserve"> (Hilborn and Walters 1992; Myers et al 1995), however density-</w:t>
      </w:r>
      <w:r>
        <w:rPr>
          <w:rFonts w:eastAsia="Aptos"/>
          <w:kern w:val="2"/>
        </w:rPr>
        <w:lastRenderedPageBreak/>
        <w:t>dependent affects can be reflected by using area-specific growth and natural mortality rates informed by literature</w:t>
      </w:r>
      <w:r w:rsidRPr="00E518FE">
        <w:rPr>
          <w:rFonts w:eastAsia="Aptos"/>
          <w:kern w:val="2"/>
        </w:rPr>
        <w:t xml:space="preserve">. These decisions are for simplification and </w:t>
      </w:r>
      <w:r>
        <w:rPr>
          <w:rFonts w:eastAsia="Aptos"/>
          <w:kern w:val="2"/>
        </w:rPr>
        <w:t>including</w:t>
      </w:r>
      <w:r w:rsidRPr="00E518FE">
        <w:rPr>
          <w:rFonts w:eastAsia="Aptos"/>
          <w:kern w:val="2"/>
        </w:rPr>
        <w:t xml:space="preserve"> </w:t>
      </w:r>
      <w:r>
        <w:rPr>
          <w:rFonts w:eastAsia="Aptos"/>
          <w:kern w:val="2"/>
        </w:rPr>
        <w:t xml:space="preserve">movement or expressing </w:t>
      </w:r>
      <w:r w:rsidRPr="00E518FE">
        <w:rPr>
          <w:rFonts w:eastAsia="Aptos"/>
          <w:kern w:val="2"/>
        </w:rPr>
        <w:t xml:space="preserve">any of these </w:t>
      </w:r>
      <w:r>
        <w:rPr>
          <w:rFonts w:eastAsia="Aptos"/>
          <w:kern w:val="2"/>
        </w:rPr>
        <w:t xml:space="preserve">other processes explicitly </w:t>
      </w:r>
      <w:r w:rsidRPr="00E518FE">
        <w:rPr>
          <w:rFonts w:eastAsia="Aptos"/>
          <w:kern w:val="2"/>
        </w:rPr>
        <w:t>as density dependent</w:t>
      </w:r>
      <w:r>
        <w:rPr>
          <w:rFonts w:eastAsia="Aptos"/>
          <w:kern w:val="2"/>
        </w:rPr>
        <w:t xml:space="preserve">, </w:t>
      </w:r>
      <w:r w:rsidRPr="00E518FE">
        <w:rPr>
          <w:rFonts w:eastAsia="Aptos"/>
          <w:kern w:val="2"/>
        </w:rPr>
        <w:t>could be introduced to the model in future iterations.</w:t>
      </w:r>
    </w:p>
    <w:p w14:paraId="71685246" w14:textId="77777777" w:rsidR="00505CD0" w:rsidRDefault="00505CD0" w:rsidP="00505CD0">
      <w:pPr>
        <w:spacing w:line="480" w:lineRule="auto"/>
        <w:jc w:val="both"/>
        <w:rPr>
          <w:rFonts w:eastAsia="Aptos"/>
          <w:kern w:val="2"/>
        </w:rPr>
      </w:pPr>
      <w:r>
        <w:rPr>
          <w:rFonts w:eastAsia="Aptos"/>
          <w:kern w:val="2"/>
        </w:rPr>
        <w:t>In addition to the stochastic sensitivity tested through the Monte Carlo simulations, further sensitivity tests will focus on examining low and high extremes of natural mortality rates, growth parameters, and fishery selectivity L</w:t>
      </w:r>
      <w:r>
        <w:rPr>
          <w:rFonts w:eastAsia="Aptos"/>
          <w:kern w:val="2"/>
          <w:vertAlign w:val="subscript"/>
        </w:rPr>
        <w:t xml:space="preserve">50 </w:t>
      </w:r>
      <w:r>
        <w:rPr>
          <w:rFonts w:eastAsia="Aptos"/>
          <w:kern w:val="2"/>
        </w:rPr>
        <w:t>parameters, while keeping all other parameters fixed. Further scenarios will test various target fishing mortality rates and rotational area specifications (such as number and size of trips). The model will also be compared to previous SAMS outputs using retrospective datasets, focusing on years with well-documented SAMS runs, good survey coverage, and a mixture of number of rotational access areas that were open and a mixture of scallop densities (Mohn 1999; Punt et al 2016). Each retrospective run of the model will use survey data, spatial management structure, number of LA vessels, and rotational trip allocations from the relevant year. Monte Carlo distributions will be centered around meat weight regression, growth and natural mortality parameters used at the time for each retrospective run. The model exploitable biomass projection results will be compared to both SAMS outputs and fishery-independent abundance observations at the time. The retrospective projected LA yields will be compared to respective realized fishing yields, and projected realized fishing morality rates will be compared to SAMS outputs. Single year comparison metrics will be quantified using percent error statistics and multiyear comparisons will quantify mean absolute square error, root mean square error and examine the probability that past fishery-independent exploitable biomass observations fall within the Monte Carlo confidence intervals from the new model.</w:t>
      </w:r>
    </w:p>
    <w:p w14:paraId="4A293965" w14:textId="77777777" w:rsidR="00505CD0" w:rsidRDefault="00505CD0" w:rsidP="00505CD0">
      <w:pPr>
        <w:spacing w:line="480" w:lineRule="auto"/>
        <w:jc w:val="both"/>
        <w:rPr>
          <w:rFonts w:eastAsia="Aptos"/>
          <w:kern w:val="2"/>
        </w:rPr>
      </w:pPr>
      <w:r>
        <w:rPr>
          <w:rFonts w:eastAsia="Aptos"/>
          <w:kern w:val="2"/>
        </w:rPr>
        <w:lastRenderedPageBreak/>
        <w:t xml:space="preserve">This baseline model is a simpler, transparent version of SAMS but remains comparable. The model is spatially structured, explicitly propagates uncertainty, and is transparent about management interpretation. Complexity is reduced compared to SAMS by avoiding effort and fleet modelling and over-parameterization. If testing is successful, appropriate complexity can be added to the model over multiple projects. This process is started in this project by the development and </w:t>
      </w:r>
      <w:r w:rsidRPr="0046670A">
        <w:rPr>
          <w:rFonts w:eastAsia="Aptos"/>
          <w:kern w:val="2"/>
        </w:rPr>
        <w:t>integrat</w:t>
      </w:r>
      <w:r>
        <w:rPr>
          <w:rFonts w:eastAsia="Aptos"/>
          <w:kern w:val="2"/>
        </w:rPr>
        <w:t>ion of</w:t>
      </w:r>
      <w:r w:rsidRPr="0046670A">
        <w:rPr>
          <w:rFonts w:eastAsia="Aptos"/>
          <w:kern w:val="2"/>
        </w:rPr>
        <w:t xml:space="preserve"> a predictive LPUE </w:t>
      </w:r>
      <w:r>
        <w:rPr>
          <w:rFonts w:eastAsia="Aptos"/>
          <w:kern w:val="2"/>
        </w:rPr>
        <w:t>sub-</w:t>
      </w:r>
      <w:r w:rsidRPr="0046670A">
        <w:rPr>
          <w:rFonts w:eastAsia="Aptos"/>
          <w:kern w:val="2"/>
        </w:rPr>
        <w:t>model to translate yield into effort requirements, allowing examination of density-dependent fleet performance without explicitly modeling effort allocation</w:t>
      </w:r>
      <w:r>
        <w:rPr>
          <w:rFonts w:eastAsia="Aptos"/>
          <w:kern w:val="2"/>
        </w:rPr>
        <w:t xml:space="preserve">. </w:t>
      </w:r>
    </w:p>
    <w:p w14:paraId="2A8BBC2C" w14:textId="77777777" w:rsidR="00505CD0" w:rsidRDefault="00505CD0" w:rsidP="00505CD0">
      <w:pPr>
        <w:spacing w:line="480" w:lineRule="auto"/>
        <w:jc w:val="both"/>
        <w:rPr>
          <w:rFonts w:eastAsia="Aptos"/>
          <w:kern w:val="2"/>
        </w:rPr>
      </w:pPr>
      <w:r>
        <w:rPr>
          <w:rFonts w:eastAsia="Aptos"/>
          <w:kern w:val="2"/>
        </w:rPr>
        <w:t xml:space="preserve">The LPUE sub-model will be fit to historical annual estimates of LPUE from the LA fleet and be modelled based on open bottom exploitable biomass, price of the 10-20 count scallop market category, and the proportion of the less than 10 count sized scallops in the projected population. This incorporates two of the important variables from the model developed by Wright et al (2019), while allowing LPUE to respond to exploitable biomass magnitude. The other variables in the final Wright et al (2019) model (year, month, port, and permit type) are not useful for integration into the proposed projection model because future years are being projected, the model is not seasonal, there is insufficient detail in the projection model to include fishing port dynamics, and the model is solely focused on the LA fleet. The parameters for the relationship between each of annual exploitable biomass, price of the 10-20 count scallop market category, and the proportion of the less than 10 count sized scallops to annual LPUE will be determined by fitting a generalized linear model (GLM) with gaussian error distribution and a log link (Campbell 2004; Maunder and Punt 2004; Wright et al 2019). </w:t>
      </w:r>
    </w:p>
    <w:p w14:paraId="4DBEADB7" w14:textId="77777777" w:rsidR="00505CD0" w:rsidRDefault="00505CD0" w:rsidP="00505CD0">
      <w:pPr>
        <w:spacing w:line="480" w:lineRule="auto"/>
        <w:jc w:val="both"/>
        <w:rPr>
          <w:rFonts w:eastAsia="Aptos"/>
          <w:kern w:val="2"/>
        </w:rPr>
      </w:pPr>
      <w:r>
        <w:rPr>
          <w:rFonts w:eastAsia="Aptos"/>
          <w:kern w:val="2"/>
        </w:rPr>
        <w:t xml:space="preserve">The projection model will then be modified to project an annual average LPUE for the second year based on the three variables and parameters estimated in the sub-model. The annual proportion of less than 10 count sized scallops projected to be in the open-bottom population at the start of the </w:t>
      </w:r>
      <w:r>
        <w:rPr>
          <w:rFonts w:eastAsia="Aptos"/>
          <w:kern w:val="2"/>
        </w:rPr>
        <w:lastRenderedPageBreak/>
        <w:t xml:space="preserve">second year will be estimated from the projected size structure at that point. The expected price of the 10-20 scallop count market category will be included as a fixed value and examined through sensitivity runs. The DAS for each scenario will then be estimated in the same fashion as the initial projection model but using the modeled LPUE estimate instead of the recent average LPUE. The updated projection model will undergo sensitivity runs to examine different market prices for 10-20 scallop counts and variations of the LPUE sub-model parameters. This model will be compared to the simpler version and retrospectively to SAMS, actual fishery yield, and fishery-independent survey biomass estimates in the same manner described before. </w:t>
      </w:r>
    </w:p>
    <w:p w14:paraId="271B1522" w14:textId="77777777" w:rsidR="00505CD0" w:rsidRPr="008C402D" w:rsidRDefault="00505CD0" w:rsidP="00505CD0">
      <w:pPr>
        <w:spacing w:line="480" w:lineRule="auto"/>
        <w:jc w:val="both"/>
        <w:rPr>
          <w:rFonts w:eastAsia="Aptos"/>
          <w:kern w:val="2"/>
        </w:rPr>
      </w:pPr>
      <w:r>
        <w:rPr>
          <w:rFonts w:eastAsia="Aptos"/>
          <w:kern w:val="2"/>
        </w:rPr>
        <w:t xml:space="preserve">Both iterations of the projection models, sensitivity analyses, and the LPUE sub-model fitting will be written in R code and provided as appendices on completion of the project. It is hoped that further iterations and improvements to the framework can be made in other future projects. </w:t>
      </w:r>
    </w:p>
    <w:p w14:paraId="2097FAE4" w14:textId="1284D0C3" w:rsidR="009F7802" w:rsidRPr="00505CD0" w:rsidRDefault="00E53E2E" w:rsidP="00505CD0">
      <w:pPr>
        <w:rPr>
          <w:rFonts w:eastAsiaTheme="minorHAnsi"/>
        </w:rPr>
      </w:pPr>
      <w:r w:rsidRPr="00505CD0">
        <w:rPr>
          <w:rFonts w:eastAsiaTheme="minorHAnsi"/>
        </w:rPr>
        <w:t xml:space="preserve"> </w:t>
      </w:r>
    </w:p>
    <w:sectPr w:rsidR="009F7802" w:rsidRPr="00505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2E"/>
    <w:rsid w:val="000C7BAF"/>
    <w:rsid w:val="003F5DAF"/>
    <w:rsid w:val="00505CD0"/>
    <w:rsid w:val="00840150"/>
    <w:rsid w:val="00897170"/>
    <w:rsid w:val="009532BA"/>
    <w:rsid w:val="009F7802"/>
    <w:rsid w:val="00E53E2E"/>
    <w:rsid w:val="00E84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2A558"/>
  <w15:chartTrackingRefBased/>
  <w15:docId w15:val="{3A43E69E-7508-462A-9B16-2BE17E50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E2E"/>
    <w:pPr>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E53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E2E"/>
    <w:rPr>
      <w:rFonts w:eastAsiaTheme="majorEastAsia" w:cstheme="majorBidi"/>
      <w:color w:val="272727" w:themeColor="text1" w:themeTint="D8"/>
    </w:rPr>
  </w:style>
  <w:style w:type="paragraph" w:styleId="Title">
    <w:name w:val="Title"/>
    <w:basedOn w:val="Normal"/>
    <w:next w:val="Normal"/>
    <w:link w:val="TitleChar"/>
    <w:uiPriority w:val="10"/>
    <w:qFormat/>
    <w:rsid w:val="00E53E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E2E"/>
    <w:pPr>
      <w:spacing w:before="160"/>
      <w:jc w:val="center"/>
    </w:pPr>
    <w:rPr>
      <w:i/>
      <w:iCs/>
      <w:color w:val="404040" w:themeColor="text1" w:themeTint="BF"/>
    </w:rPr>
  </w:style>
  <w:style w:type="character" w:customStyle="1" w:styleId="QuoteChar">
    <w:name w:val="Quote Char"/>
    <w:basedOn w:val="DefaultParagraphFont"/>
    <w:link w:val="Quote"/>
    <w:uiPriority w:val="29"/>
    <w:rsid w:val="00E53E2E"/>
    <w:rPr>
      <w:i/>
      <w:iCs/>
      <w:color w:val="404040" w:themeColor="text1" w:themeTint="BF"/>
    </w:rPr>
  </w:style>
  <w:style w:type="paragraph" w:styleId="ListParagraph">
    <w:name w:val="List Paragraph"/>
    <w:basedOn w:val="Normal"/>
    <w:link w:val="ListParagraphChar"/>
    <w:uiPriority w:val="34"/>
    <w:qFormat/>
    <w:rsid w:val="00E53E2E"/>
    <w:pPr>
      <w:ind w:left="720"/>
      <w:contextualSpacing/>
    </w:pPr>
  </w:style>
  <w:style w:type="character" w:styleId="IntenseEmphasis">
    <w:name w:val="Intense Emphasis"/>
    <w:basedOn w:val="DefaultParagraphFont"/>
    <w:uiPriority w:val="21"/>
    <w:qFormat/>
    <w:rsid w:val="00E53E2E"/>
    <w:rPr>
      <w:i/>
      <w:iCs/>
      <w:color w:val="0F4761" w:themeColor="accent1" w:themeShade="BF"/>
    </w:rPr>
  </w:style>
  <w:style w:type="paragraph" w:styleId="IntenseQuote">
    <w:name w:val="Intense Quote"/>
    <w:basedOn w:val="Normal"/>
    <w:next w:val="Normal"/>
    <w:link w:val="IntenseQuoteChar"/>
    <w:uiPriority w:val="30"/>
    <w:qFormat/>
    <w:rsid w:val="00E53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E2E"/>
    <w:rPr>
      <w:i/>
      <w:iCs/>
      <w:color w:val="0F4761" w:themeColor="accent1" w:themeShade="BF"/>
    </w:rPr>
  </w:style>
  <w:style w:type="character" w:styleId="IntenseReference">
    <w:name w:val="Intense Reference"/>
    <w:basedOn w:val="DefaultParagraphFont"/>
    <w:uiPriority w:val="32"/>
    <w:qFormat/>
    <w:rsid w:val="00E53E2E"/>
    <w:rPr>
      <w:b/>
      <w:bCs/>
      <w:smallCaps/>
      <w:color w:val="0F4761" w:themeColor="accent1" w:themeShade="BF"/>
      <w:spacing w:val="5"/>
    </w:rPr>
  </w:style>
  <w:style w:type="paragraph" w:styleId="Header">
    <w:name w:val="header"/>
    <w:basedOn w:val="Normal"/>
    <w:link w:val="HeaderChar"/>
    <w:uiPriority w:val="99"/>
    <w:rsid w:val="00E53E2E"/>
    <w:pPr>
      <w:tabs>
        <w:tab w:val="center" w:pos="4320"/>
        <w:tab w:val="right" w:pos="8640"/>
      </w:tabs>
    </w:pPr>
    <w:rPr>
      <w:rFonts w:ascii="Palatino" w:hAnsi="Palatino"/>
      <w:szCs w:val="20"/>
    </w:rPr>
  </w:style>
  <w:style w:type="character" w:customStyle="1" w:styleId="HeaderChar">
    <w:name w:val="Header Char"/>
    <w:basedOn w:val="DefaultParagraphFont"/>
    <w:link w:val="Header"/>
    <w:uiPriority w:val="99"/>
    <w:rsid w:val="00E53E2E"/>
    <w:rPr>
      <w:rFonts w:ascii="Palatino" w:eastAsia="Times New Roman" w:hAnsi="Palatino" w:cs="Times New Roman"/>
      <w:kern w:val="0"/>
      <w:szCs w:val="20"/>
    </w:rPr>
  </w:style>
  <w:style w:type="character" w:styleId="Hyperlink">
    <w:name w:val="Hyperlink"/>
    <w:basedOn w:val="DefaultParagraphFont"/>
    <w:rsid w:val="00E53E2E"/>
    <w:rPr>
      <w:color w:val="0000FF"/>
      <w:u w:val="single"/>
    </w:rPr>
  </w:style>
  <w:style w:type="character" w:customStyle="1" w:styleId="ListParagraphChar">
    <w:name w:val="List Paragraph Char"/>
    <w:link w:val="ListParagraph"/>
    <w:uiPriority w:val="34"/>
    <w:rsid w:val="00E53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pps-garfo.fisheries.noaa.gov/quota-monitoring/atlantic-sea-scallop/reports-current/atlanticseascallo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2232</Words>
  <Characters>12599</Characters>
  <Application>Microsoft Office Word</Application>
  <DocSecurity>0</DocSecurity>
  <Lines>169</Lines>
  <Paragraphs>27</Paragraphs>
  <ScaleCrop>false</ScaleCrop>
  <Company/>
  <LinksUpToDate>false</LinksUpToDate>
  <CharactersWithSpaces>14816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J Delargy</dc:creator>
  <cp:keywords/>
  <dc:description/>
  <cp:lastModifiedBy>Adam J Delargy</cp:lastModifiedBy>
  <cp:revision>4</cp:revision>
  <dcterms:created xsi:type="dcterms:W3CDTF">2026-03-12T16:28:00Z</dcterms:created>
  <dcterms:modified xsi:type="dcterms:W3CDTF">2026-04-10T17:20:00Z</dcterms:modified>
</cp:coreProperties>
</file>