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Year range: 2024.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16:49:46.</w:t>
      </w:r>
    </w:p>
    <w:p>
      <w:r>
        <w:t>Log file saved to results/2024-11-15_CDL_UMCU_Publications.log.</w:t>
      </w:r>
    </w:p>
    <w:p/>
    <w:p>
      <w:r>
        <w:t>PubMed Miner v1.0.8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p10_journals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tal_publications_preprints_by_auth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