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  <w:br/>
      </w:r>
    </w:p>
    <w:p>
      <w:r>
        <w:t>Query date: 2024-11-15.</w:t>
      </w:r>
    </w:p>
    <w:p>
      <w:r>
        <w:t>Authors: van der Laan SW, Pasterkamp G, Mokry M, Schiffelers RM, van Solinge W, Haitjema S.</w:t>
        <w:br/>
      </w:r>
    </w:p>
    <w:p>
      <w:r>
        <w:t>Aliases used: Schiffelers R, van der Laan S, van der Laan S.W., van der Laan Sander W., Sander W. van der Laan, van Solinge WW, van Solinge W.W..</w:t>
        <w:br/>
      </w:r>
    </w:p>
    <w:p>
      <w:r>
        <w:t>No year filter used.</w:t>
        <w:br/>
      </w:r>
    </w:p>
    <w:p>
      <w:r>
        <w:t>Department(s): Central Diagnostic Laboratory.</w:t>
        <w:br/>
      </w:r>
    </w:p>
    <w:p>
      <w:r>
        <w:t>Organization: University Medical Center Utrecht.</w:t>
        <w:br/>
      </w:r>
    </w:p>
    <w:p>
      <w:r>
        <w:t>Results saved on 2024-11-15 08:44:15.</w:t>
        <w:br/>
      </w:r>
    </w:p>
    <w:p>
      <w:r>
        <w:t>Log file saved to results/2024-11-15_CDL_UMCU_Publications.log.</w:t>
        <w:br/>
      </w:r>
    </w:p>
    <w:p>
      <w:r>
        <w:t>PubMed Miner v1.0.3 (2024-11-15).</w:t>
        <w:br/>
      </w:r>
    </w:p>
    <w:p>
      <w:r>
        <w:t>Copyright 1979-2024. Sander W. van der Laan | s.w.vanderlaan [at] gmail [dot] com | https://vanderlaanand.science..</w:t>
        <w:br/>
      </w:r>
    </w:p>
    <w:p>
      <w:r>
        <w:t>GitHub repository: https://github.com/swvanderlaan/PubMed_Miner. Any issues or requests? Create one here: https://github.com/swvanderlaan/PubMed_Miner/issues.</w:t>
        <w:br/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39286457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Frontiers in genetics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https://doi.org/10.3389/fgene.2024.1392061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38477752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1080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https://doi.org/10.1093/jbmr/zjae022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38190101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Cell genomics</w:t>
            </w:r>
          </w:p>
        </w:tc>
        <w:tc>
          <w:tcPr>
            <w:tcW w:type="dxa" w:w="108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https://doi.org/10.1016/j.xgen.2023.100465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37950869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Cell reports</w:t>
            </w:r>
          </w:p>
        </w:tc>
        <w:tc>
          <w:tcPr>
            <w:tcW w:type="dxa" w:w="1080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https://doi.org/10.1016/j.celrep.2023.113380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37845353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https://doi.org/10.1038/s41588-023-01510-y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37126556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Science advances</w:t>
            </w:r>
          </w:p>
        </w:tc>
        <w:tc>
          <w:tcPr>
            <w:tcW w:type="dxa" w:w="1080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https://doi.org/10.1126/sciadv.add4984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37096546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Arthritis &amp; rheumatology (Hoboken, N.J.)</w:t>
            </w:r>
          </w:p>
        </w:tc>
        <w:tc>
          <w:tcPr>
            <w:tcW w:type="dxa" w:w="1080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https://doi.org/10.1002/art.42538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36864090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https://doi.org/10.1038/s41598-023-30369-6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36732776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BioData mining</w:t>
            </w:r>
          </w:p>
        </w:tc>
        <w:tc>
          <w:tcPr>
            <w:tcW w:type="dxa" w:w="1080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https://doi.org/10.1186/s13040-023-00321-5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36224396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A saturated map of common genetic variants associated with human height.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https://doi.org/10.1038/s41586-022-05275-y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36003902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https://doi.org/10.3389/fcvm.2022.969421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35812313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https://doi.org/10.3389/fphys.2022.909870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35758773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Bioinformatics (Oxford, England)</w:t>
            </w:r>
          </w:p>
        </w:tc>
        <w:tc>
          <w:tcPr>
            <w:tcW w:type="dxa" w:w="1080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https://doi.org/10.1093/bioinformatics/btac228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35317921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https://doi.org/10.1016/j.atherosclerosis.2022.03.006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32047268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European journal of human genetics : EJHG</w:t>
            </w:r>
          </w:p>
        </w:tc>
        <w:tc>
          <w:tcPr>
            <w:tcW w:type="dxa" w:w="1080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https://doi.org/10.1038/s41431-020-0580-5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31999532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Beyond GWAS in Atrial Fibrillation Genetics.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https://doi.org/10.1161/CIRCRESAHA.119.316479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38076909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https://doi.org/10.1101/2023.12.01.23294385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Frontiers in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Science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&amp; rheumatology (Hoboken, N.J.)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 (Oxford, England)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European journal of human genetics : EJHG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39498622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Cardiovascular research</w:t>
            </w:r>
          </w:p>
        </w:tc>
        <w:tc>
          <w:tcPr>
            <w:tcW w:type="dxa" w:w="1080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https://doi.org/10.1093/cvr/cvae209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38665903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https://doi.org/10.1038/s44161-022-00208-4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35523660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https://doi.org/10.1016/j.jacc.2022.04.004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35139657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https://doi.org/10.1161/ATVBAHA.121.316693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34556709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https://doi.org/10.1038/s41598-021-98177-4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34511318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https://doi.org/10.1016/j.ejvs.2021.06.039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34195238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https://doi.org/10.3389/fcvm.2021.693351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34012986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https://doi.org/10.3389/fcvm.2021.670843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33692130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Science translational medicine</w:t>
            </w:r>
          </w:p>
        </w:tc>
        <w:tc>
          <w:tcPr>
            <w:tcW w:type="dxa" w:w="1080"/>
          </w:tcPr>
          <w:p>
            <w:r>
              <w:t>Prosaposin mediates inflammation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https://doi.org/10.1126/scitranslmed.abe1433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33690814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Blood</w:t>
            </w:r>
          </w:p>
        </w:tc>
        <w:tc>
          <w:tcPr>
            <w:tcW w:type="dxa" w:w="1080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https://doi.org/10.1182/blood.2020008635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33183503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Preemptive Stenting of the Vulnerable Plaque: Fixing a Dogma?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https://doi.org/10.1016/j.jacc.2020.09.600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32335789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Heart failure reviews</w:t>
            </w:r>
          </w:p>
        </w:tc>
        <w:tc>
          <w:tcPr>
            <w:tcW w:type="dxa" w:w="1080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https://doi.org/10.1007/s10741-020-09960-w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32085575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Cells</w:t>
            </w:r>
          </w:p>
        </w:tc>
        <w:tc>
          <w:tcPr>
            <w:tcW w:type="dxa" w:w="1080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https://doi.org/10.3390/cells9020468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Pasterkamp G et al.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29273807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https://doi.org/10.1038/s41588-017-0011-x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26049157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European heart journal</w:t>
            </w:r>
          </w:p>
        </w:tc>
        <w:tc>
          <w:tcPr>
            <w:tcW w:type="dxa" w:w="1080"/>
          </w:tcPr>
          <w:p>
            <w:r>
              <w:t>Novel methodologies for biomarker discovery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https://doi.org/10.1093/eurheartj/ehv236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Science translational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failure reviews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European heart journal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39153264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39046890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journal of immunology</w:t>
            </w:r>
          </w:p>
        </w:tc>
        <w:tc>
          <w:tcPr>
            <w:tcW w:type="dxa" w:w="1080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https://doi.org/10.1002/eji.202350958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37563195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https://doi.org/10.1038/s41598-023-38880-6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36582114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Veterinary and comparative oncology</w:t>
            </w:r>
          </w:p>
        </w:tc>
        <w:tc>
          <w:tcPr>
            <w:tcW w:type="dxa" w:w="1080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https://doi.org/10.1111/vco.12871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37546840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https://doi.org/10.1101/2023.07.22.23292754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journal of immunology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Veterinary and comparative oncology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35170225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thrombosis and haemostasis : JTH</w:t>
            </w:r>
          </w:p>
        </w:tc>
        <w:tc>
          <w:tcPr>
            <w:tcW w:type="dxa" w:w="1080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https://doi.org/10.1111/jth.15674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30637094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Journal of extracellular vesicles</w:t>
            </w:r>
          </w:p>
        </w:tc>
        <w:tc>
          <w:tcPr>
            <w:tcW w:type="dxa" w:w="1080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https://doi.org/10.1080/20013078.2018.1535750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thrombosis and haemostasis : JTH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Journal of extracellular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38919958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https://doi.org/10.1002/hem3.109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38406513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https://doi.org/10.1002/jha2.850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37934880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Blood advances</w:t>
            </w:r>
          </w:p>
        </w:tc>
        <w:tc>
          <w:tcPr>
            <w:tcW w:type="dxa" w:w="1080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https://doi.org/10.1182/bloodadvances.2023011477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36467824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35472008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https://doi.org/10.1002/ajh.26581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35384026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https://doi.org/10.1002/ajh.26554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35328001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Genes</w:t>
            </w:r>
          </w:p>
        </w:tc>
        <w:tc>
          <w:tcPr>
            <w:tcW w:type="dxa" w:w="1080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https://doi.org/10.3390/genes13030447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34620597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BJGP open</w:t>
            </w:r>
          </w:p>
        </w:tc>
        <w:tc>
          <w:tcPr>
            <w:tcW w:type="dxa" w:w="1080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https://doi.org/10.3399/BJGPO.2021.0134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34396049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https://doi.org/10.1097/HS9.0000000000000627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34131631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https://doi.org/10.1097/HS9.0000000000000591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33997957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British journal of haematology</w:t>
            </w:r>
          </w:p>
        </w:tc>
        <w:tc>
          <w:tcPr>
            <w:tcW w:type="dxa" w:w="1080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https://doi.org/10.1111/bjh.17524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33841180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https://doi.org/10.3389/fphys.2021.641384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33054133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Haematologica</w:t>
            </w:r>
          </w:p>
        </w:tc>
        <w:tc>
          <w:tcPr>
            <w:tcW w:type="dxa" w:w="1080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https://doi.org/10.3324/haematol.2020.266957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31339544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JAMA network open</w:t>
            </w:r>
          </w:p>
        </w:tc>
        <w:tc>
          <w:tcPr>
            <w:tcW w:type="dxa" w:w="1080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https://doi.org/10.1001/jamanetworkopen.2019.7577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hematology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British journal of haematology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network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39334278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Antimicrobial resistance and infection control</w:t>
            </w:r>
          </w:p>
        </w:tc>
        <w:tc>
          <w:tcPr>
            <w:tcW w:type="dxa" w:w="1080"/>
          </w:tcPr>
          <w:p>
            <w:r>
              <w:t>Federated systems for automated infection surveillance: a perspective.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https://doi.org/10.1186/s13756-024-01464-8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39318684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https://doi.org/10.1093/ehjdh/ztae058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39274526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https://doi.org/10.3390/jcm13175313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39151892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Lupus</w:t>
            </w:r>
          </w:p>
        </w:tc>
        <w:tc>
          <w:tcPr>
            <w:tcW w:type="dxa" w:w="1080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https://doi.org/10.1177/09612033241273015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37322895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1080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https://doi.org/10.1177/10760296231183427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36976644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JCI insight</w:t>
            </w:r>
          </w:p>
        </w:tc>
        <w:tc>
          <w:tcPr>
            <w:tcW w:type="dxa" w:w="1080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https://doi.org/10.1172/jci.insight.158089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36712169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https://doi.org/10.1093/ehjdh/ztac031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36624385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bioinformatics</w:t>
            </w:r>
          </w:p>
        </w:tc>
        <w:tc>
          <w:tcPr>
            <w:tcW w:type="dxa" w:w="1080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https://doi.org/10.1186/s12859-022-05130-x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36245752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Ophthalmology science</w:t>
            </w:r>
          </w:p>
        </w:tc>
        <w:tc>
          <w:tcPr>
            <w:tcW w:type="dxa" w:w="1080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https://doi.org/10.1016/j.xops.2022.100175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35873347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digital health</w:t>
            </w:r>
          </w:p>
        </w:tc>
        <w:tc>
          <w:tcPr>
            <w:tcW w:type="dxa" w:w="1080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https://doi.org/10.3389/fdgth.2022.942588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35816504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https://doi.org/10.1371/journal.pone.0270858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35637278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https://doi.org/10.1038/s41598-022-13145-w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35321739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https://doi.org/10.1186/s13075-022-02751-8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35207289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https://doi.org/10.3390/jcm11041017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35086368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https://doi.org/10.1177/0271678X221077339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38983969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ophthalmology</w:t>
            </w:r>
          </w:p>
        </w:tc>
        <w:tc>
          <w:tcPr>
            <w:tcW w:type="dxa" w:w="1080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https://doi.org/10.3389/fopht.2021.784848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34453954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1080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https://doi.org/10.1016/j.radonc.2021.08.009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34306597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healthcare engineering</w:t>
            </w:r>
          </w:p>
        </w:tc>
        <w:tc>
          <w:tcPr>
            <w:tcW w:type="dxa" w:w="1080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https://doi.org/10.1155/2021/6663884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34238346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https://doi.org/10.1186/s13075-021-02560-5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34101756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https://doi.org/10.1371/journal.pone.0252978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33516844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International journal of cardiology</w:t>
            </w:r>
          </w:p>
        </w:tc>
        <w:tc>
          <w:tcPr>
            <w:tcW w:type="dxa" w:w="1080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https://doi.org/10.1016/j.ijcard.2020.12.093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Antimicrobial resistance and infection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Ophthalmology science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ophthalmology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healthcare engineering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International journal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