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Indicadores laborales para India</w:t>
      </w:r>
    </w:p>
    <w:p>
      <w:pPr>
        <w:pStyle w:val="Subtitle"/>
      </w:pPr>
      <w:r>
        <w:t>TP7 · Punto 2 · Trabajo y desarrollo</w:t>
      </w:r>
    </w:p>
    <w:p>
      <w:r>
        <w:t>Estos seis indicadores permiten mirar cuántas personas participan del mercado laboral, qué oportunidades tienen y qué calidad de empleo consiguen.</w:t>
      </w:r>
    </w:p>
    <w:p>
      <w:pPr>
        <w:keepLines/>
      </w:pPr>
      <w:r>
        <w:rPr>
          <w:b/>
        </w:rPr>
        <w:t xml:space="preserve">Tasa de participación laboral. </w:t>
      </w:r>
      <w:r>
        <w:t>Mide qué proporción de la población en edad de trabajar tiene empleo o lo busca. Comparar mujeres y varones permite detectar diferencias en el acceso al mercado laboral.</w:t>
      </w:r>
    </w:p>
    <w:p>
      <w:pPr>
        <w:keepLines/>
      </w:pPr>
      <w:r>
        <w:rPr>
          <w:b/>
        </w:rPr>
        <w:t xml:space="preserve">Relación entre ocupación y población. </w:t>
      </w:r>
      <w:r>
        <w:t>Muestra qué proporción de la población en edad de trabajar está ocupada. Sirve para ver cuánto empleo genera la economía, aunque no informa por sí sola sobre su calidad.</w:t>
      </w:r>
    </w:p>
    <w:p>
      <w:pPr>
        <w:keepLines/>
      </w:pPr>
      <w:r>
        <w:rPr>
          <w:b/>
        </w:rPr>
        <w:t xml:space="preserve">Tasa de desempleo. </w:t>
      </w:r>
      <w:r>
        <w:t>Indica qué parte de la fuerza de trabajo busca empleo y no lo consigue. Es útil para observar dificultades de inserción, pero debe leerse junto con la participación y la informalidad.</w:t>
      </w:r>
    </w:p>
    <w:p>
      <w:pPr>
        <w:keepLines/>
      </w:pPr>
      <w:r>
        <w:rPr>
          <w:b/>
        </w:rPr>
        <w:t xml:space="preserve">Tasa de ocupación informal. </w:t>
      </w:r>
      <w:r>
        <w:t>Permite observar cuánto empleo carece de registro o protección formal. Es interesante porque tener trabajo no siempre implica contar con protección social y derechos laborales efectivos.</w:t>
      </w:r>
    </w:p>
    <w:p>
      <w:pPr>
        <w:keepLines/>
      </w:pPr>
      <w:r>
        <w:rPr>
          <w:b/>
        </w:rPr>
        <w:t xml:space="preserve">Jóvenes que no estudian ni trabajan ni reciben formación. </w:t>
      </w:r>
      <w:r>
        <w:t>La tasa NEET se refiere a jóvenes de 15 a 24 años. Ayuda a identificar dificultades en el paso de la educación al empleo y riesgos de quedar fuera de ambos ámbitos.</w:t>
      </w:r>
    </w:p>
    <w:p>
      <w:pPr>
        <w:keepLines/>
      </w:pPr>
      <w:r>
        <w:rPr>
          <w:b/>
        </w:rPr>
        <w:t xml:space="preserve">Tasa de pobreza laboral. </w:t>
      </w:r>
      <w:r>
        <w:t>Mide la proporción de personas ocupadas que viven en hogares en pobreza. Permite preguntarse si el empleo alcanza para sostener un nivel de vida básico.</w:t>
      </w:r>
    </w:p>
    <w:p>
      <w:pPr>
        <w:spacing w:before="80"/>
      </w:pPr>
      <w:r>
        <w:t>Al relevar los datos, conviene anotar el año de cada indicador y los valores de mujeres y varones cuando estén disponibles. El perfil puede combinar años diferentes.</w:t>
      </w:r>
    </w:p>
    <w:p>
      <w:pPr>
        <w:spacing w:after="60"/>
      </w:pPr>
      <w:r>
        <w:rPr>
          <w:sz w:val="18"/>
        </w:rPr>
        <w:t xml:space="preserve">Fuente principal, OIT ILOSTAT, perfil de India: </w:t>
      </w:r>
      <w:hyperlink r:id="rId9">
        <w:r>
          <w:rPr>
            <w:sz w:val="18"/>
          </w:rPr>
          <w:t>https://ilostat.ilo.org/es/data/country-profiles/ind/</w:t>
        </w:r>
      </w:hyperlink>
    </w:p>
    <w:p>
      <w:pPr>
        <w:spacing w:after="60"/>
      </w:pPr>
      <w:r>
        <w:rPr>
          <w:sz w:val="18"/>
        </w:rPr>
        <w:t xml:space="preserve">Referencia sobre informalidad, OIT: </w:t>
      </w:r>
      <w:hyperlink r:id="rId10">
        <w:r>
          <w:rPr>
            <w:sz w:val="18"/>
          </w:rPr>
          <w:t>https://www.ilo.org/resource/45-informal-economy-workers</w:t>
        </w:r>
      </w:hyperlink>
    </w:p>
    <w:p>
      <w:r>
        <w:rPr>
          <w:sz w:val="18"/>
        </w:rPr>
        <w:t>Consulta: 21 de octubre de 2026.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lostat.ilo.org/es/data/country-profiles/ind/" TargetMode="External"/><Relationship Id="rId10" Type="http://schemas.openxmlformats.org/officeDocument/2006/relationships/hyperlink" Target="https://www.ilo.org/resource/45-informal-economy-work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Indicadores laborales para India</dc:title>
  <dc:subject>TP7 Punto 2 Selección de indicadores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