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关于发展夜间经济、开放特色夜市街区的实施意见(测试稿)</w:t>
      </w:r>
    </w:p>
    <w:p/>
    <w:p>
      <w:r>
        <w:t>一、为促进消费、扩大就业,在全市划定 12 个夜间经济集聚区,允许沿街商铺与餐饮</w:t>
      </w:r>
    </w:p>
    <w:p>
      <w:r>
        <w:t>延长营业至次日 2:00,设立露天餐饮与小吃摊位区。</w:t>
      </w:r>
    </w:p>
    <w:p/>
    <w:p>
      <w:r>
        <w:t>二、放宽夜市街区餐饮摊位的临时经营登记,简化流动食品摊位准入。</w:t>
      </w:r>
    </w:p>
    <w:p/>
    <w:p>
      <w:r>
        <w:t>三、夜市街区周边以居住为主,集聚区紧邻多个住宅小区与一所中学。</w:t>
      </w:r>
    </w:p>
    <w:p/>
    <w:p>
      <w:r>
        <w:t>四、加强夜间食品安全抽检与环境卫生保洁;鼓励商户参与夜间经济、增加灵活就业岗位。</w:t>
      </w:r>
    </w:p>
    <w:p>
      <w:r>
        <w:t>意见先行试点一年。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