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北京市城市更新条例(官网原文要点)</w:t>
      </w:r>
    </w:p>
    <w:p>
      <w:r>
        <w:t>总则 本市城市更新包括居住类、产业类、设施类、公共空间类、区域综合类等五大类、十二项更新内容;不包括土地一级开发、商品住宅开发等项目。坚持"留改拆"并举、以保留利用提升为主,先治理后更新,补齐城市功能短板,加强既有建筑安全管理,严格城市风貌管控。</w:t>
      </w:r>
    </w:p>
    <w:p>
      <w:r>
        <w:t>居住类更新 实施老旧小区综合整治改造,开展住宅楼房抗震加固和节能综合改造,整治提升小区环境,改善老旧小区居住品质;完善社区配套服务设施和无障碍设施。</w:t>
      </w:r>
    </w:p>
    <w:p>
      <w:r>
        <w:t>第三十二条 老旧住宅楼房加装电梯的,应当依法由业主表决确定;业主可以依法确定费用分摊、收益分配等事项。政府对符合条件的老楼加装电梯提供财政资金支持。</w:t>
      </w:r>
    </w:p>
    <w:p>
      <w:r>
        <w:t>设施与公共空间类更新 完善市政基础设施、公共服务设施,提升公共空间品质。</w:t>
      </w:r>
    </w:p>
    <w:p>
      <w:r>
        <w:t>激励保障措施 包括建筑规模激励、用途转换和兼容使用、国有建设用地配置方式优化、五年过渡期、弹性年期供应与土地续期,以及财政、税收、金融等支持政策。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