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餐饮服务业油烟污染防治管理办法(官网要点)</w:t>
      </w:r>
    </w:p>
    <w:p>
      <w:r>
        <w:t>餐饮服务单位应当安装与其经营规模相匹配的高效油烟净化设施并保持正常运行;</w:t>
      </w:r>
    </w:p>
    <w:p>
      <w:r>
        <w:t>油烟净化设施去除效率,小、中型餐饮服务单位应大于90%,大型应大于95%。</w:t>
      </w:r>
    </w:p>
    <w:p>
      <w:r>
        <w:t>油烟应当经专用烟道集中收集、达标排放,排放浓度执行国家《饮食业油烟排放标准》;</w:t>
      </w:r>
    </w:p>
    <w:p>
      <w:r>
        <w:t>禁止不经过专用烟道无组织排放,禁止经城市雨水或者污水管网排放油烟。</w:t>
      </w:r>
    </w:p>
    <w:p>
      <w:r>
        <w:t>集排气系统和油烟净化设施应当定期维护、清洗,建立清洗维修台账备查。</w:t>
      </w:r>
    </w:p>
    <w:p>
      <w:r>
        <w:t>餐饮场所选址应当与居民住宅保持必要距离,减少油烟、异味、噪声对周边居民的影响。</w:t>
      </w:r>
    </w:p>
    <w:p>
      <w:r>
        <w:t>经营者是餐饮油烟污染防治的责任主体;未安装净化设施或者超标排放的,依法予以处罚。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