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城市绿化条例(官网要点)</w:t>
      </w:r>
    </w:p>
    <w:p>
      <w:r>
        <w:t>城市建成区绿化覆盖率不得低于35%,绿地率不得低于30%,人均公共绿地面积不得低于8平方米。</w:t>
      </w:r>
    </w:p>
    <w:p>
      <w:r>
        <w:t>规划建设公共绿地、防护绿地、风景林地等;新建区绿地应当高于总用地面积的30%,</w:t>
      </w:r>
    </w:p>
    <w:p>
      <w:r>
        <w:t>旧城改造区应当高于25%。</w:t>
      </w:r>
    </w:p>
    <w:p>
      <w:r>
        <w:t>公园绿地应当向公众开放,以游憩为主要功能,兼具生态、美化、防灾等作用。</w:t>
      </w:r>
    </w:p>
    <w:p>
      <w:r>
        <w:t>加强古树名木和城市绿地保护,任何单位和个人不得擅自占用或者损毁城市绿地。</w:t>
      </w:r>
    </w:p>
    <w:p>
      <w:r>
        <w:t>鼓励发展立体绿化、屋顶绿化,提高城市绿化覆盖水平,改善人居生态环境。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