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 w:eastAsia="Microsoft YaHei"/>
          <w:b/>
          <w:color w:val="1F4D78"/>
          <w:sz w:val="48"/>
        </w:rPr>
        <w:t>Trading Brain 企业进度汇报</w:t>
      </w:r>
    </w:p>
    <w:p>
      <w:pPr>
        <w:jc w:val="center"/>
      </w:pPr>
      <w:r>
        <w:rPr>
          <w:rFonts w:ascii="Arial" w:hAnsi="Arial" w:eastAsia="Microsoft YaHei"/>
          <w:color w:val="555555"/>
          <w:sz w:val="24"/>
        </w:rPr>
        <w:t>广东电力现货交易智能体原型｜阶段性成果与下一步计划</w:t>
      </w:r>
    </w:p>
    <w:p>
      <w:pPr>
        <w:jc w:val="center"/>
      </w:pPr>
      <w:r>
        <w:rPr>
          <w:rFonts w:ascii="Arial" w:hAnsi="Arial" w:eastAsia="Microsoft YaHei"/>
          <w:color w:val="666666"/>
          <w:sz w:val="21"/>
        </w:rPr>
        <w:t>汇报日期：2026年6月14日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D5EA"/>
          <w:left w:val="single" w:sz="6" w:space="0" w:color="B7D5EA"/>
          <w:bottom w:val="single" w:sz="6" w:space="0" w:color="B7D5EA"/>
          <w:right w:val="single" w:sz="6" w:space="0" w:color="B7D5EA"/>
          <w:insideH w:val="single" w:sz="6" w:space="0" w:color="B7D5EA"/>
          <w:insideV w:val="single" w:sz="6" w:space="0" w:color="B7D5EA"/>
        </w:tblBorders>
      </w:tblPr>
      <w:tblGrid>
        <w:gridCol w:w="9648"/>
      </w:tblGrid>
      <w:tr>
        <w:tc>
          <w:tcPr>
            <w:tcW w:type="dxa" w:w="9216"/>
            <w:shd w:fill="FFF4D6"/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1F4D78"/>
                <w:sz w:val="22"/>
              </w:rPr>
              <w:t>一句话结论</w:t>
            </w:r>
          </w:p>
          <w:p>
            <w:pPr>
              <w:spacing w:after="0"/>
            </w:pPr>
            <w:r>
              <w:rPr>
                <w:rFonts w:ascii="Arial" w:hAnsi="Arial" w:eastAsia="Microsoft YaHei"/>
                <w:sz w:val="21"/>
              </w:rPr>
              <w:t>当前原型已经跑通“联网搜索 → 政策理解 → 预测/策略 → 风控 → 人工审核”的闭环；在企业提供的5月25日至27日广东现货异常场景中，系统连续三天触发 CRITICAL 预警，并暂停自动申报，进入人工复核。</w:t>
            </w:r>
          </w:p>
        </w:tc>
      </w:tr>
    </w:tbl>
    <w:p/>
    <w:p>
      <w:pPr>
        <w:pStyle w:val="Heading1"/>
        <w:keepNext/>
      </w:pPr>
      <w:r>
        <w:rPr>
          <w:rFonts w:ascii="Arial" w:hAnsi="Arial" w:eastAsia="Microsoft YaHei"/>
        </w:rPr>
        <w:t>1. 项目目标与定位</w:t>
      </w:r>
    </w:p>
    <w:p>
      <w:r>
        <w:rPr>
          <w:rFonts w:ascii="Arial" w:hAnsi="Arial" w:eastAsia="Microsoft YaHei"/>
        </w:rPr>
        <w:t>Trading Brain 的定位不是替代交易员做全自动交易，而是在日前申报前作为“智能风控助手”：帮助交易员整合政策、市场信息和预测结果，识别异常市场环境下自动策略继续运行的风险，并在必要时触发人工介入。</w:t>
      </w:r>
    </w:p>
    <w:p>
      <w:pPr>
        <w:pStyle w:val="ListBullet"/>
        <w:spacing w:after="80"/>
      </w:pPr>
      <w:r>
        <w:rPr>
          <w:rFonts w:ascii="Arial" w:hAnsi="Arial" w:eastAsia="Microsoft YaHei"/>
        </w:rPr>
        <w:t>在正常市场环境下，系统可以自动串联预测、策略、风控和申报流程。</w:t>
      </w:r>
    </w:p>
    <w:p>
      <w:pPr>
        <w:pStyle w:val="ListBullet"/>
        <w:spacing w:after="80"/>
      </w:pPr>
      <w:r>
        <w:rPr>
          <w:rFonts w:ascii="Arial" w:hAnsi="Arial" w:eastAsia="Microsoft YaHei"/>
        </w:rPr>
        <w:t>在市场规则、价格结构、价差关系或约束条件异常时，系统会暂停自动提交。</w:t>
      </w:r>
    </w:p>
    <w:p>
      <w:pPr>
        <w:pStyle w:val="ListBullet"/>
        <w:spacing w:after="80"/>
      </w:pPr>
      <w:r>
        <w:rPr>
          <w:rFonts w:ascii="Arial" w:hAnsi="Arial" w:eastAsia="Microsoft YaHei"/>
        </w:rPr>
        <w:t>系统输出不仅给出风险状态，也保留搜索证据、异常信号和策略调整原因，便于复盘。</w:t>
      </w:r>
    </w:p>
    <w:p>
      <w:pPr>
        <w:pStyle w:val="Heading1"/>
        <w:keepNext/>
      </w:pPr>
      <w:r>
        <w:rPr>
          <w:rFonts w:ascii="Arial" w:hAnsi="Arial" w:eastAsia="Microsoft YaHei"/>
        </w:rPr>
        <w:t>2. 当前已完成进度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088"/>
            <w:shd w:fill="F2F4F7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color w:val="1F4D78"/>
                <w:sz w:val="20"/>
              </w:rPr>
              <w:t>模块</w:t>
            </w:r>
          </w:p>
        </w:tc>
        <w:tc>
          <w:tcPr>
            <w:tcW w:type="dxa" w:w="1728"/>
            <w:shd w:fill="F2F4F7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color w:val="1F4D78"/>
                <w:sz w:val="20"/>
              </w:rPr>
              <w:t>当前状态</w:t>
            </w:r>
          </w:p>
        </w:tc>
        <w:tc>
          <w:tcPr>
            <w:tcW w:type="dxa" w:w="5256"/>
            <w:shd w:fill="F2F4F7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政策理解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9"/>
              </w:rPr>
              <w:t>已完成原型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Policy Agent 已能基于广东电力市场规则文档做本地检索和规则抽取。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联网搜索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9"/>
              </w:rPr>
              <w:t>已完成原型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Web Search Agent 已接入 Tavily，并支持按申报决策时点进行 as-of 信息截断。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市场异常识别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9"/>
              </w:rPr>
              <w:t>已完成原型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Market Anomaly Agent 可抽取价格/价差、预测失准、约束、规则变化等信号。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策略与风控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9"/>
              </w:rPr>
              <w:t>已完成原型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Risk Agent 可检查曲线长度、偏差、检修限制和市场异常，支持退回重算或人工审核。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工作流编排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9"/>
              </w:rPr>
              <w:t>已完成原型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LangGraph 已串联 Web Search、Policy、Prediction、Strategy、Risk、Execution 和 Human Review。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证据报告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9"/>
              </w:rPr>
              <w:t>已完成原型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已生成企业 case 回放报告，记录每天的搜索证据、信号、风控状态和建议动作。</w:t>
            </w:r>
          </w:p>
        </w:tc>
      </w:tr>
    </w:tbl>
    <w:p/>
    <w:p>
      <w:pPr>
        <w:pStyle w:val="Heading1"/>
        <w:keepNext/>
      </w:pPr>
      <w:r>
        <w:rPr>
          <w:rFonts w:ascii="Arial" w:hAnsi="Arial" w:eastAsia="Microsoft YaHei"/>
        </w:rPr>
        <w:t>3. 当前系统流程</w:t>
      </w:r>
    </w:p>
    <w:p>
      <w:pPr>
        <w:jc w:val="left"/>
      </w:pPr>
      <w:r>
        <w:rPr>
          <w:rFonts w:ascii="Arial" w:hAnsi="Arial" w:eastAsia="Microsoft YaHei"/>
        </w:rPr>
        <w:t>当前系统遵循“先判断是否做对的事情，再把事情做对”的设计流程。第一阶段重点验证业务价值和风险场景，第二阶段将继续完善产品化和可用性。</w:t>
      </w:r>
    </w:p>
    <w:p>
      <w:pPr>
        <w:jc w:val="center"/>
      </w:pPr>
      <w:r>
        <w:rPr>
          <w:rFonts w:ascii="Arial" w:hAnsi="Arial" w:eastAsia="Microsoft YaHei"/>
        </w:rPr>
        <w:drawing>
          <wp:inline xmlns:a="http://schemas.openxmlformats.org/drawingml/2006/main" xmlns:pic="http://schemas.openxmlformats.org/drawingml/2006/picture">
            <wp:extent cx="5852160" cy="3251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ding_brain_design_proc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</w:pPr>
      <w:r>
        <w:rPr>
          <w:rFonts w:ascii="Arial" w:hAnsi="Arial" w:eastAsia="Microsoft YaHei"/>
        </w:rPr>
        <w:t>4. 企业 Case 回放结果</w:t>
      </w:r>
    </w:p>
    <w:p>
      <w:r>
        <w:rPr>
          <w:rFonts w:ascii="Arial" w:hAnsi="Arial" w:eastAsia="Microsoft YaHei"/>
        </w:rPr>
        <w:t>我们用企业提出的代表性案例做了回放：广东现货市场在5月25日至27日连续出现价格和价差规律变化，导致原有预测模块偏差放大。回放时严格限制系统只能使用申报决策截点前的信息，避免事后判断。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1608"/>
        <w:gridCol w:w="1608"/>
        <w:gridCol w:w="1608"/>
        <w:gridCol w:w="1608"/>
        <w:gridCol w:w="1608"/>
        <w:gridCol w:w="1608"/>
      </w:tblGrid>
      <w:tr>
        <w:trPr>
          <w:tblHeader w:val="true"/>
        </w:trPr>
        <w:tc>
          <w:tcPr>
            <w:tcW w:type="dxa" w:w="1296"/>
            <w:shd w:fill="F2F4F7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color w:val="1F4D78"/>
                <w:sz w:val="18"/>
              </w:rPr>
              <w:t>交易日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color w:val="1F4D78"/>
                <w:sz w:val="18"/>
              </w:rPr>
              <w:t>信息截点</w:t>
            </w:r>
          </w:p>
        </w:tc>
        <w:tc>
          <w:tcPr>
            <w:tcW w:type="dxa" w:w="1080"/>
            <w:shd w:fill="F2F4F7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color w:val="1F4D78"/>
                <w:sz w:val="18"/>
              </w:rPr>
              <w:t>搜索结果</w:t>
            </w:r>
          </w:p>
        </w:tc>
        <w:tc>
          <w:tcPr>
            <w:tcW w:type="dxa" w:w="1368"/>
            <w:shd w:fill="F2F4F7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color w:val="1F4D78"/>
                <w:sz w:val="18"/>
              </w:rPr>
              <w:t>预警等级</w:t>
            </w:r>
          </w:p>
        </w:tc>
        <w:tc>
          <w:tcPr>
            <w:tcW w:type="dxa" w:w="1655"/>
            <w:shd w:fill="F2F4F7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color w:val="1F4D78"/>
                <w:sz w:val="18"/>
              </w:rPr>
              <w:t>风控状态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color w:val="1F4D78"/>
                <w:sz w:val="18"/>
              </w:rPr>
              <w:t>执行状态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2026-05-25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2026-05-24 12:00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5条</w:t>
            </w:r>
          </w:p>
        </w:tc>
        <w:tc>
          <w:tcPr>
            <w:tcW w:type="dxa" w:w="1368"/>
            <w:vAlign w:val="center"/>
            <w:shd w:fill="FDE9E7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8"/>
              </w:rPr>
              <w:t>CRITICAL</w:t>
            </w:r>
          </w:p>
        </w:tc>
        <w:tc>
          <w:tcPr>
            <w:tcW w:type="dxa" w:w="1655"/>
            <w:vAlign w:val="center"/>
            <w:shd w:fill="FFF4D6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8"/>
              </w:rPr>
              <w:t>需人工复核</w:t>
            </w:r>
          </w:p>
        </w:tc>
        <w:tc>
          <w:tcPr>
            <w:tcW w:type="dxa" w:w="1800"/>
            <w:vAlign w:val="center"/>
            <w:shd w:fill="FFF4D6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8"/>
              </w:rPr>
              <w:t>暂停提交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2026-05-26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2026-05-25 12:00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5条</w:t>
            </w:r>
          </w:p>
        </w:tc>
        <w:tc>
          <w:tcPr>
            <w:tcW w:type="dxa" w:w="1368"/>
            <w:vAlign w:val="center"/>
            <w:shd w:fill="FDE9E7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8"/>
              </w:rPr>
              <w:t>CRITICAL</w:t>
            </w:r>
          </w:p>
        </w:tc>
        <w:tc>
          <w:tcPr>
            <w:tcW w:type="dxa" w:w="1655"/>
            <w:vAlign w:val="center"/>
            <w:shd w:fill="FFF4D6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8"/>
              </w:rPr>
              <w:t>需人工复核</w:t>
            </w:r>
          </w:p>
        </w:tc>
        <w:tc>
          <w:tcPr>
            <w:tcW w:type="dxa" w:w="1800"/>
            <w:vAlign w:val="center"/>
            <w:shd w:fill="FFF4D6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8"/>
              </w:rPr>
              <w:t>暂停提交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2026-05-27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2026-05-26 12:00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5条</w:t>
            </w:r>
          </w:p>
        </w:tc>
        <w:tc>
          <w:tcPr>
            <w:tcW w:type="dxa" w:w="1368"/>
            <w:vAlign w:val="center"/>
            <w:shd w:fill="FDE9E7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8"/>
              </w:rPr>
              <w:t>CRITICAL</w:t>
            </w:r>
          </w:p>
        </w:tc>
        <w:tc>
          <w:tcPr>
            <w:tcW w:type="dxa" w:w="1655"/>
            <w:vAlign w:val="center"/>
            <w:shd w:fill="FFF4D6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8"/>
              </w:rPr>
              <w:t>需人工复核</w:t>
            </w:r>
          </w:p>
        </w:tc>
        <w:tc>
          <w:tcPr>
            <w:tcW w:type="dxa" w:w="1800"/>
            <w:vAlign w:val="center"/>
            <w:shd w:fill="FFF4D6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8"/>
              </w:rPr>
              <w:t>暂停提交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D5EA"/>
          <w:left w:val="single" w:sz="6" w:space="0" w:color="B7D5EA"/>
          <w:bottom w:val="single" w:sz="6" w:space="0" w:color="B7D5EA"/>
          <w:right w:val="single" w:sz="6" w:space="0" w:color="B7D5EA"/>
          <w:insideH w:val="single" w:sz="6" w:space="0" w:color="B7D5EA"/>
          <w:insideV w:val="single" w:sz="6" w:space="0" w:color="B7D5EA"/>
        </w:tblBorders>
      </w:tblPr>
      <w:tblGrid>
        <w:gridCol w:w="9648"/>
      </w:tblGrid>
      <w:tr>
        <w:tc>
          <w:tcPr>
            <w:tcW w:type="dxa" w:w="9216"/>
            <w:shd w:fill="EAF7EA"/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1F4D78"/>
                <w:sz w:val="22"/>
              </w:rPr>
              <w:t>Case 结论</w:t>
            </w:r>
          </w:p>
          <w:p>
            <w:pPr>
              <w:spacing w:after="0"/>
            </w:pPr>
            <w:r>
              <w:rPr>
                <w:rFonts w:ascii="Arial" w:hAnsi="Arial" w:eastAsia="Microsoft YaHei"/>
                <w:sz w:val="21"/>
              </w:rPr>
              <w:t>如果当时已有当前原型，系统不会继续自动申报，而会连续三天触发 CRITICAL 预警，切换为防御性申报建议，并要求交易员人工复核。这说明该智能体在异常行情下可以承担“刹车片”和“证据整理助手”的作用。</w:t>
            </w:r>
          </w:p>
        </w:tc>
      </w:tr>
    </w:tbl>
    <w:p/>
    <w:p>
      <w:pPr>
        <w:pStyle w:val="Heading1"/>
        <w:keepNext/>
      </w:pPr>
      <w:r>
        <w:rPr>
          <w:rFonts w:ascii="Arial" w:hAnsi="Arial" w:eastAsia="Microsoft YaHei"/>
        </w:rPr>
        <w:t>5. 触发预警的主要信号</w:t>
      </w:r>
    </w:p>
    <w:p>
      <w:pPr>
        <w:pStyle w:val="ListBullet"/>
        <w:spacing w:after="80"/>
      </w:pPr>
      <w:r>
        <w:rPr>
          <w:rFonts w:ascii="Arial" w:hAnsi="Arial" w:eastAsia="Microsoft YaHei"/>
        </w:rPr>
        <w:t>PRICE_SPREAD_SHIFT：日前/实时价差或价差结构发生变化。</w:t>
      </w:r>
    </w:p>
    <w:p>
      <w:pPr>
        <w:pStyle w:val="ListBullet"/>
        <w:spacing w:after="80"/>
      </w:pPr>
      <w:r>
        <w:rPr>
          <w:rFonts w:ascii="Arial" w:hAnsi="Arial" w:eastAsia="Microsoft YaHei"/>
        </w:rPr>
        <w:t>PRICE_REGIME_SHIFT：价格规律或出清结构出现变化。</w:t>
      </w:r>
    </w:p>
    <w:p>
      <w:pPr>
        <w:pStyle w:val="ListBullet"/>
        <w:spacing w:after="80"/>
      </w:pPr>
      <w:r>
        <w:rPr>
          <w:rFonts w:ascii="Arial" w:hAnsi="Arial" w:eastAsia="Microsoft YaHei"/>
        </w:rPr>
        <w:t>FORECAST_BREAKDOWN：存在预测失准或模型假设失效风险。</w:t>
      </w:r>
    </w:p>
    <w:p>
      <w:pPr>
        <w:pStyle w:val="ListBullet"/>
        <w:spacing w:after="80"/>
      </w:pPr>
      <w:r>
        <w:rPr>
          <w:rFonts w:ascii="Arial" w:hAnsi="Arial" w:eastAsia="Microsoft YaHei"/>
        </w:rPr>
        <w:t>GRID_CONSTRAINT：检修、断面约束、必开必停等因素可能改变价格形成。</w:t>
      </w:r>
    </w:p>
    <w:p>
      <w:pPr>
        <w:pStyle w:val="ListBullet"/>
        <w:spacing w:after="80"/>
      </w:pPr>
      <w:r>
        <w:rPr>
          <w:rFonts w:ascii="Arial" w:hAnsi="Arial" w:eastAsia="Microsoft YaHei"/>
        </w:rPr>
        <w:t>RULE_OR_PARAMETER_CHANGE：规则、结算或考核参数变化可能影响申报收益。</w:t>
      </w:r>
    </w:p>
    <w:p>
      <w:pPr>
        <w:pStyle w:val="ListBullet"/>
        <w:spacing w:after="80"/>
      </w:pPr>
      <w:r>
        <w:rPr>
          <w:rFonts w:ascii="Arial" w:hAnsi="Arial" w:eastAsia="Microsoft YaHei"/>
        </w:rPr>
        <w:t>ABNORMAL_MOVE / CONSECUTIVE_EVENT：异常信号具有剧烈性和连续性。</w:t>
      </w:r>
    </w:p>
    <w:p>
      <w:pPr>
        <w:pStyle w:val="Heading1"/>
        <w:keepNext/>
      </w:pPr>
      <w:r>
        <w:rPr>
          <w:rFonts w:ascii="Arial" w:hAnsi="Arial" w:eastAsia="Microsoft YaHei"/>
        </w:rPr>
        <w:t>6. 当前执行建议</w:t>
      </w:r>
    </w:p>
    <w:p>
      <w:pPr>
        <w:pStyle w:val="ListBullet"/>
        <w:spacing w:after="80"/>
      </w:pPr>
      <w:r>
        <w:rPr>
          <w:rFonts w:ascii="Arial" w:hAnsi="Arial" w:eastAsia="Microsoft YaHei"/>
        </w:rPr>
        <w:t>遇到 CRITICAL 市场异常时，不建议继续使用原价差驱动的自动策略直接提交。</w:t>
      </w:r>
    </w:p>
    <w:p>
      <w:pPr>
        <w:pStyle w:val="ListBullet"/>
        <w:spacing w:after="80"/>
      </w:pPr>
      <w:r>
        <w:rPr>
          <w:rFonts w:ascii="Arial" w:hAnsi="Arial" w:eastAsia="Microsoft YaHei"/>
        </w:rPr>
        <w:t>系统会启用防御性策略：申报曲线贴近预测负荷，申报比例收敛到 1.0。</w:t>
      </w:r>
    </w:p>
    <w:p>
      <w:pPr>
        <w:pStyle w:val="ListBullet"/>
        <w:spacing w:after="80"/>
      </w:pPr>
      <w:r>
        <w:rPr>
          <w:rFonts w:ascii="Arial" w:hAnsi="Arial" w:eastAsia="Microsoft YaHei"/>
        </w:rPr>
        <w:t>交易员应重点复核搜索证据、规则变化、检修/约束信息、日前/实时价差变化和模型预测偏差。</w:t>
      </w:r>
    </w:p>
    <w:p>
      <w:pPr>
        <w:pStyle w:val="ListBullet"/>
        <w:spacing w:after="80"/>
      </w:pPr>
      <w:r>
        <w:rPr>
          <w:rFonts w:ascii="Arial" w:hAnsi="Arial" w:eastAsia="Microsoft YaHei"/>
        </w:rPr>
        <w:t>若人工确认异常信息可靠，则保持人工介入；若确认是误报，再恢复常规自动策略。</w:t>
      </w:r>
    </w:p>
    <w:p>
      <w:pPr>
        <w:pStyle w:val="Heading1"/>
        <w:keepNext/>
      </w:pPr>
      <w:r>
        <w:rPr>
          <w:rFonts w:ascii="Arial" w:hAnsi="Arial" w:eastAsia="Microsoft YaHei"/>
        </w:rPr>
        <w:t>7. 下一步需要推进的工作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088"/>
            <w:shd w:fill="F2F4F7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color w:val="1F4D78"/>
                <w:sz w:val="19"/>
              </w:rPr>
              <w:t>工作项</w:t>
            </w:r>
          </w:p>
        </w:tc>
        <w:tc>
          <w:tcPr>
            <w:tcW w:type="dxa" w:w="3816"/>
            <w:shd w:fill="F2F4F7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color w:val="1F4D78"/>
                <w:sz w:val="19"/>
              </w:rPr>
              <w:t>目标</w:t>
            </w:r>
          </w:p>
        </w:tc>
        <w:tc>
          <w:tcPr>
            <w:tcW w:type="dxa" w:w="3168"/>
            <w:shd w:fill="F2F4F7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color w:val="1F4D78"/>
                <w:sz w:val="19"/>
              </w:rPr>
              <w:t>希望企业侧支持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8"/>
              </w:rPr>
              <w:t>历史数据接入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接入日前价格、实时价格、负荷、申报曲线和收益/偏差结果。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确认可提供的数据字段、时间粒度和脱敏要求。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8"/>
              </w:rPr>
              <w:t>回测验证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比较原策略与智能体风控介入后的收益和回撤差异。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提供典型异常交易日和正常交易日样本。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8"/>
              </w:rPr>
              <w:t>业务反馈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验证预警信号、证据报告和人工审核流程是否符合交易员工作习惯。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安排交易员或业务专家进行一次反馈评审。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sz w:val="18"/>
              </w:rPr>
              <w:t>产品化方向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确定后续 SaaS dashboard 应展示哪些核心信息。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明确实际使用场景、权限角色和审计要求。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D5EA"/>
          <w:left w:val="single" w:sz="6" w:space="0" w:color="B7D5EA"/>
          <w:bottom w:val="single" w:sz="6" w:space="0" w:color="B7D5EA"/>
          <w:right w:val="single" w:sz="6" w:space="0" w:color="B7D5EA"/>
          <w:insideH w:val="single" w:sz="6" w:space="0" w:color="B7D5EA"/>
          <w:insideV w:val="single" w:sz="6" w:space="0" w:color="B7D5EA"/>
        </w:tblBorders>
      </w:tblPr>
      <w:tblGrid>
        <w:gridCol w:w="9648"/>
      </w:tblGrid>
      <w:tr>
        <w:tc>
          <w:tcPr>
            <w:tcW w:type="dxa" w:w="9216"/>
            <w:shd w:fill="EAF4FF"/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1F4D78"/>
                <w:sz w:val="22"/>
              </w:rPr>
              <w:t>近期里程碑</w:t>
            </w:r>
          </w:p>
          <w:p>
            <w:pPr>
              <w:spacing w:after="0"/>
            </w:pPr>
            <w:r>
              <w:rPr>
                <w:rFonts w:ascii="Arial" w:hAnsi="Arial" w:eastAsia="Microsoft YaHei"/>
                <w:sz w:val="21"/>
              </w:rPr>
              <w:t>下一阶段重点不是继续增加 agent 数量，而是接入历史数据做回测，并请企业侧验证：系统触发的预警是否准确、有用、可解释，以及是否能嵌入真实交易员的申报前工作流。</w:t>
            </w:r>
          </w:p>
        </w:tc>
      </w:tr>
    </w:tbl>
    <w:p/>
    <w:sectPr w:rsidR="00FC693F" w:rsidRPr="0006063C" w:rsidSect="00034616">
      <w:footerReference w:type="default" r:id="rId10"/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Trading Brain 阶段性汇报｜Confidential draft for enterprise discussion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