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t>Name:  Shames Yazzie</w:t>
      </w:r>
    </w:p>
    <w:p>
      <w:pPr>
        <w:pStyle w:val="BodyText"/>
        <w:bidi w:val="0"/>
        <w:jc w:val="start"/>
        <w:rPr/>
      </w:pPr>
      <w:r>
        <w:rPr/>
      </w:r>
    </w:p>
    <w:p>
      <w:pPr>
        <w:pStyle w:val="BodyText"/>
        <w:bidi w:val="0"/>
        <w:spacing w:lineRule="auto" w:line="276" w:before="0" w:after="140"/>
        <w:jc w:val="start"/>
        <w:rPr/>
      </w:pPr>
      <w:r>
        <w:rPr/>
        <w:t xml:space="preserve">In Part 2, you will be presented with six sections of a scenario. Each section is accompanied by questions. </w:t>
      </w:r>
      <w:r>
        <w:rPr>
          <w:rStyle w:val="Strong"/>
        </w:rPr>
        <w:t>You must navigate back to the Instructions page to access the sections. Please answer all questions for all sections in the same document. Submit the completed document after you have worked through all six sections.</w:t>
      </w:r>
    </w:p>
    <w:p>
      <w:pPr>
        <w:pStyle w:val="HorizontalLine"/>
        <w:suppressLineNumbers/>
        <w:pBdr>
          <w:bottom w:val="double" w:sz="2" w:space="0" w:color="808080"/>
        </w:pBdr>
        <w:bidi w:val="0"/>
        <w:spacing w:before="0" w:after="283"/>
        <w:jc w:val="start"/>
        <w:rPr/>
      </w:pPr>
      <w:r>
        <w:rPr/>
      </w:r>
    </w:p>
    <w:p>
      <w:pPr>
        <w:pStyle w:val="BodyText"/>
        <w:bidi w:val="0"/>
        <w:jc w:val="start"/>
        <w:rPr>
          <w:u w:val="single"/>
        </w:rPr>
      </w:pPr>
      <w:r>
        <w:rPr>
          <w:u w:val="single"/>
        </w:rPr>
        <w:t>Section 1</w:t>
      </w:r>
    </w:p>
    <w:p>
      <w:pPr>
        <w:pStyle w:val="BodyText"/>
        <w:bidi w:val="0"/>
        <w:spacing w:lineRule="auto" w:line="276" w:before="0" w:after="140"/>
        <w:jc w:val="start"/>
        <w:rPr/>
      </w:pPr>
      <w:r>
        <w:rPr/>
        <w:t>A. Navigate to the Instructions page to access Section 1 Scenario.</w:t>
      </w:r>
    </w:p>
    <w:p>
      <w:pPr>
        <w:pStyle w:val="BodyText"/>
        <w:bidi w:val="0"/>
        <w:spacing w:lineRule="auto" w:line="276" w:before="0" w:after="140"/>
        <w:jc w:val="start"/>
        <w:rPr/>
      </w:pPr>
      <w:r>
        <w:rPr/>
        <w:t>B. Answer the following questions:</w:t>
      </w:r>
    </w:p>
    <w:p>
      <w:pPr>
        <w:pStyle w:val="BodyText"/>
        <w:bidi w:val="0"/>
        <w:jc w:val="start"/>
        <w:rPr/>
      </w:pPr>
      <w:r>
        <w:rPr/>
        <w:t xml:space="preserve">1. Is this considered a HIPAA breach? If unable to determine this yet, what additional information is needed to determine this? HIPAA reference: </w:t>
      </w:r>
      <w:hyperlink r:id="rId2">
        <w:r>
          <w:rPr>
            <w:rStyle w:val="Hyperlink"/>
          </w:rPr>
          <w:t>https://www.hhs.gov/hipaa/for-professionals/breach-notification/index.html</w:t>
        </w:r>
      </w:hyperlink>
      <w:r>
        <w:rPr>
          <w:sz w:val="20"/>
          <w:szCs w:val="20"/>
        </w:rPr>
        <w:br/>
      </w:r>
      <w:r>
        <w:rPr>
          <w:sz w:val="20"/>
          <w:szCs w:val="20"/>
          <w:shd w:fill="FFFF00" w:val="clear"/>
        </w:rPr>
        <w:t xml:space="preserve">Yes.  HIPAA Definition of a breach steps 1-3 were met.  </w:t>
        <w:br/>
        <w:t xml:space="preserve">1. </w:t>
      </w:r>
      <w:r>
        <w:rPr>
          <w:sz w:val="20"/>
          <w:szCs w:val="20"/>
          <w:shd w:fill="FFFF00" w:val="clear"/>
        </w:rPr>
        <w:t>The nature and extent of the protected health information involved, including the types of identifiers and the likelihood of re-identification;</w:t>
        <w:br/>
      </w:r>
      <w:r>
        <w:rPr>
          <w:sz w:val="20"/>
          <w:szCs w:val="20"/>
          <w:shd w:fill="FFFF00" w:val="clear"/>
        </w:rPr>
        <w:t xml:space="preserve">2. </w:t>
      </w:r>
      <w:r>
        <w:rPr>
          <w:sz w:val="20"/>
          <w:szCs w:val="20"/>
          <w:shd w:fill="FFFF00" w:val="clear"/>
        </w:rPr>
        <w:t xml:space="preserve">The unauthorized person who used the protected health information or to whom the disclosure was made; </w:t>
        <w:br/>
      </w:r>
      <w:r>
        <w:rPr>
          <w:sz w:val="20"/>
          <w:szCs w:val="20"/>
          <w:shd w:fill="FFFF00" w:val="clear"/>
        </w:rPr>
        <w:t xml:space="preserve">3. </w:t>
      </w:r>
      <w:r>
        <w:rPr>
          <w:sz w:val="20"/>
          <w:szCs w:val="20"/>
          <w:shd w:fill="FFFF00" w:val="clear"/>
        </w:rPr>
        <w:t xml:space="preserve">Whether the protected health information was actually acquired or viewed; </w:t>
        <w:br/>
        <w:t xml:space="preserve">and  </w:t>
      </w:r>
      <w:r>
        <w:rPr>
          <w:sz w:val="20"/>
          <w:szCs w:val="20"/>
          <w:shd w:fill="FFFF00" w:val="clear"/>
        </w:rPr>
        <w:t>condition 4 was not met – as the data was held ransom.</w:t>
        <w:br/>
      </w:r>
    </w:p>
    <w:p>
      <w:pPr>
        <w:pStyle w:val="BodyText"/>
        <w:bidi w:val="0"/>
        <w:jc w:val="start"/>
        <w:rPr>
          <w:sz w:val="20"/>
          <w:szCs w:val="20"/>
        </w:rPr>
      </w:pPr>
      <w:r>
        <w:rPr/>
        <w:t>2. Who needs to be notified regarding the incident at this point [Incident Response (IR) team, EMR vendor, law enforcement, etc.]?</w:t>
      </w:r>
    </w:p>
    <w:p>
      <w:pPr>
        <w:pStyle w:val="BodyText"/>
        <w:bidi w:val="0"/>
        <w:spacing w:before="0" w:after="0"/>
        <w:jc w:val="start"/>
        <w:rPr/>
      </w:pPr>
      <w:r>
        <w:rPr>
          <w:sz w:val="20"/>
          <w:szCs w:val="20"/>
          <w:shd w:fill="FFFF00" w:val="clear"/>
        </w:rPr>
        <w:t>The immediate departments to report to Should include the IT department, the Incident response team, Department heads, Owner, Corporate Security Officer, Corporate Information Officers, Corporate Communications officer, to name a few.  It should be later determined to involve the media, law enforcement, and Partners, vendors and associates.</w:t>
        <w:br/>
      </w:r>
    </w:p>
    <w:p>
      <w:pPr>
        <w:pStyle w:val="BodyText"/>
        <w:bidi w:val="0"/>
        <w:spacing w:before="0" w:after="0"/>
        <w:jc w:val="start"/>
        <w:rPr/>
      </w:pPr>
      <w:r>
        <w:rPr>
          <w:sz w:val="20"/>
          <w:szCs w:val="20"/>
          <w:shd w:fill="FFFF00" w:val="clear"/>
        </w:rPr>
        <w:t>Using the definition of Breach Notification Rule:</w:t>
        <w:br/>
      </w:r>
      <w:r>
        <w:rPr>
          <w:sz w:val="20"/>
          <w:szCs w:val="20"/>
          <w:shd w:fill="FFFF00" w:val="clear"/>
        </w:rPr>
        <w:t xml:space="preserve">The HIPAA Breach Notification Rule, 45 CFR §§ 164.400-414, requires HIPAA covered entities and their business associates to provide notification following a breach of unsecured protected health information. Similar breach notification provisions implemented and enforced by the </w:t>
      </w:r>
      <w:hyperlink r:id="rId3">
        <w:r>
          <w:rPr>
            <w:rStyle w:val="Hyperlink"/>
            <w:sz w:val="20"/>
            <w:szCs w:val="20"/>
            <w:shd w:fill="FFFF00" w:val="clear"/>
          </w:rPr>
          <w:t>Federal Trade Commission (FTC)</w:t>
        </w:r>
      </w:hyperlink>
      <w:r>
        <w:rPr>
          <w:sz w:val="20"/>
          <w:szCs w:val="20"/>
          <w:shd w:fill="FFFF00" w:val="clear"/>
        </w:rPr>
        <w:t>, apply to vendors of personal health records and their third party service providers, pursuant to section 13407 of the HITECH Act.</w:t>
        <w:br/>
      </w:r>
    </w:p>
    <w:p>
      <w:pPr>
        <w:pStyle w:val="BodyText"/>
        <w:bidi w:val="0"/>
        <w:jc w:val="start"/>
        <w:rPr/>
      </w:pPr>
      <w:r>
        <w:rPr>
          <w:sz w:val="20"/>
          <w:szCs w:val="20"/>
          <w:shd w:fill="FFFF00" w:val="clear"/>
        </w:rPr>
        <w:t>The following a breach of unsecured protected health information, covered entities must provide notification of the breach to affected individuals, the Secretary, and, in certain circumstances, to the media. In addition, business associates must notify covered entities if a breach occurs at or by the business associate.</w:t>
      </w:r>
      <w:r>
        <w:rPr/>
        <w:br/>
      </w:r>
    </w:p>
    <w:p>
      <w:pPr>
        <w:pStyle w:val="BodyText"/>
        <w:bidi w:val="0"/>
        <w:spacing w:lineRule="auto" w:line="276" w:before="0" w:after="140"/>
        <w:jc w:val="start"/>
        <w:rPr/>
      </w:pPr>
      <w:r>
        <w:rPr/>
        <w:t>[Expected response length: 2 Paragraphs]</w:t>
      </w:r>
    </w:p>
    <w:p>
      <w:pPr>
        <w:pStyle w:val="HorizontalLine"/>
        <w:suppressLineNumbers/>
        <w:pBdr>
          <w:bottom w:val="double" w:sz="2" w:space="0" w:color="808080"/>
        </w:pBdr>
        <w:bidi w:val="0"/>
        <w:spacing w:before="0" w:after="283"/>
        <w:jc w:val="start"/>
        <w:rPr/>
      </w:pPr>
      <w:r>
        <w:rPr/>
      </w:r>
    </w:p>
    <w:p>
      <w:pPr>
        <w:pStyle w:val="BodyText"/>
        <w:bidi w:val="0"/>
        <w:jc w:val="start"/>
        <w:rPr>
          <w:u w:val="single"/>
        </w:rPr>
      </w:pPr>
      <w:r>
        <w:rPr>
          <w:u w:val="single"/>
        </w:rPr>
        <w:t>Section 2</w:t>
      </w:r>
    </w:p>
    <w:p>
      <w:pPr>
        <w:pStyle w:val="BodyText"/>
        <w:bidi w:val="0"/>
        <w:spacing w:lineRule="auto" w:line="276" w:before="0" w:after="140"/>
        <w:jc w:val="start"/>
        <w:rPr/>
      </w:pPr>
      <w:r>
        <w:rPr/>
        <w:t>A. Navigate to the Instructions page to access Section 2 Scenario.</w:t>
      </w:r>
    </w:p>
    <w:p>
      <w:pPr>
        <w:pStyle w:val="BodyText"/>
        <w:bidi w:val="0"/>
        <w:spacing w:lineRule="auto" w:line="276" w:before="0" w:after="140"/>
        <w:jc w:val="start"/>
        <w:rPr/>
      </w:pPr>
      <w:r>
        <w:rPr/>
        <w:t>B. Answer the following questions:</w:t>
      </w:r>
    </w:p>
    <w:p>
      <w:pPr>
        <w:pStyle w:val="BodyText"/>
        <w:bidi w:val="0"/>
        <w:spacing w:lineRule="auto" w:line="276" w:before="0" w:after="140"/>
        <w:jc w:val="start"/>
        <w:rPr/>
      </w:pPr>
      <w:r>
        <w:rPr/>
        <w:t>1. During the time it takes to plan actions, the following question needs to be addressed:</w:t>
      </w:r>
    </w:p>
    <w:p>
      <w:pPr>
        <w:pStyle w:val="BodyText"/>
        <w:bidi w:val="0"/>
        <w:spacing w:lineRule="auto" w:line="276" w:before="0" w:after="140"/>
        <w:jc w:val="start"/>
        <w:rPr/>
      </w:pPr>
      <w:r>
        <w:rPr/>
        <w:t xml:space="preserve">2. Should an outside forensics firm be engaged?  </w:t>
      </w:r>
      <w:r>
        <w:rPr>
          <w:sz w:val="20"/>
          <w:szCs w:val="20"/>
          <w:shd w:fill="FFFF00" w:val="clear"/>
        </w:rPr>
        <w:t>Ideally, Yes.  Data will need to be preserved, isolated and if possible left powered on for memory dumps to be taken, for imaging, and for evidence gathering.</w:t>
      </w:r>
    </w:p>
    <w:p>
      <w:pPr>
        <w:pStyle w:val="BodyText"/>
        <w:bidi w:val="0"/>
        <w:spacing w:lineRule="auto" w:line="276" w:before="0" w:after="140"/>
        <w:jc w:val="start"/>
        <w:rPr/>
      </w:pPr>
      <w:r>
        <w:rPr/>
        <w:t>3. Should the FBI be called in at this time? Consider the pros and cons of calling them in or not.</w:t>
      </w:r>
    </w:p>
    <w:p>
      <w:pPr>
        <w:pStyle w:val="BodyText"/>
        <w:bidi w:val="0"/>
        <w:jc w:val="start"/>
        <w:rPr>
          <w:sz w:val="20"/>
          <w:szCs w:val="20"/>
        </w:rPr>
      </w:pPr>
      <w:r>
        <w:rPr>
          <w:sz w:val="20"/>
          <w:szCs w:val="20"/>
          <w:shd w:fill="FFFF00" w:val="clear"/>
        </w:rPr>
        <w:t xml:space="preserve">The decision to involve FBI would fall upon, the Chief Information officers, board committee members, </w:t>
      </w:r>
      <w:r>
        <w:rPr>
          <w:sz w:val="20"/>
          <w:szCs w:val="20"/>
          <w:shd w:fill="FFFF00" w:val="clear"/>
        </w:rPr>
        <w:t>Corporate lawyers, and the actions carried out by the Communications officer</w:t>
      </w:r>
      <w:r>
        <w:rPr>
          <w:sz w:val="20"/>
          <w:szCs w:val="20"/>
          <w:shd w:fill="FFFF00" w:val="clear"/>
        </w:rPr>
        <w:t xml:space="preserve">.  </w:t>
      </w:r>
      <w:r>
        <w:rPr>
          <w:sz w:val="20"/>
          <w:szCs w:val="20"/>
          <w:shd w:fill="FFFF00" w:val="clear"/>
        </w:rPr>
        <w:t xml:space="preserve">In the case of the international ransom ware group, this may be needed.  The pros and cons: </w:t>
        <w:br/>
        <w:t xml:space="preserve">Pros: FBI would have much more detail on tactics and eradication of the ransomware program.  They maybe able to locate and isolate where the ransomware was sent from, and trace the BITCOIN wallet address for further investigation.  Their investigation would go far beyond the scope of a local hospitals investigatory needs.  </w:t>
        <w:br/>
        <w:t>Cons, PII information would be further accessible to non-healthcare personnel, data and equipment collected may not be returned, all evidence collected during the investigation will be taken and under the jurisdiction of the FBI.  Total control over the incidents recovery would take longer if an outside agency FBI, were involved as they would have their own methods and timelines for dealing with this breach, and investigation.</w:t>
      </w:r>
      <w:r>
        <w:rPr>
          <w:sz w:val="20"/>
          <w:szCs w:val="20"/>
        </w:rPr>
        <w:br/>
      </w:r>
    </w:p>
    <w:p>
      <w:pPr>
        <w:pStyle w:val="BodyText"/>
        <w:bidi w:val="0"/>
        <w:spacing w:lineRule="auto" w:line="276" w:before="0" w:after="140"/>
        <w:jc w:val="start"/>
        <w:rPr/>
      </w:pPr>
      <w:r>
        <w:rPr/>
        <w:t>[Expected response length: 3-4 Paragraphs]</w:t>
      </w:r>
    </w:p>
    <w:p>
      <w:pPr>
        <w:pStyle w:val="HorizontalLine"/>
        <w:suppressLineNumbers/>
        <w:pBdr>
          <w:bottom w:val="double" w:sz="2" w:space="0" w:color="808080"/>
        </w:pBdr>
        <w:bidi w:val="0"/>
        <w:spacing w:before="0" w:after="283"/>
        <w:jc w:val="start"/>
        <w:rPr/>
      </w:pPr>
      <w:r>
        <w:rPr/>
      </w:r>
    </w:p>
    <w:p>
      <w:pPr>
        <w:pStyle w:val="BodyText"/>
        <w:bidi w:val="0"/>
        <w:ind w:hanging="0" w:start="0" w:end="0"/>
        <w:jc w:val="start"/>
        <w:rPr/>
      </w:pPr>
      <w:r>
        <w:rPr/>
        <w:t>Section 3</w:t>
      </w:r>
    </w:p>
    <w:p>
      <w:pPr>
        <w:pStyle w:val="BodyText"/>
        <w:bidi w:val="0"/>
        <w:spacing w:lineRule="auto" w:line="276" w:before="0" w:after="140"/>
        <w:jc w:val="start"/>
        <w:rPr/>
      </w:pPr>
      <w:r>
        <w:rPr/>
        <w:t>A. Navigate to the Instructions page to access Section 3 Scenario.</w:t>
      </w:r>
    </w:p>
    <w:p>
      <w:pPr>
        <w:pStyle w:val="BodyText"/>
        <w:bidi w:val="0"/>
        <w:spacing w:lineRule="auto" w:line="276" w:before="0" w:after="140"/>
        <w:jc w:val="start"/>
        <w:rPr/>
      </w:pPr>
      <w:r>
        <w:rPr/>
        <w:t>B. Answer the following questions:</w:t>
      </w:r>
    </w:p>
    <w:p>
      <w:pPr>
        <w:pStyle w:val="BodyText"/>
        <w:bidi w:val="0"/>
        <w:spacing w:lineRule="auto" w:line="276" w:before="0" w:after="140"/>
        <w:jc w:val="start"/>
        <w:rPr/>
      </w:pPr>
      <w:r>
        <w:rPr/>
        <w:t>1. Should the organization just pay the ransom? Explain, addressing:</w:t>
      </w:r>
    </w:p>
    <w:p>
      <w:pPr>
        <w:pStyle w:val="BodyText"/>
        <w:numPr>
          <w:ilvl w:val="0"/>
          <w:numId w:val="1"/>
        </w:numPr>
        <w:tabs>
          <w:tab w:val="clear" w:pos="709"/>
          <w:tab w:val="left" w:pos="709" w:leader="none"/>
        </w:tabs>
        <w:bidi w:val="0"/>
        <w:spacing w:before="0" w:after="0"/>
        <w:ind w:hanging="283" w:start="709"/>
        <w:jc w:val="start"/>
        <w:rPr/>
      </w:pPr>
      <w:r>
        <w:rPr/>
        <w:t>Is this legal?</w:t>
      </w:r>
    </w:p>
    <w:p>
      <w:pPr>
        <w:pStyle w:val="BodyText"/>
        <w:numPr>
          <w:ilvl w:val="0"/>
          <w:numId w:val="1"/>
        </w:numPr>
        <w:tabs>
          <w:tab w:val="clear" w:pos="709"/>
          <w:tab w:val="left" w:pos="709" w:leader="none"/>
        </w:tabs>
        <w:bidi w:val="0"/>
        <w:spacing w:before="0" w:after="0"/>
        <w:ind w:hanging="283" w:start="709"/>
        <w:jc w:val="start"/>
        <w:rPr/>
      </w:pPr>
      <w:r>
        <w:rPr/>
        <w:t>Is this ethical? If your answers to these questions differ, explain.</w:t>
      </w:r>
    </w:p>
    <w:p>
      <w:pPr>
        <w:pStyle w:val="BodyText"/>
        <w:numPr>
          <w:ilvl w:val="0"/>
          <w:numId w:val="1"/>
        </w:numPr>
        <w:tabs>
          <w:tab w:val="clear" w:pos="709"/>
          <w:tab w:val="left" w:pos="709" w:leader="none"/>
        </w:tabs>
        <w:bidi w:val="0"/>
        <w:spacing w:before="0" w:after="0"/>
        <w:ind w:hanging="283" w:start="709"/>
        <w:jc w:val="start"/>
        <w:rPr/>
      </w:pPr>
      <w:r>
        <w:rPr/>
        <w:t>Who do you think should be involved in approval (or disapproval) of such payment?</w:t>
      </w:r>
    </w:p>
    <w:p>
      <w:pPr>
        <w:pStyle w:val="BodyText"/>
        <w:numPr>
          <w:ilvl w:val="0"/>
          <w:numId w:val="1"/>
        </w:numPr>
        <w:tabs>
          <w:tab w:val="clear" w:pos="709"/>
          <w:tab w:val="left" w:pos="709" w:leader="none"/>
        </w:tabs>
        <w:bidi w:val="0"/>
        <w:ind w:hanging="283" w:start="709"/>
        <w:jc w:val="start"/>
        <w:rPr/>
      </w:pPr>
      <w:r>
        <w:rPr/>
        <w:t>What if the attacker doesn’t provide the decryption key/protocol after payment?</w:t>
      </w:r>
    </w:p>
    <w:p>
      <w:pPr>
        <w:pStyle w:val="BodyText"/>
        <w:bidi w:val="0"/>
        <w:jc w:val="start"/>
        <w:rPr/>
      </w:pPr>
      <w:r>
        <w:rPr/>
        <w:t xml:space="preserve">See: </w:t>
      </w:r>
      <w:hyperlink r:id="rId4" w:tgtFrame="_blank">
        <w:r>
          <w:rPr>
            <w:rStyle w:val="Hyperlink"/>
          </w:rPr>
          <w:t>Advisory on Potential Sanctions Risks for Facilitating Ransomware Payments</w:t>
        </w:r>
      </w:hyperlink>
      <w:r>
        <w:rPr/>
        <w:t xml:space="preserve"> – from Treasury Department</w:t>
      </w:r>
    </w:p>
    <w:p>
      <w:pPr>
        <w:pStyle w:val="BodyText"/>
        <w:bidi w:val="0"/>
        <w:jc w:val="start"/>
        <w:rPr/>
      </w:pPr>
      <w:r>
        <w:rPr/>
        <w:t>[Expected response length: 3-4 Paragraphs]</w:t>
      </w:r>
    </w:p>
    <w:p>
      <w:pPr>
        <w:pStyle w:val="BodyText"/>
        <w:bidi w:val="0"/>
        <w:jc w:val="start"/>
        <w:rPr>
          <w:sz w:val="20"/>
          <w:szCs w:val="20"/>
          <w:highlight w:val="none"/>
          <w:shd w:fill="FFFF00" w:val="clear"/>
        </w:rPr>
      </w:pPr>
      <w:r>
        <w:rPr>
          <w:sz w:val="20"/>
          <w:szCs w:val="20"/>
          <w:shd w:fill="FFFF00" w:val="clear"/>
        </w:rPr>
        <w:t xml:space="preserve">Ransomware payments in situations like this usually result in further attempts at extortion or ransom attacks.  Its best to not pay.  Paying ransoms would only encourage attacks against your organization as you will be labelled a profitable target.  In the Advisory on Potential Sanctions Risks for Facilitating Ransomware Payments, </w:t>
      </w:r>
      <w:r>
        <w:rPr>
          <w:sz w:val="20"/>
          <w:szCs w:val="20"/>
          <w:shd w:fill="FFFF00" w:val="clear"/>
        </w:rPr>
        <w:t>it shares the same views:</w:t>
      </w:r>
      <w:r>
        <w:rPr>
          <w:sz w:val="20"/>
          <w:szCs w:val="20"/>
          <w:shd w:fill="FFFF00" w:val="clear"/>
        </w:rPr>
        <w:t xml:space="preserve"> “Companies that facilitate ransomware payments … not only encourage future ransomware payment demands but also may risk violating OFAC regulations.”  </w:t>
      </w:r>
      <w:r>
        <w:rPr>
          <w:sz w:val="20"/>
          <w:szCs w:val="20"/>
          <w:shd w:fill="FFFF00" w:val="clear"/>
        </w:rPr>
        <w:t xml:space="preserve">The document further iterates, “ransomware payments may also embolden cyber actors to engage in future attacks. In addition, paying a ransom to cyber actors does not guarantee that the victim will regain access to its stolen data.”  </w:t>
      </w:r>
    </w:p>
    <w:p>
      <w:pPr>
        <w:pStyle w:val="BodyText"/>
        <w:bidi w:val="0"/>
        <w:jc w:val="start"/>
        <w:rPr>
          <w:sz w:val="20"/>
          <w:szCs w:val="20"/>
        </w:rPr>
      </w:pPr>
      <w:r>
        <w:rPr>
          <w:b/>
          <w:bCs/>
          <w:sz w:val="20"/>
          <w:szCs w:val="20"/>
        </w:rPr>
        <w:t xml:space="preserve">Is this legal? </w:t>
      </w:r>
      <w:r>
        <w:rPr>
          <w:sz w:val="20"/>
          <w:szCs w:val="20"/>
        </w:rPr>
        <w:t xml:space="preserve"> </w:t>
      </w:r>
      <w:r>
        <w:rPr>
          <w:sz w:val="20"/>
          <w:szCs w:val="20"/>
          <w:shd w:fill="FFFF00" w:val="clear"/>
        </w:rPr>
        <w:t>To pay ransomware.. no.  There are stern warnings and civil threats against it by IEEPA, they state “OFAC may impose civil penalties for sanctions violations based on strict liability, meaning that a person subject to U.S. jurisdiction may be held civilly liable even if it did not know or have reason to know it was engaging in a transaction with a person that is prohibited under sanctions laws and regulations administered by OFAC.”</w:t>
      </w:r>
    </w:p>
    <w:p>
      <w:pPr>
        <w:pStyle w:val="BodyText"/>
        <w:bidi w:val="0"/>
        <w:jc w:val="start"/>
        <w:rPr/>
      </w:pPr>
      <w:r>
        <w:rPr>
          <w:b/>
          <w:bCs/>
          <w:sz w:val="20"/>
          <w:szCs w:val="20"/>
        </w:rPr>
        <w:t>Is paying ransom ethical</w:t>
      </w:r>
      <w:r>
        <w:rPr>
          <w:sz w:val="20"/>
          <w:szCs w:val="20"/>
        </w:rPr>
        <w:t xml:space="preserve">, </w:t>
      </w:r>
      <w:r>
        <w:rPr>
          <w:sz w:val="20"/>
          <w:szCs w:val="20"/>
          <w:shd w:fill="FFFF00" w:val="clear"/>
        </w:rPr>
        <w:t xml:space="preserve">no.  </w:t>
      </w:r>
      <w:r>
        <w:rPr>
          <w:sz w:val="20"/>
          <w:szCs w:val="20"/>
          <w:shd w:fill="FFFF00" w:val="clear"/>
        </w:rPr>
        <w:t xml:space="preserve">Being a victim of attack and paying a ransom does not contribute to ethical behavior.  Paying a criminal to commit further crimes, and paying them for crimes against you is not ethical.   With that in mind, it’s safe to say its not ethical. </w:t>
      </w:r>
    </w:p>
    <w:p>
      <w:pPr>
        <w:pStyle w:val="BodyText"/>
        <w:bidi w:val="0"/>
        <w:jc w:val="start"/>
        <w:rPr>
          <w:b/>
          <w:bCs/>
          <w:sz w:val="20"/>
          <w:szCs w:val="20"/>
        </w:rPr>
      </w:pPr>
      <w:r>
        <w:rPr>
          <w:b/>
          <w:bCs/>
          <w:sz w:val="20"/>
          <w:szCs w:val="20"/>
        </w:rPr>
        <w:t>Who do you think should be involved in approval (or disapproval) of such payment?</w:t>
      </w:r>
      <w:r>
        <w:rPr>
          <w:b w:val="false"/>
          <w:bCs w:val="false"/>
          <w:sz w:val="20"/>
          <w:szCs w:val="20"/>
        </w:rPr>
        <w:br/>
      </w:r>
      <w:r>
        <w:rPr>
          <w:b w:val="false"/>
          <w:bCs w:val="false"/>
          <w:sz w:val="20"/>
          <w:szCs w:val="20"/>
          <w:shd w:fill="FFFF00" w:val="clear"/>
        </w:rPr>
        <w:t xml:space="preserve">Governing bodies of the company should decide whether or not to pay ransoms, all IT recovery resources should be thoroughly reviewed in cases were recovery is not possible, then and only then would the consideration be made to pay a ransom, but payments should not be made.  </w:t>
      </w:r>
    </w:p>
    <w:p>
      <w:pPr>
        <w:pStyle w:val="BodyText"/>
        <w:bidi w:val="0"/>
        <w:jc w:val="start"/>
        <w:rPr>
          <w:b/>
          <w:bCs/>
          <w:sz w:val="20"/>
          <w:szCs w:val="20"/>
        </w:rPr>
      </w:pPr>
      <w:r>
        <w:rPr>
          <w:b/>
          <w:bCs/>
          <w:sz w:val="20"/>
          <w:szCs w:val="20"/>
        </w:rPr>
        <w:t>What if the attacker doesn’t provide the decryption key/protocol after payment?</w:t>
        <w:br/>
      </w:r>
      <w:r>
        <w:rPr>
          <w:b w:val="false"/>
          <w:bCs w:val="false"/>
          <w:sz w:val="20"/>
          <w:szCs w:val="20"/>
          <w:shd w:fill="FFFF00" w:val="clear"/>
        </w:rPr>
        <w:t>That risk is posed, in the Advisory on Potential Sanctions Risks for Facilitating Ransomware Payments document, it may happen.  As such, its encouraged to not pay the ransom.  In the same document, OFAC’s stance on this is as follows: “OFAC has imposed, and will continue to impose, sanctions on these actors and others who materially assist, sponsor, or provide financial, material, or technological support for these activities.”</w:t>
      </w:r>
    </w:p>
    <w:p>
      <w:pPr>
        <w:pStyle w:val="HorizontalLine"/>
        <w:bidi w:val="0"/>
        <w:jc w:val="start"/>
        <w:rPr/>
      </w:pPr>
      <w:r>
        <w:rPr/>
      </w:r>
    </w:p>
    <w:p>
      <w:pPr>
        <w:pStyle w:val="BodyText"/>
        <w:bidi w:val="0"/>
        <w:ind w:hanging="0" w:start="0" w:end="0"/>
        <w:jc w:val="start"/>
        <w:rPr/>
      </w:pPr>
      <w:r>
        <w:rPr/>
        <w:t>Section 4</w:t>
      </w:r>
    </w:p>
    <w:p>
      <w:pPr>
        <w:pStyle w:val="BodyText"/>
        <w:bidi w:val="0"/>
        <w:jc w:val="start"/>
        <w:rPr/>
      </w:pPr>
      <w:r>
        <w:rPr/>
        <w:t>A. Navigate to the Instructions page to access Section 4 Scenario.</w:t>
      </w:r>
    </w:p>
    <w:p>
      <w:pPr>
        <w:pStyle w:val="BodyText"/>
        <w:bidi w:val="0"/>
        <w:jc w:val="start"/>
        <w:rPr/>
      </w:pPr>
      <w:r>
        <w:rPr/>
        <w:t>B. Answer the following questions:</w:t>
      </w:r>
    </w:p>
    <w:p>
      <w:pPr>
        <w:pStyle w:val="BodyText"/>
        <w:bidi w:val="0"/>
        <w:jc w:val="start"/>
        <w:rPr/>
      </w:pPr>
      <w:r>
        <w:rPr/>
        <w:t xml:space="preserve">1. How do you ensure the backups aren’t also infected?  </w:t>
        <w:br/>
        <w:t>2. How can you make sure the unauthorized actor isn’t in your system anymore?</w:t>
        <w:br/>
        <w:t xml:space="preserve">3. What are the general steps for recovery from backup? Explain in terms of data recovery objectives as defined in </w:t>
      </w:r>
      <w:hyperlink r:id="rId5" w:tgtFrame="_blank">
        <w:r>
          <w:rPr>
            <w:rStyle w:val="Hyperlink"/>
          </w:rPr>
          <w:t>NIST SP 800-34 Rev. 1</w:t>
        </w:r>
      </w:hyperlink>
      <w:r>
        <w:rPr/>
        <w:t xml:space="preserve"> (addressed in Practitioner level Knowledge Area Information Security Business Impact Analysis section).</w:t>
      </w:r>
    </w:p>
    <w:p>
      <w:pPr>
        <w:pStyle w:val="BodyText"/>
        <w:numPr>
          <w:ilvl w:val="0"/>
          <w:numId w:val="2"/>
        </w:numPr>
        <w:tabs>
          <w:tab w:val="clear" w:pos="709"/>
          <w:tab w:val="left" w:pos="709" w:leader="none"/>
        </w:tabs>
        <w:bidi w:val="0"/>
        <w:spacing w:before="0" w:after="0"/>
        <w:ind w:hanging="283" w:start="709"/>
        <w:jc w:val="start"/>
        <w:rPr/>
      </w:pPr>
      <w:r>
        <w:rPr/>
        <w:t>Based on the information above, what is the minimum value possible for offsite backup's Recovery Point Objective (RPO)? Explain how you arrived at this value.</w:t>
      </w:r>
    </w:p>
    <w:p>
      <w:pPr>
        <w:pStyle w:val="BodyText"/>
        <w:numPr>
          <w:ilvl w:val="0"/>
          <w:numId w:val="2"/>
        </w:numPr>
        <w:tabs>
          <w:tab w:val="clear" w:pos="709"/>
          <w:tab w:val="left" w:pos="709" w:leader="none"/>
        </w:tabs>
        <w:bidi w:val="0"/>
        <w:ind w:hanging="283" w:start="709"/>
        <w:jc w:val="start"/>
        <w:rPr/>
      </w:pPr>
      <w:r>
        <w:rPr/>
        <w:t>Discuss whether beginning restoration of systems at this time (52 hours after the ransomware encrypted systems) should be within the Maximum Tolerable Downtime (MTD) for Regional Hospital.</w:t>
      </w:r>
    </w:p>
    <w:p>
      <w:pPr>
        <w:pStyle w:val="BodyText"/>
        <w:bidi w:val="0"/>
        <w:jc w:val="start"/>
        <w:rPr/>
      </w:pPr>
      <w:r>
        <w:rPr/>
        <w:t>4. How can you restore systems without destroying evidence for the forensic firm? In other words, what steps must be taken to preserve the evidence from systems before they are restored?</w:t>
      </w:r>
    </w:p>
    <w:p>
      <w:pPr>
        <w:pStyle w:val="BodyText"/>
        <w:bidi w:val="0"/>
        <w:jc w:val="start"/>
        <w:rPr/>
      </w:pPr>
      <w:r>
        <w:rPr/>
        <w:t>[Expected response length: 5 Paragraphs]</w:t>
      </w:r>
    </w:p>
    <w:p>
      <w:pPr>
        <w:pStyle w:val="BodyText"/>
        <w:bidi w:val="0"/>
        <w:jc w:val="start"/>
        <w:rPr>
          <w:b/>
          <w:bCs/>
          <w:sz w:val="20"/>
          <w:szCs w:val="20"/>
          <w:highlight w:val="none"/>
          <w:shd w:fill="auto" w:val="clear"/>
        </w:rPr>
      </w:pPr>
      <w:r>
        <w:rPr>
          <w:b/>
          <w:bCs/>
          <w:sz w:val="20"/>
          <w:szCs w:val="20"/>
          <w:shd w:fill="auto" w:val="clear"/>
        </w:rPr>
        <w:t xml:space="preserve">1. How do you ensure the backups aren’t also infected?  </w:t>
      </w:r>
    </w:p>
    <w:p>
      <w:pPr>
        <w:pStyle w:val="BodyText"/>
        <w:bidi w:val="0"/>
        <w:jc w:val="start"/>
        <w:rPr>
          <w:sz w:val="20"/>
          <w:szCs w:val="20"/>
          <w:highlight w:val="none"/>
          <w:shd w:fill="FFFF00" w:val="clear"/>
        </w:rPr>
      </w:pPr>
      <w:r>
        <w:rPr>
          <w:sz w:val="20"/>
          <w:szCs w:val="20"/>
          <w:shd w:fill="FFFF00" w:val="clear"/>
        </w:rPr>
        <w:t xml:space="preserve">Backups taken prior to the event of ransomware attack were all ready residing offsite.  In the scenario at HOUR 32, the ‘initial forensics analysis indicated that offsite backups.. were intact.’  This was reviewed, and analysis was completed on the backups, it was determined ‘the last backup successfully transferred offsite if from 6 hours before the ransomware attack was initated (at Hour 0).’  </w:t>
      </w:r>
      <w:r>
        <w:rPr>
          <w:sz w:val="20"/>
          <w:szCs w:val="20"/>
          <w:shd w:fill="FFFF00" w:val="clear"/>
        </w:rPr>
        <w:t>Also the ‘After Action Recommendation’ of the Forensic Report concluded that the offsite backup “is determined to be uncompromised.” [At hour 64]</w:t>
      </w:r>
    </w:p>
    <w:p>
      <w:pPr>
        <w:pStyle w:val="BodyText"/>
        <w:bidi w:val="0"/>
        <w:jc w:val="start"/>
        <w:rPr>
          <w:b/>
          <w:bCs/>
          <w:sz w:val="20"/>
          <w:szCs w:val="20"/>
        </w:rPr>
      </w:pPr>
      <w:r>
        <w:rPr>
          <w:b/>
          <w:bCs/>
          <w:sz w:val="20"/>
          <w:szCs w:val="20"/>
        </w:rPr>
        <w:t xml:space="preserve">2. </w:t>
      </w:r>
      <w:r>
        <w:rPr>
          <w:b/>
          <w:bCs/>
          <w:sz w:val="20"/>
          <w:szCs w:val="20"/>
        </w:rPr>
        <w:t>How can you make sure the unauthorized actor isn’t in your system anymore?</w:t>
      </w:r>
    </w:p>
    <w:p>
      <w:pPr>
        <w:pStyle w:val="BodyText"/>
        <w:bidi w:val="0"/>
        <w:jc w:val="start"/>
        <w:rPr>
          <w:b w:val="false"/>
          <w:bCs w:val="false"/>
          <w:sz w:val="20"/>
          <w:szCs w:val="20"/>
          <w:highlight w:val="none"/>
          <w:shd w:fill="FFFF00" w:val="clear"/>
        </w:rPr>
      </w:pPr>
      <w:r>
        <w:rPr>
          <w:b w:val="false"/>
          <w:bCs w:val="false"/>
          <w:sz w:val="20"/>
          <w:szCs w:val="20"/>
          <w:shd w:fill="FFFF00" w:val="clear"/>
        </w:rPr>
        <w:t>After the restoration of the EMR and other systems,  ‘the forensic analysis confirmed the unauthorized actor was no longer in’ the environment.</w:t>
      </w:r>
    </w:p>
    <w:p>
      <w:pPr>
        <w:pStyle w:val="BodyText"/>
        <w:bidi w:val="0"/>
        <w:jc w:val="start"/>
        <w:rPr>
          <w:b/>
          <w:bCs/>
          <w:sz w:val="20"/>
          <w:szCs w:val="20"/>
        </w:rPr>
      </w:pPr>
      <w:r>
        <w:rPr>
          <w:b/>
          <w:bCs/>
          <w:sz w:val="20"/>
          <w:szCs w:val="20"/>
        </w:rPr>
        <w:t xml:space="preserve">3. </w:t>
      </w:r>
      <w:r>
        <w:rPr>
          <w:b/>
          <w:bCs/>
          <w:sz w:val="20"/>
          <w:szCs w:val="20"/>
        </w:rPr>
        <w:t>What are the general steps for recovery from backup?</w:t>
      </w:r>
    </w:p>
    <w:p>
      <w:pPr>
        <w:pStyle w:val="BodyText"/>
        <w:bidi w:val="0"/>
        <w:spacing w:before="0" w:after="0"/>
        <w:jc w:val="start"/>
        <w:rPr>
          <w:b/>
          <w:bCs/>
          <w:sz w:val="20"/>
          <w:szCs w:val="20"/>
          <w:highlight w:val="none"/>
          <w:shd w:fill="FFFF00" w:val="clear"/>
        </w:rPr>
      </w:pPr>
      <w:r>
        <w:rPr>
          <w:b/>
          <w:bCs/>
          <w:sz w:val="20"/>
          <w:szCs w:val="20"/>
          <w:shd w:fill="FFFF00" w:val="clear"/>
        </w:rPr>
        <w:t xml:space="preserve">The typical method is as follows: </w:t>
      </w:r>
    </w:p>
    <w:p>
      <w:pPr>
        <w:pStyle w:val="BodyText"/>
        <w:bidi w:val="0"/>
        <w:spacing w:before="0" w:after="0"/>
        <w:jc w:val="start"/>
        <w:rPr>
          <w:b w:val="false"/>
          <w:bCs w:val="false"/>
          <w:sz w:val="20"/>
          <w:szCs w:val="20"/>
          <w:highlight w:val="none"/>
          <w:shd w:fill="FFFF00" w:val="clear"/>
        </w:rPr>
      </w:pPr>
      <w:r>
        <w:rPr>
          <w:b w:val="false"/>
          <w:bCs w:val="false"/>
          <w:sz w:val="20"/>
          <w:szCs w:val="20"/>
          <w:shd w:fill="FFFF00" w:val="clear"/>
        </w:rPr>
        <w:t>Procedures should be assigned to the appropriate recovery team and typically address the following</w:t>
      </w:r>
    </w:p>
    <w:p>
      <w:pPr>
        <w:pStyle w:val="BodyText"/>
        <w:bidi w:val="0"/>
        <w:spacing w:before="0" w:after="0"/>
        <w:jc w:val="start"/>
        <w:rPr>
          <w:b w:val="false"/>
          <w:bCs w:val="false"/>
          <w:sz w:val="20"/>
          <w:szCs w:val="20"/>
          <w:highlight w:val="none"/>
          <w:shd w:fill="FFFF00" w:val="clear"/>
        </w:rPr>
      </w:pPr>
      <w:r>
        <w:rPr>
          <w:b w:val="false"/>
          <w:bCs w:val="false"/>
          <w:sz w:val="20"/>
          <w:szCs w:val="20"/>
          <w:shd w:fill="FFFF00" w:val="clear"/>
        </w:rPr>
        <w:t>actions:</w:t>
      </w:r>
    </w:p>
    <w:p>
      <w:pPr>
        <w:pStyle w:val="BodyText"/>
        <w:bidi w:val="0"/>
        <w:spacing w:before="0" w:after="0"/>
        <w:ind w:hanging="0" w:start="709"/>
        <w:jc w:val="start"/>
        <w:rPr>
          <w:b w:val="false"/>
          <w:bCs w:val="false"/>
          <w:sz w:val="20"/>
          <w:szCs w:val="20"/>
          <w:highlight w:val="none"/>
          <w:shd w:fill="FFFF00" w:val="clear"/>
        </w:rPr>
      </w:pPr>
      <w:r>
        <w:rPr>
          <w:b w:val="false"/>
          <w:bCs w:val="false"/>
          <w:sz w:val="20"/>
          <w:szCs w:val="20"/>
          <w:shd w:fill="FFFF00" w:val="clear"/>
        </w:rPr>
        <w:t> Obtaining authorization to access damaged facilities and/or geographic area;</w:t>
      </w:r>
    </w:p>
    <w:p>
      <w:pPr>
        <w:pStyle w:val="BodyText"/>
        <w:bidi w:val="0"/>
        <w:spacing w:before="0" w:after="0"/>
        <w:ind w:hanging="0" w:start="709"/>
        <w:jc w:val="start"/>
        <w:rPr>
          <w:b w:val="false"/>
          <w:bCs w:val="false"/>
          <w:sz w:val="20"/>
          <w:szCs w:val="20"/>
          <w:highlight w:val="none"/>
          <w:shd w:fill="FFFF00" w:val="clear"/>
        </w:rPr>
      </w:pPr>
      <w:r>
        <w:rPr>
          <w:b w:val="false"/>
          <w:bCs w:val="false"/>
          <w:sz w:val="20"/>
          <w:szCs w:val="20"/>
          <w:shd w:fill="FFFF00" w:val="clear"/>
        </w:rPr>
        <w:t> Notifying internal and external business partners associated with the system;</w:t>
      </w:r>
    </w:p>
    <w:p>
      <w:pPr>
        <w:pStyle w:val="BodyText"/>
        <w:bidi w:val="0"/>
        <w:spacing w:before="0" w:after="0"/>
        <w:ind w:hanging="0" w:start="709"/>
        <w:jc w:val="start"/>
        <w:rPr>
          <w:b w:val="false"/>
          <w:bCs w:val="false"/>
          <w:sz w:val="20"/>
          <w:szCs w:val="20"/>
          <w:highlight w:val="none"/>
          <w:shd w:fill="FFFF00" w:val="clear"/>
        </w:rPr>
      </w:pPr>
      <w:r>
        <w:rPr>
          <w:b w:val="false"/>
          <w:bCs w:val="false"/>
          <w:sz w:val="20"/>
          <w:szCs w:val="20"/>
          <w:shd w:fill="FFFF00" w:val="clear"/>
        </w:rPr>
        <w:t> Obtaining necessary office supplies and work space;</w:t>
      </w:r>
    </w:p>
    <w:p>
      <w:pPr>
        <w:pStyle w:val="BodyText"/>
        <w:bidi w:val="0"/>
        <w:spacing w:before="0" w:after="0"/>
        <w:ind w:hanging="0" w:start="709"/>
        <w:jc w:val="start"/>
        <w:rPr>
          <w:b w:val="false"/>
          <w:bCs w:val="false"/>
          <w:sz w:val="20"/>
          <w:szCs w:val="20"/>
          <w:highlight w:val="none"/>
          <w:shd w:fill="FFFF00" w:val="clear"/>
        </w:rPr>
      </w:pPr>
      <w:r>
        <w:rPr>
          <w:b w:val="false"/>
          <w:bCs w:val="false"/>
          <w:sz w:val="20"/>
          <w:szCs w:val="20"/>
          <w:shd w:fill="FFFF00" w:val="clear"/>
        </w:rPr>
        <w:t> Obtaining and installing necessary hardware components;</w:t>
      </w:r>
    </w:p>
    <w:p>
      <w:pPr>
        <w:pStyle w:val="BodyText"/>
        <w:bidi w:val="0"/>
        <w:spacing w:before="0" w:after="0"/>
        <w:ind w:hanging="0" w:start="709"/>
        <w:jc w:val="start"/>
        <w:rPr>
          <w:b w:val="false"/>
          <w:bCs w:val="false"/>
          <w:sz w:val="20"/>
          <w:szCs w:val="20"/>
          <w:highlight w:val="none"/>
          <w:shd w:fill="FFFF00" w:val="clear"/>
        </w:rPr>
      </w:pPr>
      <w:r>
        <w:rPr>
          <w:b w:val="false"/>
          <w:bCs w:val="false"/>
          <w:sz w:val="20"/>
          <w:szCs w:val="20"/>
          <w:shd w:fill="FFFF00" w:val="clear"/>
        </w:rPr>
        <w:t> Obtaining and loading backup media;</w:t>
      </w:r>
    </w:p>
    <w:p>
      <w:pPr>
        <w:pStyle w:val="BodyText"/>
        <w:bidi w:val="0"/>
        <w:spacing w:before="0" w:after="0"/>
        <w:ind w:hanging="0" w:start="709"/>
        <w:jc w:val="start"/>
        <w:rPr>
          <w:b w:val="false"/>
          <w:bCs w:val="false"/>
          <w:sz w:val="20"/>
          <w:szCs w:val="20"/>
          <w:highlight w:val="none"/>
          <w:shd w:fill="FFFF00" w:val="clear"/>
        </w:rPr>
      </w:pPr>
      <w:r>
        <w:rPr>
          <w:b w:val="false"/>
          <w:bCs w:val="false"/>
          <w:sz w:val="20"/>
          <w:szCs w:val="20"/>
          <w:shd w:fill="FFFF00" w:val="clear"/>
        </w:rPr>
        <w:t> Restoring critical operating system and application software;</w:t>
      </w:r>
    </w:p>
    <w:p>
      <w:pPr>
        <w:pStyle w:val="BodyText"/>
        <w:bidi w:val="0"/>
        <w:spacing w:before="0" w:after="0"/>
        <w:ind w:hanging="0" w:start="709"/>
        <w:jc w:val="start"/>
        <w:rPr>
          <w:b w:val="false"/>
          <w:bCs w:val="false"/>
          <w:sz w:val="20"/>
          <w:szCs w:val="20"/>
          <w:highlight w:val="none"/>
          <w:shd w:fill="FFFF00" w:val="clear"/>
        </w:rPr>
      </w:pPr>
      <w:r>
        <w:rPr>
          <w:b w:val="false"/>
          <w:bCs w:val="false"/>
          <w:sz w:val="20"/>
          <w:szCs w:val="20"/>
          <w:shd w:fill="FFFF00" w:val="clear"/>
        </w:rPr>
        <w:t> Restoring system data to a known state;</w:t>
      </w:r>
    </w:p>
    <w:p>
      <w:pPr>
        <w:pStyle w:val="BodyText"/>
        <w:bidi w:val="0"/>
        <w:spacing w:before="0" w:after="0"/>
        <w:ind w:hanging="0" w:start="709"/>
        <w:jc w:val="start"/>
        <w:rPr>
          <w:b w:val="false"/>
          <w:bCs w:val="false"/>
          <w:sz w:val="20"/>
          <w:szCs w:val="20"/>
          <w:highlight w:val="none"/>
          <w:shd w:fill="FFFF00" w:val="clear"/>
        </w:rPr>
      </w:pPr>
      <w:r>
        <w:rPr>
          <w:b w:val="false"/>
          <w:bCs w:val="false"/>
          <w:sz w:val="20"/>
          <w:szCs w:val="20"/>
          <w:shd w:fill="FFFF00" w:val="clear"/>
        </w:rPr>
        <w:t> Testing system functionality including security controls;</w:t>
      </w:r>
    </w:p>
    <w:p>
      <w:pPr>
        <w:pStyle w:val="BodyText"/>
        <w:bidi w:val="0"/>
        <w:spacing w:before="0" w:after="0"/>
        <w:ind w:hanging="0" w:start="709"/>
        <w:jc w:val="start"/>
        <w:rPr>
          <w:b w:val="false"/>
          <w:bCs w:val="false"/>
          <w:sz w:val="20"/>
          <w:szCs w:val="20"/>
          <w:highlight w:val="none"/>
          <w:shd w:fill="FFFF00" w:val="clear"/>
        </w:rPr>
      </w:pPr>
      <w:r>
        <w:rPr>
          <w:b w:val="false"/>
          <w:bCs w:val="false"/>
          <w:sz w:val="20"/>
          <w:szCs w:val="20"/>
          <w:shd w:fill="FFFF00" w:val="clear"/>
        </w:rPr>
        <w:t> Connecting system to network or other external systems; and</w:t>
      </w:r>
    </w:p>
    <w:p>
      <w:pPr>
        <w:pStyle w:val="BodyText"/>
        <w:bidi w:val="0"/>
        <w:spacing w:before="0" w:after="0"/>
        <w:ind w:hanging="0" w:start="709"/>
        <w:jc w:val="start"/>
        <w:rPr>
          <w:sz w:val="20"/>
          <w:szCs w:val="20"/>
          <w:highlight w:val="none"/>
          <w:shd w:fill="FFFF00" w:val="clear"/>
        </w:rPr>
      </w:pPr>
      <w:r>
        <w:rPr>
          <w:b w:val="false"/>
          <w:bCs w:val="false"/>
          <w:sz w:val="20"/>
          <w:szCs w:val="20"/>
          <w:shd w:fill="FFFF00" w:val="clear"/>
        </w:rPr>
        <w:t> Operating alternate equipment successfully.</w:t>
      </w:r>
    </w:p>
    <w:p>
      <w:pPr>
        <w:pStyle w:val="BodyText"/>
        <w:bidi w:val="0"/>
        <w:jc w:val="start"/>
        <w:rPr>
          <w:sz w:val="20"/>
          <w:szCs w:val="20"/>
        </w:rPr>
      </w:pPr>
      <w:r>
        <w:rPr>
          <w:b/>
          <w:bCs/>
          <w:shd w:fill="auto" w:val="clear"/>
        </w:rPr>
      </w:r>
    </w:p>
    <w:p>
      <w:pPr>
        <w:pStyle w:val="BodyText"/>
        <w:bidi w:val="0"/>
        <w:jc w:val="start"/>
        <w:rPr>
          <w:b/>
          <w:bCs/>
          <w:highlight w:val="none"/>
          <w:shd w:fill="auto" w:val="clear"/>
        </w:rPr>
      </w:pPr>
      <w:r>
        <w:rPr>
          <w:b/>
          <w:bCs/>
          <w:sz w:val="20"/>
          <w:szCs w:val="20"/>
          <w:shd w:fill="auto" w:val="clear"/>
        </w:rPr>
        <w:t>4. How can you restore systems without destroying evidence for the forensic firm? In other words, what steps must be taken to preserve the evidence from systems before they are restored?</w:t>
      </w:r>
    </w:p>
    <w:p>
      <w:pPr>
        <w:pStyle w:val="BodyText"/>
        <w:bidi w:val="0"/>
        <w:jc w:val="start"/>
        <w:rPr>
          <w:b w:val="false"/>
          <w:bCs w:val="false"/>
          <w:highlight w:val="none"/>
          <w:shd w:fill="FFFF00" w:val="clear"/>
        </w:rPr>
      </w:pPr>
      <w:r>
        <w:rPr>
          <w:b w:val="false"/>
          <w:bCs w:val="false"/>
          <w:sz w:val="20"/>
          <w:szCs w:val="20"/>
          <w:shd w:fill="FFFF00" w:val="clear"/>
        </w:rPr>
        <w:t>E</w:t>
      </w:r>
      <w:r>
        <w:rPr>
          <w:b w:val="false"/>
          <w:bCs w:val="false"/>
          <w:sz w:val="20"/>
          <w:szCs w:val="20"/>
          <w:shd w:fill="FFFF00" w:val="clear"/>
        </w:rPr>
        <w:t>vidence can be preserved by imaging known infected devices.  It was also reported that onsite backups that had completed and were discovered to be compromised, this would contain additional evidence.  Capturing logs from servers, firewalls, IDS, IPS (etc) and storing them on isolated media would help preserve evidence, data, and data streams.  The Forensic teams will also have their own collection of preserved data.</w:t>
      </w:r>
    </w:p>
    <w:p>
      <w:pPr>
        <w:pStyle w:val="BodyText"/>
        <w:bidi w:val="0"/>
        <w:ind w:hanging="0" w:start="0" w:end="0"/>
        <w:jc w:val="start"/>
        <w:rPr/>
      </w:pPr>
      <w:r>
        <w:rPr/>
        <w:br/>
        <w:t>Section 5</w:t>
      </w:r>
    </w:p>
    <w:p>
      <w:pPr>
        <w:pStyle w:val="BodyText"/>
        <w:bidi w:val="0"/>
        <w:jc w:val="start"/>
        <w:rPr/>
      </w:pPr>
      <w:r>
        <w:rPr/>
        <w:t>A. Navigate to the Instructions page to access Section 5 Scenario.</w:t>
      </w:r>
    </w:p>
    <w:p>
      <w:pPr>
        <w:pStyle w:val="BodyText"/>
        <w:bidi w:val="0"/>
        <w:jc w:val="start"/>
        <w:rPr/>
      </w:pPr>
      <w:r>
        <w:rPr/>
        <w:t>B. Answer the following questions:</w:t>
      </w:r>
    </w:p>
    <w:p>
      <w:pPr>
        <w:pStyle w:val="BodyText"/>
        <w:bidi w:val="0"/>
        <w:jc w:val="start"/>
        <w:rPr/>
      </w:pPr>
      <w:r>
        <w:rPr/>
        <w:t>1. Who must be notified and when? [The patient or their personal representative, HHS, consumer reporting agencies, the media, etc.? State data breach requirements can require more but not less than the Federal requirements.] Hint: You get these numbers from the</w:t>
      </w:r>
      <w:hyperlink r:id="rId6" w:tgtFrame="_blank">
        <w:r>
          <w:rPr>
            <w:rStyle w:val="Hyperlink"/>
          </w:rPr>
          <w:t> forensics report</w:t>
        </w:r>
      </w:hyperlink>
      <w:r>
        <w:rPr/>
        <w:t>.</w:t>
      </w:r>
    </w:p>
    <w:p>
      <w:pPr>
        <w:pStyle w:val="BodyText"/>
        <w:numPr>
          <w:ilvl w:val="0"/>
          <w:numId w:val="3"/>
        </w:numPr>
        <w:tabs>
          <w:tab w:val="clear" w:pos="709"/>
          <w:tab w:val="left" w:pos="709" w:leader="none"/>
        </w:tabs>
        <w:bidi w:val="0"/>
        <w:spacing w:before="0" w:after="0"/>
        <w:ind w:hanging="283" w:start="709"/>
        <w:jc w:val="start"/>
        <w:rPr/>
      </w:pPr>
      <w:r>
        <w:rPr/>
        <w:t>Note: Acquisition, access, use, or disclosure of unsecured protected health information in a manner not permitted under the HIPAA Privacy Rule is presumed  to be a breach unless the Covered Entity or Business Associate can demonstrate that there is a low probability that the PHI has been compromised based on a risk assessment. Unfortunately, “compromise” is not well defined.</w:t>
      </w:r>
    </w:p>
    <w:p>
      <w:pPr>
        <w:pStyle w:val="BodyText"/>
        <w:numPr>
          <w:ilvl w:val="0"/>
          <w:numId w:val="3"/>
        </w:numPr>
        <w:tabs>
          <w:tab w:val="clear" w:pos="709"/>
          <w:tab w:val="left" w:pos="709" w:leader="none"/>
        </w:tabs>
        <w:bidi w:val="0"/>
        <w:spacing w:before="0" w:after="0"/>
        <w:ind w:hanging="283" w:start="709"/>
        <w:jc w:val="start"/>
        <w:rPr/>
      </w:pPr>
      <w:hyperlink r:id="rId7" w:tgtFrame="_blank">
        <w:r>
          <w:rPr>
            <w:rStyle w:val="Hyperlink"/>
          </w:rPr>
          <w:t>https://www.hhs.gov/sites/default/files/RansomwareFactSheet.pdf</w:t>
        </w:r>
      </w:hyperlink>
    </w:p>
    <w:p>
      <w:pPr>
        <w:pStyle w:val="BodyText"/>
        <w:numPr>
          <w:ilvl w:val="0"/>
          <w:numId w:val="3"/>
        </w:numPr>
        <w:tabs>
          <w:tab w:val="clear" w:pos="709"/>
          <w:tab w:val="left" w:pos="709" w:leader="none"/>
        </w:tabs>
        <w:bidi w:val="0"/>
        <w:ind w:hanging="283" w:start="709"/>
        <w:jc w:val="start"/>
        <w:rPr/>
      </w:pPr>
      <w:r>
        <w:rPr/>
        <w:t xml:space="preserve">For more information on breach notifications: </w:t>
      </w:r>
      <w:hyperlink r:id="rId8" w:tgtFrame="_blank">
        <w:r>
          <w:rPr>
            <w:rStyle w:val="Hyperlink"/>
          </w:rPr>
          <w:t>https://www.bakerlaw.com/BreachNotificationLawMap</w:t>
        </w:r>
      </w:hyperlink>
    </w:p>
    <w:p>
      <w:pPr>
        <w:pStyle w:val="BodyText"/>
        <w:bidi w:val="0"/>
        <w:jc w:val="start"/>
        <w:rPr>
          <w:b/>
          <w:bCs/>
          <w:sz w:val="20"/>
          <w:szCs w:val="20"/>
        </w:rPr>
      </w:pPr>
      <w:r>
        <w:rPr/>
        <w:t>[Expected response length: 2 Paragraphs]</w:t>
      </w:r>
    </w:p>
    <w:p>
      <w:pPr>
        <w:pStyle w:val="BodyText"/>
        <w:bidi w:val="0"/>
        <w:jc w:val="start"/>
        <w:rPr>
          <w:b/>
          <w:bCs/>
          <w:sz w:val="20"/>
          <w:szCs w:val="20"/>
        </w:rPr>
      </w:pPr>
      <w:r>
        <w:rPr>
          <w:b/>
          <w:bCs/>
          <w:sz w:val="20"/>
          <w:szCs w:val="20"/>
        </w:rPr>
        <w:t xml:space="preserve">1. Who must be notified and when?  </w:t>
      </w:r>
      <w:r>
        <w:rPr>
          <w:b/>
          <w:bCs/>
          <w:sz w:val="20"/>
          <w:szCs w:val="20"/>
        </w:rPr>
        <w:t>During the investigation it was determined the following records were exfiltrated:</w:t>
      </w:r>
    </w:p>
    <w:p>
      <w:pPr>
        <w:pStyle w:val="BodyText"/>
        <w:bidi w:val="0"/>
        <w:ind w:hanging="0" w:start="709"/>
        <w:jc w:val="start"/>
        <w:rPr>
          <w:sz w:val="20"/>
          <w:szCs w:val="20"/>
          <w:highlight w:val="none"/>
          <w:shd w:fill="FFFF00" w:val="clear"/>
        </w:rPr>
      </w:pPr>
      <w:r>
        <w:rPr>
          <w:sz w:val="20"/>
          <w:szCs w:val="20"/>
          <w:shd w:fill="FFFF00" w:val="clear"/>
        </w:rPr>
        <w:t xml:space="preserve">State </w:t>
        <w:tab/>
        <w:tab/>
        <w:t xml:space="preserve">Exfiltrated Records  </w:t>
        <w:tab/>
      </w:r>
      <w:r>
        <w:rPr>
          <w:sz w:val="20"/>
          <w:szCs w:val="20"/>
          <w:shd w:fill="FFFF00" w:val="clear"/>
        </w:rPr>
        <w:t>Notification Law</w:t>
      </w:r>
    </w:p>
    <w:p>
      <w:pPr>
        <w:pStyle w:val="BodyText"/>
        <w:bidi w:val="0"/>
        <w:spacing w:before="0" w:after="0"/>
        <w:ind w:hanging="0" w:start="709"/>
        <w:jc w:val="start"/>
        <w:rPr>
          <w:b/>
          <w:bCs/>
          <w:sz w:val="20"/>
          <w:szCs w:val="20"/>
          <w:highlight w:val="none"/>
          <w:shd w:fill="FFFF00" w:val="clear"/>
        </w:rPr>
      </w:pPr>
      <w:r>
        <w:rPr>
          <w:b/>
          <w:bCs/>
          <w:sz w:val="20"/>
          <w:szCs w:val="20"/>
          <w:shd w:fill="FFFF00" w:val="clear"/>
        </w:rPr>
        <w:t xml:space="preserve">Kentucky </w:t>
        <w:tab/>
        <w:t>5,961</w:t>
        <w:tab/>
        <w:tab/>
        <w:tab/>
      </w:r>
      <w:hyperlink r:id="rId9">
        <w:r>
          <w:rPr>
            <w:rStyle w:val="Hyperlink"/>
            <w:b/>
            <w:bCs/>
            <w:sz w:val="20"/>
            <w:szCs w:val="20"/>
            <w:shd w:fill="FFFF00" w:val="clear"/>
          </w:rPr>
          <w:t>KRS 364.732</w:t>
        </w:r>
      </w:hyperlink>
    </w:p>
    <w:p>
      <w:pPr>
        <w:pStyle w:val="BodyText"/>
        <w:bidi w:val="0"/>
        <w:spacing w:before="0" w:after="0"/>
        <w:ind w:hanging="0" w:start="709"/>
        <w:jc w:val="start"/>
        <w:rPr/>
      </w:pPr>
      <w:r>
        <w:rPr>
          <w:b/>
          <w:bCs/>
          <w:sz w:val="20"/>
          <w:szCs w:val="20"/>
          <w:shd w:fill="FFFF00" w:val="clear"/>
        </w:rPr>
        <w:t xml:space="preserve">Massachusetts </w:t>
        <w:tab/>
        <w:t>9</w:t>
        <w:tab/>
        <w:tab/>
        <w:tab/>
      </w:r>
      <w:hyperlink r:id="rId10">
        <w:r>
          <w:rPr>
            <w:rStyle w:val="Hyperlink"/>
            <w:b/>
            <w:bCs/>
            <w:sz w:val="20"/>
            <w:szCs w:val="20"/>
            <w:shd w:fill="FFFF00" w:val="clear"/>
          </w:rPr>
          <w:t>Mass. Gen. Laws § 93H-1 et seq.</w:t>
        </w:r>
      </w:hyperlink>
    </w:p>
    <w:p>
      <w:pPr>
        <w:pStyle w:val="BodyText"/>
        <w:bidi w:val="0"/>
        <w:spacing w:before="0" w:after="0"/>
        <w:ind w:hanging="0" w:start="709"/>
        <w:jc w:val="start"/>
        <w:rPr/>
      </w:pPr>
      <w:r>
        <w:rPr>
          <w:b/>
          <w:bCs/>
          <w:sz w:val="20"/>
          <w:szCs w:val="20"/>
          <w:shd w:fill="FFFF00" w:val="clear"/>
        </w:rPr>
        <w:t xml:space="preserve">Ohio </w:t>
        <w:tab/>
        <w:tab/>
        <w:t>3,657</w:t>
        <w:tab/>
        <w:tab/>
        <w:tab/>
      </w:r>
      <w:r>
        <w:rPr>
          <w:b/>
          <w:bCs/>
          <w:sz w:val="20"/>
          <w:szCs w:val="20"/>
          <w:shd w:fill="FFFF00" w:val="clear"/>
        </w:rPr>
        <w:t xml:space="preserve">Ohio Rev. Code §§ </w:t>
      </w:r>
      <w:hyperlink r:id="rId11">
        <w:r>
          <w:rPr>
            <w:rStyle w:val="Hyperlink"/>
            <w:b/>
            <w:bCs/>
            <w:sz w:val="20"/>
            <w:szCs w:val="20"/>
            <w:shd w:fill="FFFF00" w:val="clear"/>
          </w:rPr>
          <w:t>1349.19</w:t>
        </w:r>
      </w:hyperlink>
      <w:r>
        <w:rPr>
          <w:b/>
          <w:bCs/>
          <w:sz w:val="20"/>
          <w:szCs w:val="20"/>
          <w:shd w:fill="FFFF00" w:val="clear"/>
        </w:rPr>
        <w:t xml:space="preserve"> </w:t>
      </w:r>
      <w:hyperlink r:id="rId12">
        <w:r>
          <w:rPr>
            <w:rStyle w:val="Hyperlink"/>
            <w:b/>
            <w:bCs/>
            <w:sz w:val="20"/>
            <w:szCs w:val="20"/>
            <w:shd w:fill="FFFF00" w:val="clear"/>
          </w:rPr>
          <w:t>1349.191</w:t>
        </w:r>
      </w:hyperlink>
      <w:r>
        <w:rPr>
          <w:b/>
          <w:bCs/>
          <w:sz w:val="20"/>
          <w:szCs w:val="20"/>
          <w:shd w:fill="FFFF00" w:val="clear"/>
        </w:rPr>
        <w:t xml:space="preserve">, </w:t>
      </w:r>
      <w:hyperlink r:id="rId13">
        <w:r>
          <w:rPr>
            <w:rStyle w:val="Hyperlink"/>
            <w:b/>
            <w:bCs/>
            <w:sz w:val="20"/>
            <w:szCs w:val="20"/>
            <w:shd w:fill="FFFF00" w:val="clear"/>
          </w:rPr>
          <w:t>1345.01 et seq.</w:t>
        </w:r>
      </w:hyperlink>
    </w:p>
    <w:p>
      <w:pPr>
        <w:pStyle w:val="BodyText"/>
        <w:bidi w:val="0"/>
        <w:spacing w:before="0" w:after="0"/>
        <w:ind w:hanging="0" w:start="709"/>
        <w:jc w:val="start"/>
        <w:rPr/>
      </w:pPr>
      <w:r>
        <w:rPr>
          <w:b/>
          <w:bCs/>
          <w:sz w:val="20"/>
          <w:szCs w:val="20"/>
          <w:shd w:fill="FFFF00" w:val="clear"/>
        </w:rPr>
        <w:t xml:space="preserve">Pennsylvania </w:t>
        <w:tab/>
        <w:t>426</w:t>
        <w:tab/>
        <w:tab/>
        <w:tab/>
      </w:r>
      <w:hyperlink r:id="rId14">
        <w:r>
          <w:rPr>
            <w:rStyle w:val="Hyperlink"/>
            <w:b/>
            <w:bCs/>
            <w:sz w:val="20"/>
            <w:szCs w:val="20"/>
            <w:shd w:fill="FFFF00" w:val="clear"/>
          </w:rPr>
          <w:t>73 Pa. State</w:t>
        </w:r>
      </w:hyperlink>
      <w:r>
        <w:rPr>
          <w:b/>
          <w:bCs/>
          <w:sz w:val="20"/>
          <w:szCs w:val="20"/>
          <w:shd w:fill="FFFF00" w:val="clear"/>
        </w:rPr>
        <w:t xml:space="preserve"> </w:t>
      </w:r>
      <w:r>
        <w:rPr>
          <w:b/>
          <w:bCs/>
          <w:sz w:val="20"/>
          <w:szCs w:val="20"/>
          <w:shd w:fill="FFFF00" w:val="clear"/>
        </w:rPr>
        <w:t xml:space="preserve">§§  </w:t>
      </w:r>
      <w:hyperlink r:id="rId15">
        <w:r>
          <w:rPr>
            <w:rStyle w:val="Hyperlink"/>
            <w:b/>
            <w:bCs/>
            <w:sz w:val="20"/>
            <w:szCs w:val="20"/>
            <w:shd w:fill="FFFF00" w:val="clear"/>
          </w:rPr>
          <w:t>2301 et seq.</w:t>
        </w:r>
      </w:hyperlink>
    </w:p>
    <w:p>
      <w:pPr>
        <w:pStyle w:val="BodyText"/>
        <w:bidi w:val="0"/>
        <w:spacing w:before="0" w:after="0"/>
        <w:ind w:hanging="0" w:start="709"/>
        <w:jc w:val="start"/>
        <w:rPr/>
      </w:pPr>
      <w:r>
        <w:rPr>
          <w:b/>
          <w:bCs/>
          <w:sz w:val="20"/>
          <w:szCs w:val="20"/>
          <w:shd w:fill="FFFF00" w:val="clear"/>
        </w:rPr>
        <w:t xml:space="preserve">West Virginia </w:t>
        <w:tab/>
        <w:t>4,963</w:t>
        <w:tab/>
        <w:tab/>
        <w:tab/>
        <w:t xml:space="preserve">W.V. Code §§ </w:t>
      </w:r>
      <w:hyperlink r:id="rId16">
        <w:r>
          <w:rPr>
            <w:rStyle w:val="Hyperlink"/>
            <w:b/>
            <w:bCs/>
            <w:sz w:val="20"/>
            <w:szCs w:val="20"/>
            <w:shd w:fill="FFFF00" w:val="clear"/>
          </w:rPr>
          <w:t>46A-2A-101 et seq.</w:t>
        </w:r>
      </w:hyperlink>
    </w:p>
    <w:p>
      <w:pPr>
        <w:pStyle w:val="BodyText"/>
        <w:bidi w:val="0"/>
        <w:spacing w:before="0" w:after="0"/>
        <w:ind w:hanging="0" w:start="709"/>
        <w:jc w:val="start"/>
        <w:rPr>
          <w:b/>
          <w:bCs/>
          <w:sz w:val="20"/>
          <w:szCs w:val="20"/>
          <w:highlight w:val="none"/>
          <w:shd w:fill="FFFF00" w:val="clear"/>
        </w:rPr>
      </w:pPr>
      <w:r>
        <w:rPr/>
      </w:r>
    </w:p>
    <w:p>
      <w:pPr>
        <w:pStyle w:val="BodyText"/>
        <w:bidi w:val="0"/>
        <w:spacing w:before="0" w:after="0"/>
        <w:ind w:hanging="0" w:start="0"/>
        <w:jc w:val="start"/>
        <w:rPr/>
      </w:pPr>
      <w:r>
        <w:rPr>
          <w:b w:val="false"/>
          <w:bCs w:val="false"/>
          <w:sz w:val="20"/>
          <w:szCs w:val="20"/>
          <w:shd w:fill="FFFF00" w:val="clear"/>
        </w:rPr>
        <w:t xml:space="preserve">In general Persons in Each state as well as </w:t>
      </w:r>
      <w:r>
        <w:rPr>
          <w:b w:val="false"/>
          <w:bCs w:val="false"/>
          <w:sz w:val="20"/>
          <w:szCs w:val="20"/>
          <w:shd w:fill="FFFF00" w:val="clear"/>
        </w:rPr>
        <w:t xml:space="preserve">corporations, business trusts, estates, partnerships, limited partnerships, limited liability partnerships, limited liability companies, associations, organizations, joint ventures, governments, governmental subdivisions, agencies or instrumentalities, or any other legal entity, whether for profit or not for profit, </w:t>
      </w:r>
      <w:r>
        <w:rPr>
          <w:b w:val="false"/>
          <w:bCs w:val="false"/>
          <w:sz w:val="20"/>
          <w:szCs w:val="20"/>
          <w:shd w:fill="FFFF00" w:val="clear"/>
        </w:rPr>
        <w:t xml:space="preserve">should be contacted and updated on the Breach that had occurred.  </w:t>
      </w:r>
      <w:r>
        <w:rPr>
          <w:b w:val="false"/>
          <w:bCs w:val="false"/>
          <w:sz w:val="20"/>
          <w:szCs w:val="20"/>
          <w:shd w:fill="FFFF00" w:val="clear"/>
        </w:rPr>
        <w:t>Notifications are send out after validation of a breach had occurred, specific time to notify customers/clients etc is dependant on policies of the organization for information dissemination regarding breach and state regulatory laws.</w:t>
      </w:r>
    </w:p>
    <w:p>
      <w:pPr>
        <w:pStyle w:val="BodyText"/>
        <w:bidi w:val="0"/>
        <w:spacing w:before="0" w:after="0"/>
        <w:ind w:hanging="0" w:start="0"/>
        <w:jc w:val="start"/>
        <w:rPr>
          <w:b w:val="false"/>
          <w:bCs w:val="false"/>
          <w:sz w:val="20"/>
          <w:szCs w:val="20"/>
          <w:highlight w:val="none"/>
          <w:shd w:fill="FFFF00" w:val="clear"/>
        </w:rPr>
      </w:pPr>
      <w:r>
        <w:rPr/>
      </w:r>
    </w:p>
    <w:p>
      <w:pPr>
        <w:pStyle w:val="HorizontalLine"/>
        <w:bidi w:val="0"/>
        <w:jc w:val="start"/>
        <w:rPr/>
      </w:pPr>
      <w:r>
        <w:rPr/>
      </w:r>
    </w:p>
    <w:p>
      <w:pPr>
        <w:pStyle w:val="BodyText"/>
        <w:bidi w:val="0"/>
        <w:ind w:hanging="0" w:start="0" w:end="0"/>
        <w:jc w:val="start"/>
        <w:rPr/>
      </w:pPr>
      <w:r>
        <w:rPr/>
        <w:t>Section 6</w:t>
      </w:r>
    </w:p>
    <w:p>
      <w:pPr>
        <w:pStyle w:val="BodyText"/>
        <w:bidi w:val="0"/>
        <w:jc w:val="start"/>
        <w:rPr/>
      </w:pPr>
      <w:r>
        <w:rPr/>
        <w:t>A. Navigate to the Instructions page to access Section 6 Scenario.</w:t>
      </w:r>
    </w:p>
    <w:p>
      <w:pPr>
        <w:pStyle w:val="BodyText"/>
        <w:bidi w:val="0"/>
        <w:jc w:val="start"/>
        <w:rPr/>
      </w:pPr>
      <w:r>
        <w:rPr/>
        <w:t>B. Answer the following questions:</w:t>
      </w:r>
    </w:p>
    <w:p>
      <w:pPr>
        <w:pStyle w:val="BodyText"/>
        <w:bidi w:val="0"/>
        <w:jc w:val="start"/>
        <w:rPr/>
      </w:pPr>
      <w:r>
        <w:rPr/>
        <w:t>1. What are 5 recommendations (in priority order) that you would suggest the organization take to avoid/mitigate similar attacks and why?</w:t>
      </w:r>
    </w:p>
    <w:p>
      <w:pPr>
        <w:pStyle w:val="BodyText"/>
        <w:bidi w:val="0"/>
        <w:spacing w:before="0" w:after="0"/>
        <w:jc w:val="start"/>
        <w:rPr>
          <w:sz w:val="20"/>
          <w:szCs w:val="20"/>
          <w:highlight w:val="none"/>
          <w:shd w:fill="FFFF00" w:val="clear"/>
        </w:rPr>
      </w:pPr>
      <w:r>
        <w:rPr>
          <w:sz w:val="20"/>
          <w:szCs w:val="20"/>
          <w:shd w:fill="FFFF00" w:val="clear"/>
        </w:rPr>
        <w:t xml:space="preserve">NIST suggests the following recommended practices for securing networks, systems, and applications: </w:t>
      </w:r>
    </w:p>
    <w:p>
      <w:pPr>
        <w:pStyle w:val="BodyText"/>
        <w:bidi w:val="0"/>
        <w:spacing w:before="0" w:after="0"/>
        <w:ind w:hanging="0" w:start="709"/>
        <w:jc w:val="start"/>
        <w:rPr>
          <w:sz w:val="20"/>
          <w:szCs w:val="20"/>
          <w:highlight w:val="none"/>
          <w:shd w:fill="FFFF00" w:val="clear"/>
        </w:rPr>
      </w:pPr>
      <w:r>
        <w:rPr>
          <w:sz w:val="20"/>
          <w:szCs w:val="20"/>
          <w:shd w:fill="FFFF00" w:val="clear"/>
        </w:rPr>
        <w:t xml:space="preserve"> </w:t>
      </w:r>
      <w:r>
        <w:rPr>
          <w:b/>
          <w:bCs/>
          <w:sz w:val="20"/>
          <w:szCs w:val="20"/>
          <w:shd w:fill="FFFF00" w:val="clear"/>
        </w:rPr>
        <w:t>* Risk Assessments.</w:t>
      </w:r>
      <w:r>
        <w:rPr>
          <w:sz w:val="20"/>
          <w:szCs w:val="20"/>
          <w:shd w:fill="FFFF00" w:val="clear"/>
        </w:rPr>
        <w:t xml:space="preserve"> Periodic risk assessments of systems and applications should determine what</w:t>
      </w:r>
    </w:p>
    <w:p>
      <w:pPr>
        <w:pStyle w:val="BodyText"/>
        <w:bidi w:val="0"/>
        <w:spacing w:before="0" w:after="0"/>
        <w:ind w:hanging="0" w:start="709"/>
        <w:jc w:val="start"/>
        <w:rPr>
          <w:sz w:val="20"/>
          <w:szCs w:val="20"/>
          <w:highlight w:val="none"/>
          <w:shd w:fill="FFFF00" w:val="clear"/>
        </w:rPr>
      </w:pPr>
      <w:r>
        <w:rPr>
          <w:sz w:val="20"/>
          <w:szCs w:val="20"/>
          <w:shd w:fill="FFFF00" w:val="clear"/>
        </w:rPr>
        <w:t>risks are posed by combinations of threats and vulnerabilities. This should include understanding the</w:t>
      </w:r>
    </w:p>
    <w:p>
      <w:pPr>
        <w:pStyle w:val="BodyText"/>
        <w:bidi w:val="0"/>
        <w:spacing w:before="0" w:after="0"/>
        <w:ind w:hanging="0" w:start="709"/>
        <w:jc w:val="start"/>
        <w:rPr>
          <w:sz w:val="20"/>
          <w:szCs w:val="20"/>
          <w:highlight w:val="none"/>
          <w:shd w:fill="FFFF00" w:val="clear"/>
        </w:rPr>
      </w:pPr>
      <w:r>
        <w:rPr>
          <w:sz w:val="20"/>
          <w:szCs w:val="20"/>
          <w:shd w:fill="FFFF00" w:val="clear"/>
        </w:rPr>
        <w:t>applicable threats, including organization-specific threats. Each risk should be prioritized, and the</w:t>
      </w:r>
    </w:p>
    <w:p>
      <w:pPr>
        <w:pStyle w:val="BodyText"/>
        <w:bidi w:val="0"/>
        <w:spacing w:before="0" w:after="0"/>
        <w:ind w:hanging="0" w:start="709"/>
        <w:jc w:val="start"/>
        <w:rPr>
          <w:sz w:val="20"/>
          <w:szCs w:val="20"/>
          <w:highlight w:val="none"/>
          <w:shd w:fill="FFFF00" w:val="clear"/>
        </w:rPr>
      </w:pPr>
      <w:r>
        <w:rPr>
          <w:sz w:val="20"/>
          <w:szCs w:val="20"/>
          <w:shd w:fill="FFFF00" w:val="clear"/>
        </w:rPr>
        <w:t>risks can be mitigated, transferred, or accepted until a reasonable overall level of risk is reached.</w:t>
      </w:r>
    </w:p>
    <w:p>
      <w:pPr>
        <w:pStyle w:val="BodyText"/>
        <w:bidi w:val="0"/>
        <w:spacing w:before="0" w:after="0"/>
        <w:ind w:hanging="0" w:start="709"/>
        <w:jc w:val="start"/>
        <w:rPr>
          <w:sz w:val="20"/>
          <w:szCs w:val="20"/>
          <w:highlight w:val="none"/>
          <w:shd w:fill="FFFF00" w:val="clear"/>
        </w:rPr>
      </w:pPr>
      <w:r>
        <w:rPr>
          <w:sz w:val="20"/>
          <w:szCs w:val="20"/>
          <w:shd w:fill="FFFF00" w:val="clear"/>
        </w:rPr>
        <w:t>Another benefit of conducting risk assessments regularly is that critical resources are identified,</w:t>
      </w:r>
    </w:p>
    <w:p>
      <w:pPr>
        <w:pStyle w:val="BodyText"/>
        <w:bidi w:val="0"/>
        <w:spacing w:before="0" w:after="0"/>
        <w:ind w:hanging="0" w:start="709"/>
        <w:jc w:val="start"/>
        <w:rPr>
          <w:sz w:val="20"/>
          <w:szCs w:val="20"/>
          <w:highlight w:val="none"/>
          <w:shd w:fill="FFFF00" w:val="clear"/>
        </w:rPr>
      </w:pPr>
      <w:r>
        <w:rPr>
          <w:sz w:val="20"/>
          <w:szCs w:val="20"/>
          <w:shd w:fill="FFFF00" w:val="clear"/>
        </w:rPr>
        <w:t>allowing staff to emphasize monitoring and response activities for those resources.</w:t>
      </w:r>
    </w:p>
    <w:p>
      <w:pPr>
        <w:pStyle w:val="BodyText"/>
        <w:bidi w:val="0"/>
        <w:spacing w:before="0" w:after="0"/>
        <w:ind w:hanging="0" w:start="709"/>
        <w:jc w:val="start"/>
        <w:rPr>
          <w:sz w:val="20"/>
          <w:szCs w:val="20"/>
          <w:highlight w:val="none"/>
          <w:shd w:fill="FFFF00" w:val="clear"/>
        </w:rPr>
      </w:pPr>
      <w:r>
        <w:rPr>
          <w:sz w:val="20"/>
          <w:szCs w:val="20"/>
          <w:shd w:fill="FFFF00" w:val="clear"/>
        </w:rPr>
        <w:t xml:space="preserve"> </w:t>
      </w:r>
      <w:r>
        <w:rPr>
          <w:b/>
          <w:bCs/>
          <w:sz w:val="20"/>
          <w:szCs w:val="20"/>
          <w:shd w:fill="FFFF00" w:val="clear"/>
        </w:rPr>
        <w:t>* Host Security.</w:t>
      </w:r>
      <w:r>
        <w:rPr>
          <w:sz w:val="20"/>
          <w:szCs w:val="20"/>
          <w:shd w:fill="FFFF00" w:val="clear"/>
        </w:rPr>
        <w:t xml:space="preserve"> All hosts should be hardened appropriately using standard configurations. In addition</w:t>
      </w:r>
    </w:p>
    <w:p>
      <w:pPr>
        <w:pStyle w:val="BodyText"/>
        <w:bidi w:val="0"/>
        <w:spacing w:before="0" w:after="0"/>
        <w:ind w:hanging="0" w:start="709"/>
        <w:jc w:val="start"/>
        <w:rPr>
          <w:sz w:val="20"/>
          <w:szCs w:val="20"/>
          <w:highlight w:val="none"/>
          <w:shd w:fill="FFFF00" w:val="clear"/>
        </w:rPr>
      </w:pPr>
      <w:r>
        <w:rPr>
          <w:sz w:val="20"/>
          <w:szCs w:val="20"/>
          <w:shd w:fill="FFFF00" w:val="clear"/>
        </w:rPr>
        <w:t>to keeping each host properly patched, hosts should be configured to follow the principle of least</w:t>
      </w:r>
    </w:p>
    <w:p>
      <w:pPr>
        <w:pStyle w:val="BodyText"/>
        <w:bidi w:val="0"/>
        <w:spacing w:before="0" w:after="0"/>
        <w:ind w:hanging="0" w:start="709"/>
        <w:jc w:val="start"/>
        <w:rPr>
          <w:sz w:val="20"/>
          <w:szCs w:val="20"/>
          <w:highlight w:val="none"/>
          <w:shd w:fill="FFFF00" w:val="clear"/>
        </w:rPr>
      </w:pPr>
      <w:r>
        <w:rPr>
          <w:sz w:val="20"/>
          <w:szCs w:val="20"/>
          <w:shd w:fill="FFFF00" w:val="clear"/>
        </w:rPr>
        <w:t>privilege—granting users only the privileges necessary for performing their authorized tasks. Hosts</w:t>
      </w:r>
    </w:p>
    <w:p>
      <w:pPr>
        <w:pStyle w:val="BodyText"/>
        <w:bidi w:val="0"/>
        <w:spacing w:before="0" w:after="0"/>
        <w:ind w:hanging="0" w:start="709"/>
        <w:jc w:val="start"/>
        <w:rPr>
          <w:sz w:val="20"/>
          <w:szCs w:val="20"/>
          <w:highlight w:val="none"/>
          <w:shd w:fill="FFFF00" w:val="clear"/>
        </w:rPr>
      </w:pPr>
      <w:r>
        <w:rPr>
          <w:sz w:val="20"/>
          <w:szCs w:val="20"/>
          <w:shd w:fill="FFFF00" w:val="clear"/>
        </w:rPr>
        <w:t>should have auditing enabled and should log significant security-related events. The security of hosts</w:t>
      </w:r>
    </w:p>
    <w:p>
      <w:pPr>
        <w:pStyle w:val="BodyText"/>
        <w:bidi w:val="0"/>
        <w:spacing w:before="0" w:after="0"/>
        <w:ind w:hanging="0" w:start="709"/>
        <w:jc w:val="start"/>
        <w:rPr>
          <w:sz w:val="20"/>
          <w:szCs w:val="20"/>
          <w:highlight w:val="none"/>
          <w:shd w:fill="FFFF00" w:val="clear"/>
        </w:rPr>
      </w:pPr>
      <w:r>
        <w:rPr>
          <w:sz w:val="20"/>
          <w:szCs w:val="20"/>
          <w:shd w:fill="FFFF00" w:val="clear"/>
        </w:rPr>
        <w:t>and their configurations should be continuously monitored. Many organizations use Security</w:t>
      </w:r>
    </w:p>
    <w:p>
      <w:pPr>
        <w:pStyle w:val="BodyText"/>
        <w:bidi w:val="0"/>
        <w:spacing w:before="0" w:after="0"/>
        <w:ind w:hanging="0" w:start="709"/>
        <w:jc w:val="start"/>
        <w:rPr>
          <w:sz w:val="20"/>
          <w:szCs w:val="20"/>
          <w:highlight w:val="none"/>
          <w:shd w:fill="FFFF00" w:val="clear"/>
        </w:rPr>
      </w:pPr>
      <w:r>
        <w:rPr>
          <w:sz w:val="20"/>
          <w:szCs w:val="20"/>
          <w:shd w:fill="FFFF00" w:val="clear"/>
        </w:rPr>
        <w:t>Content Automation Protocol (SCAP) expressed operating system and application configuration</w:t>
      </w:r>
    </w:p>
    <w:p>
      <w:pPr>
        <w:pStyle w:val="BodyText"/>
        <w:bidi w:val="0"/>
        <w:spacing w:before="0" w:after="0"/>
        <w:ind w:hanging="0" w:start="709"/>
        <w:jc w:val="start"/>
        <w:rPr>
          <w:sz w:val="20"/>
          <w:szCs w:val="20"/>
          <w:highlight w:val="none"/>
          <w:shd w:fill="FFFF00" w:val="clear"/>
        </w:rPr>
      </w:pPr>
      <w:r>
        <w:rPr>
          <w:sz w:val="20"/>
          <w:szCs w:val="20"/>
          <w:shd w:fill="FFFF00" w:val="clear"/>
        </w:rPr>
        <w:t>checklists to assist in securing hosts consistently and effectively.</w:t>
      </w:r>
    </w:p>
    <w:p>
      <w:pPr>
        <w:pStyle w:val="BodyText"/>
        <w:bidi w:val="0"/>
        <w:spacing w:before="0" w:after="0"/>
        <w:ind w:hanging="0" w:start="709"/>
        <w:jc w:val="start"/>
        <w:rPr>
          <w:sz w:val="20"/>
          <w:szCs w:val="20"/>
          <w:highlight w:val="none"/>
          <w:shd w:fill="FFFF00" w:val="clear"/>
        </w:rPr>
      </w:pPr>
      <w:r>
        <w:rPr>
          <w:sz w:val="20"/>
          <w:szCs w:val="20"/>
          <w:shd w:fill="FFFF00" w:val="clear"/>
        </w:rPr>
        <w:t xml:space="preserve"> </w:t>
      </w:r>
      <w:r>
        <w:rPr>
          <w:b/>
          <w:bCs/>
          <w:sz w:val="20"/>
          <w:szCs w:val="20"/>
          <w:shd w:fill="FFFF00" w:val="clear"/>
        </w:rPr>
        <w:t>* Network Security.</w:t>
      </w:r>
      <w:r>
        <w:rPr>
          <w:sz w:val="20"/>
          <w:szCs w:val="20"/>
          <w:shd w:fill="FFFF00" w:val="clear"/>
        </w:rPr>
        <w:t xml:space="preserve"> The network perimeter should be configured to deny all activity that is not</w:t>
      </w:r>
    </w:p>
    <w:p>
      <w:pPr>
        <w:pStyle w:val="BodyText"/>
        <w:bidi w:val="0"/>
        <w:spacing w:before="0" w:after="0"/>
        <w:ind w:hanging="0" w:start="709"/>
        <w:jc w:val="start"/>
        <w:rPr>
          <w:sz w:val="20"/>
          <w:szCs w:val="20"/>
          <w:highlight w:val="none"/>
          <w:shd w:fill="FFFF00" w:val="clear"/>
        </w:rPr>
      </w:pPr>
      <w:r>
        <w:rPr>
          <w:sz w:val="20"/>
          <w:szCs w:val="20"/>
          <w:shd w:fill="FFFF00" w:val="clear"/>
        </w:rPr>
        <w:t>expressly permitted. This includes securing all connection points, such as virtual private networks</w:t>
      </w:r>
    </w:p>
    <w:p>
      <w:pPr>
        <w:pStyle w:val="BodyText"/>
        <w:bidi w:val="0"/>
        <w:spacing w:before="0" w:after="0"/>
        <w:ind w:hanging="0" w:start="709"/>
        <w:jc w:val="start"/>
        <w:rPr>
          <w:sz w:val="20"/>
          <w:szCs w:val="20"/>
          <w:highlight w:val="none"/>
          <w:shd w:fill="FFFF00" w:val="clear"/>
        </w:rPr>
      </w:pPr>
      <w:r>
        <w:rPr>
          <w:sz w:val="20"/>
          <w:szCs w:val="20"/>
          <w:shd w:fill="FFFF00" w:val="clear"/>
        </w:rPr>
        <w:t>(VPNs) and dedicated connections to other organizations.</w:t>
      </w:r>
    </w:p>
    <w:p>
      <w:pPr>
        <w:pStyle w:val="BodyText"/>
        <w:bidi w:val="0"/>
        <w:spacing w:before="0" w:after="0"/>
        <w:ind w:hanging="0" w:start="709"/>
        <w:jc w:val="start"/>
        <w:rPr>
          <w:sz w:val="20"/>
          <w:szCs w:val="20"/>
          <w:highlight w:val="none"/>
          <w:shd w:fill="FFFF00" w:val="clear"/>
        </w:rPr>
      </w:pPr>
      <w:r>
        <w:rPr>
          <w:sz w:val="20"/>
          <w:szCs w:val="20"/>
          <w:shd w:fill="FFFF00" w:val="clear"/>
        </w:rPr>
        <w:t xml:space="preserve"> </w:t>
      </w:r>
      <w:r>
        <w:rPr>
          <w:b/>
          <w:bCs/>
          <w:sz w:val="20"/>
          <w:szCs w:val="20"/>
          <w:shd w:fill="FFFF00" w:val="clear"/>
        </w:rPr>
        <w:t>* Malware Prevention.</w:t>
      </w:r>
      <w:r>
        <w:rPr>
          <w:sz w:val="20"/>
          <w:szCs w:val="20"/>
          <w:shd w:fill="FFFF00" w:val="clear"/>
        </w:rPr>
        <w:t xml:space="preserve"> Software to detect and stop malware should be deployed throughout the</w:t>
      </w:r>
    </w:p>
    <w:p>
      <w:pPr>
        <w:pStyle w:val="BodyText"/>
        <w:bidi w:val="0"/>
        <w:spacing w:before="0" w:after="0"/>
        <w:ind w:hanging="0" w:start="709"/>
        <w:jc w:val="start"/>
        <w:rPr>
          <w:sz w:val="20"/>
          <w:szCs w:val="20"/>
          <w:highlight w:val="none"/>
          <w:shd w:fill="FFFF00" w:val="clear"/>
        </w:rPr>
      </w:pPr>
      <w:r>
        <w:rPr>
          <w:sz w:val="20"/>
          <w:szCs w:val="20"/>
          <w:shd w:fill="FFFF00" w:val="clear"/>
        </w:rPr>
        <w:t>organization. Malware protection should be deployed at the host level (e.g., server and workstation</w:t>
      </w:r>
    </w:p>
    <w:p>
      <w:pPr>
        <w:pStyle w:val="BodyText"/>
        <w:bidi w:val="0"/>
        <w:spacing w:before="0" w:after="0"/>
        <w:ind w:hanging="0" w:start="709"/>
        <w:jc w:val="start"/>
        <w:rPr>
          <w:sz w:val="20"/>
          <w:szCs w:val="20"/>
          <w:highlight w:val="none"/>
          <w:shd w:fill="FFFF00" w:val="clear"/>
        </w:rPr>
      </w:pPr>
      <w:r>
        <w:rPr>
          <w:sz w:val="20"/>
          <w:szCs w:val="20"/>
          <w:shd w:fill="FFFF00" w:val="clear"/>
        </w:rPr>
        <w:t>operating systems), the application server level (e.g., email server, web proxies), and the application</w:t>
      </w:r>
    </w:p>
    <w:p>
      <w:pPr>
        <w:pStyle w:val="BodyText"/>
        <w:bidi w:val="0"/>
        <w:spacing w:before="0" w:after="0"/>
        <w:ind w:hanging="0" w:start="709"/>
        <w:jc w:val="start"/>
        <w:rPr>
          <w:sz w:val="20"/>
          <w:szCs w:val="20"/>
          <w:highlight w:val="none"/>
          <w:shd w:fill="FFFF00" w:val="clear"/>
        </w:rPr>
      </w:pPr>
      <w:r>
        <w:rPr>
          <w:sz w:val="20"/>
          <w:szCs w:val="20"/>
          <w:shd w:fill="FFFF00" w:val="clear"/>
        </w:rPr>
        <w:t>client level (e.g., email clients, instant messaging clients).</w:t>
      </w:r>
    </w:p>
    <w:p>
      <w:pPr>
        <w:pStyle w:val="BodyText"/>
        <w:bidi w:val="0"/>
        <w:spacing w:before="0" w:after="0"/>
        <w:ind w:hanging="0" w:start="709"/>
        <w:jc w:val="start"/>
        <w:rPr>
          <w:sz w:val="20"/>
          <w:szCs w:val="20"/>
          <w:highlight w:val="none"/>
          <w:shd w:fill="FFFF00" w:val="clear"/>
        </w:rPr>
      </w:pPr>
      <w:r>
        <w:rPr>
          <w:sz w:val="20"/>
          <w:szCs w:val="20"/>
          <w:shd w:fill="FFFF00" w:val="clear"/>
        </w:rPr>
        <w:t xml:space="preserve"> </w:t>
      </w:r>
      <w:r>
        <w:rPr>
          <w:b/>
          <w:bCs/>
          <w:sz w:val="20"/>
          <w:szCs w:val="20"/>
          <w:shd w:fill="FFFF00" w:val="clear"/>
        </w:rPr>
        <w:t>* User Awareness and Training.</w:t>
      </w:r>
      <w:r>
        <w:rPr>
          <w:sz w:val="20"/>
          <w:szCs w:val="20"/>
          <w:shd w:fill="FFFF00" w:val="clear"/>
        </w:rPr>
        <w:t xml:space="preserve"> Users should be made aware of policies and procedures regarding</w:t>
      </w:r>
    </w:p>
    <w:p>
      <w:pPr>
        <w:pStyle w:val="BodyText"/>
        <w:bidi w:val="0"/>
        <w:spacing w:before="0" w:after="0"/>
        <w:ind w:hanging="0" w:start="709"/>
        <w:jc w:val="start"/>
        <w:rPr>
          <w:sz w:val="20"/>
          <w:szCs w:val="20"/>
          <w:highlight w:val="none"/>
          <w:shd w:fill="FFFF00" w:val="clear"/>
        </w:rPr>
      </w:pPr>
      <w:r>
        <w:rPr>
          <w:sz w:val="20"/>
          <w:szCs w:val="20"/>
          <w:shd w:fill="FFFF00" w:val="clear"/>
        </w:rPr>
        <w:t>appropriate use of networks, systems, and applications. Applicable lessons learned from previous</w:t>
      </w:r>
    </w:p>
    <w:p>
      <w:pPr>
        <w:pStyle w:val="BodyText"/>
        <w:bidi w:val="0"/>
        <w:spacing w:before="0" w:after="0"/>
        <w:ind w:hanging="0" w:start="709"/>
        <w:jc w:val="start"/>
        <w:rPr>
          <w:sz w:val="20"/>
          <w:szCs w:val="20"/>
          <w:highlight w:val="none"/>
          <w:shd w:fill="FFFF00" w:val="clear"/>
        </w:rPr>
      </w:pPr>
      <w:r>
        <w:rPr>
          <w:sz w:val="20"/>
          <w:szCs w:val="20"/>
          <w:shd w:fill="FFFF00" w:val="clear"/>
        </w:rPr>
        <w:t>incidents should also be shared with users so they can see how their actions could affect the</w:t>
      </w:r>
    </w:p>
    <w:p>
      <w:pPr>
        <w:pStyle w:val="BodyText"/>
        <w:bidi w:val="0"/>
        <w:spacing w:before="0" w:after="0"/>
        <w:ind w:hanging="0" w:start="709"/>
        <w:jc w:val="start"/>
        <w:rPr>
          <w:sz w:val="20"/>
          <w:szCs w:val="20"/>
          <w:highlight w:val="none"/>
          <w:shd w:fill="FFFF00" w:val="clear"/>
        </w:rPr>
      </w:pPr>
      <w:r>
        <w:rPr>
          <w:sz w:val="20"/>
          <w:szCs w:val="20"/>
          <w:shd w:fill="FFFF00" w:val="clear"/>
        </w:rPr>
        <w:t>organization. Improving user awareness regarding incidents should reduce the frequency of incidents.</w:t>
      </w:r>
    </w:p>
    <w:p>
      <w:pPr>
        <w:pStyle w:val="BodyText"/>
        <w:bidi w:val="0"/>
        <w:spacing w:before="0" w:after="0"/>
        <w:ind w:hanging="0" w:start="709"/>
        <w:jc w:val="start"/>
        <w:rPr>
          <w:sz w:val="20"/>
          <w:szCs w:val="20"/>
          <w:highlight w:val="none"/>
          <w:shd w:fill="FFFF00" w:val="clear"/>
        </w:rPr>
      </w:pPr>
      <w:r>
        <w:rPr>
          <w:sz w:val="20"/>
          <w:szCs w:val="20"/>
          <w:shd w:fill="FFFF00" w:val="clear"/>
        </w:rPr>
        <w:t>IT staff should be trained so that they can maintain their networks, systems, and applications in</w:t>
      </w:r>
    </w:p>
    <w:p>
      <w:pPr>
        <w:pStyle w:val="BodyText"/>
        <w:bidi w:val="0"/>
        <w:spacing w:before="0" w:after="0"/>
        <w:ind w:hanging="0" w:start="709"/>
        <w:jc w:val="start"/>
        <w:rPr>
          <w:sz w:val="20"/>
          <w:szCs w:val="20"/>
          <w:highlight w:val="none"/>
          <w:shd w:fill="FFFF00" w:val="clear"/>
        </w:rPr>
      </w:pPr>
      <w:r>
        <w:rPr>
          <w:sz w:val="20"/>
          <w:szCs w:val="20"/>
          <w:shd w:fill="FFFF00" w:val="clear"/>
        </w:rPr>
        <w:t>accordance with the organization’s security standards.</w:t>
      </w:r>
    </w:p>
    <w:p>
      <w:pPr>
        <w:pStyle w:val="BodyText"/>
        <w:bidi w:val="0"/>
        <w:jc w:val="start"/>
        <w:rPr/>
      </w:pPr>
      <w:r>
        <w:rPr/>
      </w:r>
    </w:p>
    <w:p>
      <w:pPr>
        <w:pStyle w:val="BodyText"/>
        <w:bidi w:val="0"/>
        <w:jc w:val="start"/>
        <w:rPr/>
      </w:pPr>
      <w:r>
        <w:rPr/>
        <w:t xml:space="preserve">2. Which area(s) of the </w:t>
      </w:r>
      <w:hyperlink r:id="rId17" w:tgtFrame="_blank">
        <w:r>
          <w:rPr>
            <w:rStyle w:val="Hyperlink"/>
          </w:rPr>
          <w:t>NIST Cybersecurity Framework</w:t>
        </w:r>
      </w:hyperlink>
      <w:r>
        <w:rPr/>
        <w:t xml:space="preserve"> (CSF) do you think needs to be reinforced and why?</w:t>
        <w:br/>
      </w:r>
      <w:r>
        <w:rPr>
          <w:sz w:val="20"/>
          <w:szCs w:val="20"/>
          <w:shd w:fill="FFFF00" w:val="clear"/>
        </w:rPr>
        <w:t xml:space="preserve">I think Identify, Detect, Protect and Respond… maybe needing improvement for the hospital in the scenario.  It wasn’t until critical services went down and the discovery of a RANSOM note was found that the details of their infection, data breach was determined.  There was little in place for Detecting the conditions that a malware had infected their systems, and almost no warning.  Their response was reactionary to the event of downed services, and malware </w:t>
      </w:r>
      <w:r>
        <w:rPr>
          <w:sz w:val="20"/>
          <w:szCs w:val="20"/>
          <w:shd w:fill="FFFF00" w:val="clear"/>
        </w:rPr>
        <w:t>already ex-filtrated their data, besides the Network Intrusion alerts, no mention of Local device security firewalls, or virus protection was given.  The CSF recommended security implementation would be more PRO-Active or make aware of changes in the environment to get an early indication of compromise, setting into motion defense strategies, and isolation of infected devices.  For this reason, Identify, Detect, Protect,and Respond should be reviewed, applied, tested and practiced and applied to fortify the environment, there after reiterated to further improve the security stance.</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hhs.gov/hipaa/for-professionals/breach-notification/index.html" TargetMode="External"/><Relationship Id="rId3" Type="http://schemas.openxmlformats.org/officeDocument/2006/relationships/hyperlink" Target="http://business.ftc.gov/privacy-and-security/health-privacy/health-breach-notification-rule" TargetMode="External"/><Relationship Id="rId4" Type="http://schemas.openxmlformats.org/officeDocument/2006/relationships/hyperlink" Target="https://home.treasury.gov/system/files/126/ofac_ransomware_advisory_10012020_1.pdf" TargetMode="External"/><Relationship Id="rId5" Type="http://schemas.openxmlformats.org/officeDocument/2006/relationships/hyperlink" Target="https://csrc.nist.gov/publications/detail/sp/800-34/rev-1/final" TargetMode="External"/><Relationship Id="rId6" Type="http://schemas.openxmlformats.org/officeDocument/2006/relationships/hyperlink" Target="https://dcidt.louisville.edu/programs/cybersecurity/capstone/CapstoneRyukReport.pdf" TargetMode="External"/><Relationship Id="rId7" Type="http://schemas.openxmlformats.org/officeDocument/2006/relationships/hyperlink" Target="https://www.hhs.gov/sites/default/files/RansomwareFactSheet.pdf" TargetMode="External"/><Relationship Id="rId8" Type="http://schemas.openxmlformats.org/officeDocument/2006/relationships/hyperlink" Target="https://www.bakerlaw.com/BreachNotificationLawMap" TargetMode="External"/><Relationship Id="rId9" Type="http://schemas.openxmlformats.org/officeDocument/2006/relationships/hyperlink" Target="https://apps.legislature.ky.gov/law/statutes/statute.aspx?id=43326" TargetMode="External"/><Relationship Id="rId10" Type="http://schemas.openxmlformats.org/officeDocument/2006/relationships/hyperlink" Target="https://malegislature.gov/Laws/GeneralLaws/PartI/TitleXV/Chapter93H/Section3" TargetMode="External"/><Relationship Id="rId11" Type="http://schemas.openxmlformats.org/officeDocument/2006/relationships/hyperlink" Target="http://codes.ohio.gov/orc/1349.19" TargetMode="External"/><Relationship Id="rId12" Type="http://schemas.openxmlformats.org/officeDocument/2006/relationships/hyperlink" Target="http://codes.ohio.gov/orc/1349.191" TargetMode="External"/><Relationship Id="rId13" Type="http://schemas.openxmlformats.org/officeDocument/2006/relationships/hyperlink" Target="https://codes.ohio.gov/ohio-revised-code/chapter-1354" TargetMode="External"/><Relationship Id="rId14" Type="http://schemas.openxmlformats.org/officeDocument/2006/relationships/hyperlink" Target="https://govt.westlaw.com/pac/Browse/Home/Pennsylvania/UnofficialPurdonsPennsylvaniaStatutes?guid=N9B3F41908C4F11DA86FC8D90DD1949D4&amp;originationContext=documenttoc&amp;transitionType=Default&amp;contextData=(sc.Default)" TargetMode="External"/><Relationship Id="rId15" Type="http://schemas.openxmlformats.org/officeDocument/2006/relationships/hyperlink" Target="https://govt.westlaw.com/pac/Browse/Home/Pennsylvania/UnofficialPurdonsPennsylvaniaStatutes?guid=N9B3F41908C4F11DA86FC8D90DD1949D4&amp;originationContext=documenttoc&amp;transitionType=Default&amp;contextData=(sc.Default)" TargetMode="External"/><Relationship Id="rId16" Type="http://schemas.openxmlformats.org/officeDocument/2006/relationships/hyperlink" Target="https://code.wvlegislature.gov/46A-2A-101/" TargetMode="External"/><Relationship Id="rId17" Type="http://schemas.openxmlformats.org/officeDocument/2006/relationships/hyperlink" Target="https://csrc.nist.gov/Projects/cybersecurityframework/nist-cybersecurityframework-a-quick-start-guide"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LibreOffice/24.2.7.2$Linux_X86_64 LibreOffice_project/420$Build-2</Application>
  <AppVersion>15.0000</AppVersion>
  <Pages>5</Pages>
  <Words>2428</Words>
  <Characters>13694</Characters>
  <CharactersWithSpaces>16092</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2025-10-16T07:21:31Z</dcterms:created>
  <dc:creator/>
  <dc:description/>
  <dc:language>en-US</dc:language>
  <cp:lastModifiedBy/>
  <dcterms:modified xsi:type="dcterms:W3CDTF">2025-10-16T10:59:09Z</dcterms:modified>
  <cp:revision>6</cp:revision>
  <dc:subject/>
  <dc:title/>
</cp:coreProperties>
</file>