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outcome-of-objectives-result-analysis"/>
    <w:p>
      <w:pPr>
        <w:pStyle w:val="Heading1"/>
      </w:pPr>
      <w:r>
        <w:t xml:space="preserve">Outcome of Objectives / Result Analysis</w:t>
      </w:r>
    </w:p>
    <w:p>
      <w:pPr>
        <w:pStyle w:val="FirstParagraph"/>
      </w:pPr>
      <w:r>
        <w:rPr>
          <w:bCs/>
          <w:b/>
        </w:rPr>
        <w:t xml:space="preserve">Project:</w:t>
      </w:r>
      <w:r>
        <w:t xml:space="preserve"> </w:t>
      </w:r>
      <w:r>
        <w:t xml:space="preserve">ML-Based Prediction of Ocean Temperature Anomalies for Early Climate Change Detection</w:t>
      </w:r>
    </w:p>
    <w:p>
      <w:pPr>
        <w:pStyle w:val="BodyText"/>
      </w:pPr>
      <w:r>
        <w:rPr>
          <w:bCs/>
          <w:b/>
        </w:rPr>
        <w:t xml:space="preserve">Batch:</w:t>
      </w:r>
      <w:r>
        <w:t xml:space="preserve"> </w:t>
      </w:r>
      <w:r>
        <w:t xml:space="preserve">B834 |</w:t>
      </w:r>
      <w:r>
        <w:t xml:space="preserve"> </w:t>
      </w:r>
      <w:r>
        <w:rPr>
          <w:bCs/>
          <w:b/>
        </w:rPr>
        <w:t xml:space="preserve">Team:</w:t>
      </w:r>
      <w:r>
        <w:t xml:space="preserve"> </w:t>
      </w:r>
      <w:r>
        <w:t xml:space="preserve">Aarya Sawant, Siddharth Ganesh |</w:t>
      </w:r>
      <w:r>
        <w:t xml:space="preserve"> </w:t>
      </w:r>
      <w:r>
        <w:rPr>
          <w:bCs/>
          <w:b/>
        </w:rPr>
        <w:t xml:space="preserve">Guide:</w:t>
      </w:r>
      <w:r>
        <w:t xml:space="preserve"> </w:t>
      </w:r>
      <w:r>
        <w:t xml:space="preserve">Dr. Divya Mohan</w:t>
      </w:r>
    </w:p>
    <w:p>
      <w:r>
        <w:pict>
          <v:rect style="width:0;height:1.5pt" o:hralign="center" o:hrstd="t" o:hr="t"/>
        </w:pict>
      </w:r>
    </w:p>
    <w:bookmarkStart w:id="20" w:name="objective-achievement-summary"/>
    <w:p>
      <w:pPr>
        <w:pStyle w:val="Heading2"/>
      </w:pPr>
      <w:r>
        <w:t xml:space="preserve">1. Objective Achievement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t xml:space="preserve">Build CNN (ResNet101) for spatial anomaly detection</w:t>
            </w:r>
          </w:p>
        </w:tc>
        <w:tc>
          <w:tcPr/>
          <w:p>
            <w:pPr>
              <w:pStyle w:val="Compact"/>
              <w:jc w:val="left"/>
            </w:pPr>
            <w:r>
              <w:t xml:space="preserve">MAE &lt; 0.15C</w:t>
            </w:r>
          </w:p>
        </w:tc>
        <w:tc>
          <w:tcPr/>
          <w:p>
            <w:pPr>
              <w:pStyle w:val="Compact"/>
              <w:jc w:val="left"/>
            </w:pPr>
            <w:r>
              <w:t xml:space="preserve">MAE = 0.1007C</w:t>
            </w:r>
          </w:p>
        </w:tc>
        <w:tc>
          <w:tcPr/>
          <w:p>
            <w:pPr>
              <w:pStyle w:val="Compact"/>
              <w:jc w:val="left"/>
            </w:pPr>
            <w:r>
              <w:t xml:space="preserve">Completed</w:t>
            </w:r>
          </w:p>
        </w:tc>
      </w:tr>
      <w:tr>
        <w:tc>
          <w:tcPr/>
          <w:p>
            <w:pPr>
              <w:pStyle w:val="Compact"/>
              <w:jc w:val="left"/>
            </w:pPr>
            <w:r>
              <w:t xml:space="preserve">Build RF on engineered features (not raw pixels)</w:t>
            </w:r>
          </w:p>
        </w:tc>
        <w:tc>
          <w:tcPr/>
          <w:p>
            <w:pPr>
              <w:pStyle w:val="Compact"/>
              <w:jc w:val="left"/>
            </w:pPr>
            <w:r>
              <w:t xml:space="preserve">MAE &lt; 0.15C</w:t>
            </w:r>
          </w:p>
        </w:tc>
        <w:tc>
          <w:tcPr/>
          <w:p>
            <w:pPr>
              <w:pStyle w:val="Compact"/>
              <w:jc w:val="left"/>
            </w:pPr>
            <w:r>
              <w:t xml:space="preserve">MAE = 0.1279C</w:t>
            </w:r>
          </w:p>
        </w:tc>
        <w:tc>
          <w:tcPr/>
          <w:p>
            <w:pPr>
              <w:pStyle w:val="Compact"/>
              <w:jc w:val="left"/>
            </w:pPr>
            <w:r>
              <w:t xml:space="preserve">Completed</w:t>
            </w:r>
          </w:p>
        </w:tc>
      </w:tr>
      <w:tr>
        <w:tc>
          <w:tcPr/>
          <w:p>
            <w:pPr>
              <w:pStyle w:val="Compact"/>
              <w:jc w:val="left"/>
            </w:pPr>
            <w:r>
              <w:t xml:space="preserve">Build hybrid ensemble beating both models</w:t>
            </w:r>
          </w:p>
        </w:tc>
        <w:tc>
          <w:tcPr/>
          <w:p>
            <w:pPr>
              <w:pStyle w:val="Compact"/>
              <w:jc w:val="left"/>
            </w:pPr>
            <w:r>
              <w:t xml:space="preserve">MAE &lt; CNN and RF individually</w:t>
            </w:r>
          </w:p>
        </w:tc>
        <w:tc>
          <w:tcPr/>
          <w:p>
            <w:pPr>
              <w:pStyle w:val="Compact"/>
              <w:jc w:val="left"/>
            </w:pPr>
            <w:r>
              <w:t xml:space="preserve">MAE = 0.0700C</w:t>
            </w:r>
          </w:p>
        </w:tc>
        <w:tc>
          <w:tcPr/>
          <w:p>
            <w:pPr>
              <w:pStyle w:val="Compact"/>
              <w:jc w:val="left"/>
            </w:pPr>
            <w:r>
              <w:t xml:space="preserve">Completed</w:t>
            </w:r>
          </w:p>
        </w:tc>
      </w:tr>
      <w:tr>
        <w:tc>
          <w:tcPr/>
          <w:p>
            <w:pPr>
              <w:pStyle w:val="Compact"/>
              <w:jc w:val="left"/>
            </w:pPr>
            <w:r>
              <w:t xml:space="preserve">Demonstrate model complementarity</w:t>
            </w:r>
          </w:p>
        </w:tc>
        <w:tc>
          <w:tcPr/>
          <w:p>
            <w:pPr>
              <w:pStyle w:val="Compact"/>
              <w:jc w:val="left"/>
            </w:pPr>
            <w:r>
              <w:t xml:space="preserve">CNN and RF have different error profiles</w:t>
            </w:r>
          </w:p>
        </w:tc>
        <w:tc>
          <w:tcPr/>
          <w:p>
            <w:pPr>
              <w:pStyle w:val="Compact"/>
              <w:jc w:val="left"/>
            </w:pPr>
            <w:r>
              <w:t xml:space="preserve">CNN Spike MAE 0.2089 vs RF 0.0589</w:t>
            </w:r>
          </w:p>
        </w:tc>
        <w:tc>
          <w:tcPr/>
          <w:p>
            <w:pPr>
              <w:pStyle w:val="Compact"/>
              <w:jc w:val="left"/>
            </w:pPr>
            <w:r>
              <w:t xml:space="preserve">Proven</w:t>
            </w:r>
          </w:p>
        </w:tc>
      </w:tr>
      <w:tr>
        <w:tc>
          <w:tcPr/>
          <w:p>
            <w:pPr>
              <w:pStyle w:val="Compact"/>
              <w:jc w:val="left"/>
            </w:pPr>
            <w:r>
              <w:t xml:space="preserve">Cost-sensitive oversampling for rare events</w:t>
            </w:r>
          </w:p>
        </w:tc>
        <w:tc>
          <w:tcPr/>
          <w:p>
            <w:pPr>
              <w:pStyle w:val="Compact"/>
              <w:jc w:val="left"/>
            </w:pPr>
            <w:r>
              <w:t xml:space="preserve">Augment top 10% extremes</w:t>
            </w:r>
          </w:p>
        </w:tc>
        <w:tc>
          <w:tcPr/>
          <w:p>
            <w:pPr>
              <w:pStyle w:val="Compact"/>
              <w:jc w:val="left"/>
            </w:pPr>
            <w:r>
              <w:t xml:space="preserve">3x oversampling with noise</w:t>
            </w:r>
          </w:p>
        </w:tc>
        <w:tc>
          <w:tcPr/>
          <w:p>
            <w:pPr>
              <w:pStyle w:val="Compact"/>
              <w:jc w:val="left"/>
            </w:pPr>
            <w:r>
              <w:t xml:space="preserve">Completed</w:t>
            </w:r>
          </w:p>
        </w:tc>
      </w:tr>
      <w:tr>
        <w:tc>
          <w:tcPr/>
          <w:p>
            <w:pPr>
              <w:pStyle w:val="Compact"/>
              <w:jc w:val="left"/>
            </w:pPr>
            <w:r>
              <w:t xml:space="preserve">MLP baseline to justify CNN</w:t>
            </w:r>
          </w:p>
        </w:tc>
        <w:tc>
          <w:tcPr/>
          <w:p>
            <w:pPr>
              <w:pStyle w:val="Compact"/>
              <w:jc w:val="left"/>
            </w:pPr>
            <w:r>
              <w:t xml:space="preserve">CNN significantly better than MLP</w:t>
            </w:r>
          </w:p>
        </w:tc>
        <w:tc>
          <w:tcPr/>
          <w:p>
            <w:pPr>
              <w:pStyle w:val="Compact"/>
              <w:jc w:val="left"/>
            </w:pPr>
            <w:r>
              <w:t xml:space="preserve">MLP MAE 2.587 vs CNN 0.1007</w:t>
            </w:r>
          </w:p>
        </w:tc>
        <w:tc>
          <w:tcPr/>
          <w:p>
            <w:pPr>
              <w:pStyle w:val="Compact"/>
              <w:jc w:val="left"/>
            </w:pPr>
            <w:r>
              <w:t xml:space="preserve">Proven</w:t>
            </w:r>
          </w:p>
        </w:tc>
      </w:tr>
      <w:tr>
        <w:tc>
          <w:tcPr/>
          <w:p>
            <w:pPr>
              <w:pStyle w:val="Compact"/>
              <w:jc w:val="left"/>
            </w:pPr>
            <w:r>
              <w:t xml:space="preserve">Comprehensive multi-metric evaluation</w:t>
            </w:r>
          </w:p>
        </w:tc>
        <w:tc>
          <w:tcPr/>
          <w:p>
            <w:pPr>
              <w:pStyle w:val="Compact"/>
              <w:jc w:val="left"/>
            </w:pPr>
            <w:r>
              <w:t xml:space="preserve">MAE, RMSE, F1, Accuracy, Spike MAE</w:t>
            </w:r>
          </w:p>
        </w:tc>
        <w:tc>
          <w:tcPr/>
          <w:p>
            <w:pPr>
              <w:pStyle w:val="Compact"/>
              <w:jc w:val="left"/>
            </w:pPr>
            <w:r>
              <w:t xml:space="preserve">All metrics computed</w:t>
            </w:r>
          </w:p>
        </w:tc>
        <w:tc>
          <w:tcPr/>
          <w:p>
            <w:pPr>
              <w:pStyle w:val="Compact"/>
              <w:jc w:val="left"/>
            </w:pPr>
            <w:r>
              <w:t xml:space="preserve">Completed</w:t>
            </w:r>
          </w:p>
        </w:tc>
      </w:tr>
      <w:tr>
        <w:tc>
          <w:tcPr/>
          <w:p>
            <w:pPr>
              <w:pStyle w:val="Compact"/>
              <w:jc w:val="left"/>
            </w:pPr>
            <w:r>
              <w:t xml:space="preserve">Publication-grade visualizations</w:t>
            </w:r>
          </w:p>
        </w:tc>
        <w:tc>
          <w:tcPr/>
          <w:p>
            <w:pPr>
              <w:pStyle w:val="Compact"/>
              <w:jc w:val="left"/>
            </w:pPr>
            <w:r>
              <w:t xml:space="preserve">At least 5 figures</w:t>
            </w:r>
          </w:p>
        </w:tc>
        <w:tc>
          <w:tcPr/>
          <w:p>
            <w:pPr>
              <w:pStyle w:val="Compact"/>
              <w:jc w:val="left"/>
            </w:pPr>
            <w:r>
              <w:t xml:space="preserve">8 figures generated</w:t>
            </w:r>
          </w:p>
        </w:tc>
        <w:tc>
          <w:tcPr/>
          <w:p>
            <w:pPr>
              <w:pStyle w:val="Compact"/>
              <w:jc w:val="left"/>
            </w:pPr>
            <w:r>
              <w:t xml:space="preserve">Completed</w:t>
            </w:r>
          </w:p>
        </w:tc>
      </w:tr>
      <w:tr>
        <w:tc>
          <w:tcPr/>
          <w:p>
            <w:pPr>
              <w:pStyle w:val="Compact"/>
              <w:jc w:val="left"/>
            </w:pPr>
            <w:r>
              <w:t xml:space="preserve">Research paper draft</w:t>
            </w:r>
          </w:p>
        </w:tc>
        <w:tc>
          <w:tcPr/>
          <w:p>
            <w:pPr>
              <w:pStyle w:val="Compact"/>
              <w:jc w:val="left"/>
            </w:pPr>
            <w:r>
              <w:t xml:space="preserve">IEEE format, full methodology</w:t>
            </w:r>
          </w:p>
        </w:tc>
        <w:tc>
          <w:tcPr/>
          <w:p>
            <w:pPr>
              <w:pStyle w:val="Compact"/>
              <w:jc w:val="left"/>
            </w:pPr>
            <w:r>
              <w:t xml:space="preserve">Complete draft submitted</w:t>
            </w:r>
          </w:p>
        </w:tc>
        <w:tc>
          <w:tcPr/>
          <w:p>
            <w:pPr>
              <w:pStyle w:val="Compact"/>
              <w:jc w:val="left"/>
            </w:pPr>
            <w:r>
              <w:t xml:space="preserve">Completed</w:t>
            </w:r>
          </w:p>
        </w:tc>
      </w:tr>
    </w:tbl>
    <w:bookmarkEnd w:id="20"/>
    <w:bookmarkStart w:id="23" w:name="final-model-performance"/>
    <w:p>
      <w:pPr>
        <w:pStyle w:val="Heading2"/>
      </w:pPr>
      <w:r>
        <w:t xml:space="preserve">2. Final Model Performance</w:t>
      </w:r>
    </w:p>
    <w:bookmarkStart w:id="21" w:name="table-1-overall-model-comparison"/>
    <w:p>
      <w:pPr>
        <w:pStyle w:val="Heading3"/>
      </w:pPr>
      <w:r>
        <w:t xml:space="preserve">Table 1: Overall Model Comparison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MAE (C)</w:t>
            </w:r>
          </w:p>
        </w:tc>
        <w:tc>
          <w:tcPr/>
          <w:p>
            <w:pPr>
              <w:pStyle w:val="Compact"/>
              <w:jc w:val="left"/>
            </w:pPr>
            <w:r>
              <w:t xml:space="preserve">RMSE (C)</w:t>
            </w:r>
          </w:p>
        </w:tc>
        <w:tc>
          <w:tcPr/>
          <w:p>
            <w:pPr>
              <w:pStyle w:val="Compact"/>
              <w:jc w:val="left"/>
            </w:pPr>
            <w:r>
              <w:t xml:space="preserve">Spike MAE (C)</w:t>
            </w:r>
          </w:p>
        </w:tc>
        <w:tc>
          <w:tcPr/>
          <w:p>
            <w:pPr>
              <w:pStyle w:val="Compact"/>
              <w:jc w:val="left"/>
            </w:pPr>
            <w:r>
              <w:t xml:space="preserve">Accuracy (%)</w:t>
            </w:r>
          </w:p>
        </w:tc>
        <w:tc>
          <w:tcPr/>
          <w:p>
            <w:pPr>
              <w:pStyle w:val="Compact"/>
              <w:jc w:val="left"/>
            </w:pPr>
            <w:r>
              <w:t xml:space="preserve">Recall (%)</w:t>
            </w:r>
          </w:p>
        </w:tc>
        <w:tc>
          <w:tcPr/>
          <w:p>
            <w:pPr>
              <w:pStyle w:val="Compact"/>
              <w:jc w:val="left"/>
            </w:pPr>
            <w:r>
              <w:t xml:space="preserve">F1-Score (%)</w:t>
            </w:r>
          </w:p>
        </w:tc>
      </w:tr>
      <w:tr>
        <w:tc>
          <w:tcPr/>
          <w:p>
            <w:pPr>
              <w:pStyle w:val="Compact"/>
              <w:jc w:val="left"/>
            </w:pPr>
            <w:r>
              <w:t xml:space="preserve">CNN (ResNet101)</w:t>
            </w:r>
          </w:p>
        </w:tc>
        <w:tc>
          <w:tcPr/>
          <w:p>
            <w:pPr>
              <w:pStyle w:val="Compact"/>
              <w:jc w:val="left"/>
            </w:pPr>
            <w:r>
              <w:t xml:space="preserve">0.1007</w:t>
            </w:r>
          </w:p>
        </w:tc>
        <w:tc>
          <w:tcPr/>
          <w:p>
            <w:pPr>
              <w:pStyle w:val="Compact"/>
              <w:jc w:val="left"/>
            </w:pPr>
            <w:r>
              <w:t xml:space="preserve">0.1152</w:t>
            </w:r>
          </w:p>
        </w:tc>
        <w:tc>
          <w:tcPr/>
          <w:p>
            <w:pPr>
              <w:pStyle w:val="Compact"/>
              <w:jc w:val="left"/>
            </w:pPr>
            <w:r>
              <w:t xml:space="preserve">0.2089</w:t>
            </w:r>
          </w:p>
        </w:tc>
        <w:tc>
          <w:tcPr/>
          <w:p>
            <w:pPr>
              <w:pStyle w:val="Compact"/>
              <w:jc w:val="left"/>
            </w:pPr>
            <w:r>
              <w:t xml:space="preserve">58.40</w:t>
            </w:r>
          </w:p>
        </w:tc>
        <w:tc>
          <w:tcPr/>
          <w:p>
            <w:pPr>
              <w:pStyle w:val="Compact"/>
              <w:jc w:val="left"/>
            </w:pPr>
            <w:r>
              <w:t xml:space="preserve">100.0</w:t>
            </w:r>
          </w:p>
        </w:tc>
        <w:tc>
          <w:tcPr/>
          <w:p>
            <w:pPr>
              <w:pStyle w:val="Compact"/>
              <w:jc w:val="left"/>
            </w:pPr>
            <w:r>
              <w:t xml:space="preserve">54.79</w:t>
            </w:r>
          </w:p>
        </w:tc>
      </w:tr>
      <w:tr>
        <w:tc>
          <w:tcPr/>
          <w:p>
            <w:pPr>
              <w:pStyle w:val="Compact"/>
              <w:jc w:val="left"/>
            </w:pPr>
            <w:r>
              <w:t xml:space="preserve">Random Forest</w:t>
            </w:r>
          </w:p>
        </w:tc>
        <w:tc>
          <w:tcPr/>
          <w:p>
            <w:pPr>
              <w:pStyle w:val="Compact"/>
              <w:jc w:val="left"/>
            </w:pPr>
            <w:r>
              <w:t xml:space="preserve">0.1279</w:t>
            </w:r>
          </w:p>
        </w:tc>
        <w:tc>
          <w:tcPr/>
          <w:p>
            <w:pPr>
              <w:pStyle w:val="Compact"/>
              <w:jc w:val="left"/>
            </w:pPr>
            <w:r>
              <w:t xml:space="preserve">0.1623</w:t>
            </w:r>
          </w:p>
        </w:tc>
        <w:tc>
          <w:tcPr/>
          <w:p>
            <w:pPr>
              <w:pStyle w:val="Compact"/>
              <w:jc w:val="left"/>
            </w:pPr>
            <w:r>
              <w:t xml:space="preserve">0.0589</w:t>
            </w:r>
          </w:p>
        </w:tc>
        <w:tc>
          <w:tcPr/>
          <w:p>
            <w:pPr>
              <w:pStyle w:val="Compact"/>
              <w:jc w:val="left"/>
            </w:pPr>
            <w:r>
              <w:t xml:space="preserve">57.56</w:t>
            </w:r>
          </w:p>
        </w:tc>
        <w:tc>
          <w:tcPr/>
          <w:p>
            <w:pPr>
              <w:pStyle w:val="Compact"/>
              <w:jc w:val="left"/>
            </w:pPr>
            <w:r>
              <w:t xml:space="preserve">100.0</w:t>
            </w:r>
          </w:p>
        </w:tc>
        <w:tc>
          <w:tcPr/>
          <w:p>
            <w:pPr>
              <w:pStyle w:val="Compact"/>
              <w:jc w:val="left"/>
            </w:pPr>
            <w:r>
              <w:t xml:space="preserve">54.30</w:t>
            </w:r>
          </w:p>
        </w:tc>
      </w:tr>
      <w:tr>
        <w:tc>
          <w:tcPr/>
          <w:p>
            <w:pPr>
              <w:pStyle w:val="Compact"/>
              <w:jc w:val="left"/>
            </w:pPr>
            <w:r>
              <w:t xml:space="preserve">MLP Baseline</w:t>
            </w:r>
          </w:p>
        </w:tc>
        <w:tc>
          <w:tcPr/>
          <w:p>
            <w:pPr>
              <w:pStyle w:val="Compact"/>
              <w:jc w:val="left"/>
            </w:pPr>
            <w:r>
              <w:t xml:space="preserve">2.5874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Ensemble (61/39)</w:t>
            </w:r>
          </w:p>
        </w:tc>
        <w:tc>
          <w:tcPr/>
          <w:p>
            <w:pPr>
              <w:pStyle w:val="Compact"/>
              <w:jc w:val="left"/>
            </w:pPr>
            <w:r>
              <w:rPr>
                <w:bCs/>
                <w:b/>
              </w:rPr>
              <w:t xml:space="preserve">0.0700</w:t>
            </w:r>
          </w:p>
        </w:tc>
        <w:tc>
          <w:tcPr/>
          <w:p>
            <w:pPr>
              <w:pStyle w:val="Compact"/>
              <w:jc w:val="left"/>
            </w:pPr>
            <w:r>
              <w:rPr>
                <w:bCs/>
                <w:b/>
              </w:rPr>
              <w:t xml:space="preserve">0.0849</w:t>
            </w:r>
          </w:p>
        </w:tc>
        <w:tc>
          <w:tcPr/>
          <w:p>
            <w:pPr>
              <w:pStyle w:val="Compact"/>
              <w:jc w:val="left"/>
            </w:pPr>
            <w:r>
              <w:rPr>
                <w:bCs/>
                <w:b/>
              </w:rPr>
              <w:t xml:space="preserve">0.1114</w:t>
            </w:r>
          </w:p>
        </w:tc>
        <w:tc>
          <w:tcPr/>
          <w:p>
            <w:pPr>
              <w:pStyle w:val="Compact"/>
              <w:jc w:val="left"/>
            </w:pPr>
            <w:r>
              <w:rPr>
                <w:bCs/>
                <w:b/>
              </w:rPr>
              <w:t xml:space="preserve">70.59</w:t>
            </w:r>
          </w:p>
        </w:tc>
        <w:tc>
          <w:tcPr/>
          <w:p>
            <w:pPr>
              <w:pStyle w:val="Compact"/>
              <w:jc w:val="left"/>
            </w:pPr>
            <w:r>
              <w:rPr>
                <w:bCs/>
                <w:b/>
              </w:rPr>
              <w:t xml:space="preserve">28.33</w:t>
            </w:r>
          </w:p>
        </w:tc>
        <w:tc>
          <w:tcPr/>
          <w:p>
            <w:pPr>
              <w:pStyle w:val="Compact"/>
              <w:jc w:val="left"/>
            </w:pPr>
            <w:r>
              <w:rPr>
                <w:bCs/>
                <w:b/>
              </w:rPr>
              <w:t xml:space="preserve">32.69</w:t>
            </w:r>
          </w:p>
        </w:tc>
      </w:tr>
    </w:tbl>
    <w:bookmarkEnd w:id="21"/>
    <w:bookmarkStart w:id="22" w:name="table-2-improvement-analysis"/>
    <w:p>
      <w:pPr>
        <w:pStyle w:val="Heading3"/>
      </w:pPr>
      <w:r>
        <w:t xml:space="preserve">Table 2: Improvement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Comparison</w:t>
            </w:r>
          </w:p>
        </w:tc>
        <w:tc>
          <w:tcPr/>
          <w:p>
            <w:pPr>
              <w:pStyle w:val="Compact"/>
              <w:jc w:val="left"/>
            </w:pPr>
            <w:r>
              <w:t xml:space="preserve">Improvement</w:t>
            </w:r>
          </w:p>
        </w:tc>
      </w:tr>
      <w:tr>
        <w:tc>
          <w:tcPr/>
          <w:p>
            <w:pPr>
              <w:pStyle w:val="Compact"/>
              <w:jc w:val="left"/>
            </w:pPr>
            <w:r>
              <w:t xml:space="preserve">Ensemble vs CNN</w:t>
            </w:r>
          </w:p>
        </w:tc>
        <w:tc>
          <w:tcPr/>
          <w:p>
            <w:pPr>
              <w:pStyle w:val="Compact"/>
              <w:jc w:val="left"/>
            </w:pPr>
            <w:r>
              <w:t xml:space="preserve">30.45% lower MAE</w:t>
            </w:r>
          </w:p>
        </w:tc>
      </w:tr>
      <w:tr>
        <w:tc>
          <w:tcPr/>
          <w:p>
            <w:pPr>
              <w:pStyle w:val="Compact"/>
              <w:jc w:val="left"/>
            </w:pPr>
            <w:r>
              <w:t xml:space="preserve">Ensemble vs RF</w:t>
            </w:r>
          </w:p>
        </w:tc>
        <w:tc>
          <w:tcPr/>
          <w:p>
            <w:pPr>
              <w:pStyle w:val="Compact"/>
              <w:jc w:val="left"/>
            </w:pPr>
            <w:r>
              <w:t xml:space="preserve">45.24% lower MAE</w:t>
            </w:r>
          </w:p>
        </w:tc>
      </w:tr>
      <w:tr>
        <w:tc>
          <w:tcPr/>
          <w:p>
            <w:pPr>
              <w:pStyle w:val="Compact"/>
              <w:jc w:val="left"/>
            </w:pPr>
            <w:r>
              <w:t xml:space="preserve">CNN vs MLP</w:t>
            </w:r>
          </w:p>
        </w:tc>
        <w:tc>
          <w:tcPr/>
          <w:p>
            <w:pPr>
              <w:pStyle w:val="Compact"/>
              <w:jc w:val="left"/>
            </w:pPr>
            <w:r>
              <w:t xml:space="preserve">96.11% lower MAE (proves spatial convolutions essential)</w:t>
            </w:r>
          </w:p>
        </w:tc>
      </w:tr>
    </w:tbl>
    <w:bookmarkEnd w:id="22"/>
    <w:bookmarkEnd w:id="23"/>
    <w:bookmarkStart w:id="24" w:name="key-findings"/>
    <w:p>
      <w:pPr>
        <w:pStyle w:val="Heading2"/>
      </w:pPr>
      <w:r>
        <w:t xml:space="preserve">3. Key Findings</w:t>
      </w:r>
    </w:p>
    <w:p>
      <w:pPr>
        <w:numPr>
          <w:ilvl w:val="0"/>
          <w:numId w:val="1001"/>
        </w:numPr>
      </w:pPr>
      <w:r>
        <w:rPr>
          <w:bCs/>
          <w:b/>
        </w:rPr>
        <w:t xml:space="preserve">Model Complementarity Proven:</w:t>
      </w:r>
      <w:r>
        <w:t xml:space="preserve"> </w:t>
      </w:r>
      <w:r>
        <w:t xml:space="preserve">CNN excels at overall prediction but fails on extreme spikes (Spike MAE 0.2089). RF excels at spike detection (Spike MAE 0.0589) but has higher overall error. The ensemble combines both strengths.</w:t>
      </w:r>
    </w:p>
    <w:p>
      <w:pPr>
        <w:numPr>
          <w:ilvl w:val="0"/>
          <w:numId w:val="1001"/>
        </w:numPr>
      </w:pPr>
      <w:r>
        <w:rPr>
          <w:bCs/>
          <w:b/>
        </w:rPr>
        <w:t xml:space="preserve">Feature Engineering Critical for RF:</w:t>
      </w:r>
      <w:r>
        <w:t xml:space="preserve"> </w:t>
      </w:r>
      <w:r>
        <w:t xml:space="preserve">Replacing 63,784 raw pixels with 41 engineered features transformed RF from a failing model to a valuable ensemble component. Top features: t0_p95 (10.1%), t1_p95 (8.9%), t2_p95 (7.3%) – the 95th percentile directly captures extreme temperature tails.</w:t>
      </w:r>
    </w:p>
    <w:p>
      <w:pPr>
        <w:numPr>
          <w:ilvl w:val="0"/>
          <w:numId w:val="1001"/>
        </w:numPr>
      </w:pPr>
      <w:r>
        <w:rPr>
          <w:bCs/>
          <w:b/>
        </w:rPr>
        <w:t xml:space="preserve">MSE Loss Superior to Huber for Anomaly Detection:</w:t>
      </w:r>
      <w:r>
        <w:t xml:space="preserve"> </w:t>
      </w:r>
      <w:r>
        <w:t xml:space="preserve">Huber loss forgives large errors (by design). For anomaly detection, this is counterproductive. MSE squares errors, exponentially penalizing large misses and forcing the model to chase spikes.</w:t>
      </w:r>
    </w:p>
    <w:p>
      <w:pPr>
        <w:numPr>
          <w:ilvl w:val="0"/>
          <w:numId w:val="1001"/>
        </w:numPr>
      </w:pPr>
      <w:r>
        <w:rPr>
          <w:bCs/>
          <w:b/>
        </w:rPr>
        <w:t xml:space="preserve">Spatial Convolutions Essential:</w:t>
      </w:r>
      <w:r>
        <w:t xml:space="preserve"> </w:t>
      </w:r>
      <w:r>
        <w:t xml:space="preserve">MLP baseline on flattened grids achieved 2.587C MAE (37x worse than CNN), proving that 2D spatial understanding cannot be replaced by standard dense layers with backpropagation.</w:t>
      </w:r>
    </w:p>
    <w:p>
      <w:pPr>
        <w:numPr>
          <w:ilvl w:val="0"/>
          <w:numId w:val="1001"/>
        </w:numPr>
      </w:pPr>
      <w:r>
        <w:rPr>
          <w:bCs/>
          <w:b/>
        </w:rPr>
        <w:t xml:space="preserve">Simpler Ensemble Beats Complex Methods:</w:t>
      </w:r>
      <w:r>
        <w:t xml:space="preserve"> </w:t>
      </w:r>
      <w:r>
        <w:t xml:space="preserve">Weighted Average outperformed both Residual Correction and Stacking Meta-Learner, confirming that on small datasets (949 training samples), simple fusion methods generalize better.</w:t>
      </w:r>
    </w:p>
    <w:bookmarkEnd w:id="24"/>
    <w:bookmarkStart w:id="25" w:name="visualizations-generated"/>
    <w:p>
      <w:pPr>
        <w:pStyle w:val="Heading2"/>
      </w:pPr>
      <w:r>
        <w:t xml:space="preserve">4. Visualizations Generated</w:t>
      </w:r>
    </w:p>
    <w:p>
      <w:pPr>
        <w:numPr>
          <w:ilvl w:val="0"/>
          <w:numId w:val="1002"/>
        </w:numPr>
        <w:pStyle w:val="Compact"/>
      </w:pPr>
      <w:r>
        <w:t xml:space="preserve">4-panel ensemble performance comparison (time-series, MAE bars, scatter, error distribution)</w:t>
      </w:r>
    </w:p>
    <w:p>
      <w:pPr>
        <w:numPr>
          <w:ilvl w:val="0"/>
          <w:numId w:val="1002"/>
        </w:numPr>
        <w:pStyle w:val="Compact"/>
      </w:pPr>
      <w:r>
        <w:t xml:space="preserve">3-panel confusion matrices (CNN, RF, Ensemble)</w:t>
      </w:r>
    </w:p>
    <w:p>
      <w:pPr>
        <w:numPr>
          <w:ilvl w:val="0"/>
          <w:numId w:val="1002"/>
        </w:numPr>
        <w:pStyle w:val="Compact"/>
      </w:pPr>
      <w:r>
        <w:t xml:space="preserve">Spike detection performance (Spike MAE bars + per-event scatter)</w:t>
      </w:r>
    </w:p>
    <w:p>
      <w:pPr>
        <w:numPr>
          <w:ilvl w:val="0"/>
          <w:numId w:val="1002"/>
        </w:numPr>
        <w:pStyle w:val="Compact"/>
      </w:pPr>
      <w:r>
        <w:t xml:space="preserve">Full test period time-series with ensemble overlay</w:t>
      </w:r>
    </w:p>
    <w:p>
      <w:pPr>
        <w:numPr>
          <w:ilvl w:val="0"/>
          <w:numId w:val="1002"/>
        </w:numPr>
        <w:pStyle w:val="Compact"/>
      </w:pPr>
      <w:r>
        <w:t xml:space="preserve">RF feature importance (top 15 features)</w:t>
      </w:r>
    </w:p>
    <w:p>
      <w:pPr>
        <w:numPr>
          <w:ilvl w:val="0"/>
          <w:numId w:val="1002"/>
        </w:numPr>
        <w:pStyle w:val="Compact"/>
      </w:pPr>
      <w:r>
        <w:t xml:space="preserve">Ensemble weight sensitivity curve</w:t>
      </w:r>
    </w:p>
    <w:p>
      <w:pPr>
        <w:numPr>
          <w:ilvl w:val="0"/>
          <w:numId w:val="1002"/>
        </w:numPr>
        <w:pStyle w:val="Compact"/>
      </w:pPr>
      <w:r>
        <w:t xml:space="preserve">Overall vs Spike MAE comparison</w:t>
      </w:r>
    </w:p>
    <w:p>
      <w:pPr>
        <w:numPr>
          <w:ilvl w:val="0"/>
          <w:numId w:val="1002"/>
        </w:numPr>
        <w:pStyle w:val="Compact"/>
      </w:pPr>
      <w:r>
        <w:t xml:space="preserve">RGB tensor mapping visualization (3-day window example)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2026-03-22T13:16:26Z</dcterms:created>
  <dcterms:modified xsi:type="dcterms:W3CDTF">2026-03-22T13:16:26Z</dcterms:modified>
</cp:coreProperties>
</file>

<file path=docProps/custom.xml><?xml version="1.0" encoding="utf-8"?>
<Properties xmlns="http://schemas.openxmlformats.org/officeDocument/2006/custom-properties" xmlns:vt="http://schemas.openxmlformats.org/officeDocument/2006/docPropsVTypes"/>
</file>