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Multi-Agent AI Platform</w:t>
      </w:r>
    </w:p>
    <w:p>
      <w:r>
        <w:t>Q1 2026 Technical Architecture, Media Ingestion &amp; IBM Docling Verification Specification</w:t>
      </w:r>
    </w:p>
    <w:p>
      <w:r>
        <w:rPr>
          <w:b/>
        </w:rPr>
        <w:t xml:space="preserve">Classification: </w:t>
      </w:r>
      <w:r>
        <w:t>Internal Engineering / Strict Confidential</w:t>
        <w:br/>
      </w:r>
      <w:r>
        <w:rPr>
          <w:b/>
        </w:rPr>
        <w:t xml:space="preserve">Author: </w:t>
      </w:r>
      <w:r>
        <w:t>Principal Systems Architect</w:t>
        <w:br/>
      </w:r>
      <w:r>
        <w:rPr>
          <w:b/>
        </w:rPr>
        <w:t xml:space="preserve">Release Version: </w:t>
      </w:r>
      <w:r>
        <w:t>v2.4.0-Production</w:t>
        <w:br/>
      </w:r>
      <w:r>
        <w:rPr>
          <w:b/>
        </w:rPr>
        <w:t xml:space="preserve">Verification Engine: </w:t>
      </w:r>
      <w:r>
        <w:t>IBM Docling 2.121.0</w:t>
        <w:br/>
      </w:r>
    </w:p>
    <w:p>
      <w:pPr>
        <w:pStyle w:val="Heading1"/>
      </w:pPr>
      <w:r>
        <w:t>1. Executive Summary &amp; Architecture</w:t>
      </w:r>
    </w:p>
    <w:p>
      <w:r>
        <w:t>The Enterprise Multi-Agent AI Platform provides an end-to-end framework for autonomous agent orchestration, deterministic verification gates, and heterogeneous foreign document intake. In Q1 2026, the architecture integrates IBM Docling as the primary structured parser to decipher rich documents including Word documents (.docx), PDFs, and presentations into high-fidelity structured Markdown.</w:t>
      </w:r>
    </w:p>
    <w:p>
      <w:r>
        <w:t>By enforcing strict Tier 0 integrity checks, Tier 0.5 web verification, Tier 1 multi-agent audit, and final sanity gates, the platform ensures 100% verifiable outputs with full cryptographic SQLite audit trails.</w:t>
      </w:r>
    </w:p>
    <w:p>
      <w:pPr>
        <w:pStyle w:val="Heading1"/>
      </w:pPr>
      <w:r>
        <w:t>2. Media Intake Subsystems &amp; Parser Specifications</w:t>
      </w:r>
    </w:p>
    <w:p>
      <w:r>
        <w:t>The following operational matrix details the intake subsystems, target media types, parser engines, and latency SLAs: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Subsystem</w:t>
            </w:r>
          </w:p>
        </w:tc>
        <w:tc>
          <w:tcPr>
            <w:tcW w:type="dxa" w:w="1728"/>
          </w:tcPr>
          <w:p>
            <w:r>
              <w:rPr>
                <w:b/>
              </w:rPr>
              <w:t>Formats</w:t>
            </w:r>
          </w:p>
        </w:tc>
        <w:tc>
          <w:tcPr>
            <w:tcW w:type="dxa" w:w="1728"/>
          </w:tcPr>
          <w:p>
            <w:r>
              <w:rPr>
                <w:b/>
              </w:rPr>
              <w:t>Parser Engine</w:t>
            </w:r>
          </w:p>
        </w:tc>
        <w:tc>
          <w:tcPr>
            <w:tcW w:type="dxa" w:w="1728"/>
          </w:tcPr>
          <w:p>
            <w:r>
              <w:rPr>
                <w:b/>
              </w:rPr>
              <w:t>Latency SLA</w:t>
            </w:r>
          </w:p>
        </w:tc>
        <w:tc>
          <w:tcPr>
            <w:tcW w:type="dxa" w:w="1728"/>
          </w:tcPr>
          <w:p>
            <w:r>
              <w:rPr>
                <w:b/>
              </w:rPr>
              <w:t>Verification Gate</w:t>
            </w:r>
          </w:p>
        </w:tc>
      </w:tr>
      <w:tr>
        <w:tc>
          <w:tcPr>
            <w:tcW w:type="dxa" w:w="1728"/>
          </w:tcPr>
          <w:p>
            <w:r>
              <w:t>Spreadsheet Ingestion</w:t>
            </w:r>
          </w:p>
        </w:tc>
        <w:tc>
          <w:tcPr>
            <w:tcW w:type="dxa" w:w="1728"/>
          </w:tcPr>
          <w:p>
            <w:r>
              <w:t>.xlsx, .xlsm, .csv</w:t>
            </w:r>
          </w:p>
        </w:tc>
        <w:tc>
          <w:tcPr>
            <w:tcW w:type="dxa" w:w="1728"/>
          </w:tcPr>
          <w:p>
            <w:r>
              <w:t>OpenPyXL Engine</w:t>
            </w:r>
          </w:p>
        </w:tc>
        <w:tc>
          <w:tcPr>
            <w:tcW w:type="dxa" w:w="1728"/>
          </w:tcPr>
          <w:p>
            <w:r>
              <w:t>&lt; 120ms</w:t>
            </w:r>
          </w:p>
        </w:tc>
        <w:tc>
          <w:tcPr>
            <w:tcW w:type="dxa" w:w="1728"/>
          </w:tcPr>
          <w:p>
            <w:r>
              <w:t>Tier 0 Audit</w:t>
            </w:r>
          </w:p>
        </w:tc>
      </w:tr>
      <w:tr>
        <w:tc>
          <w:tcPr>
            <w:tcW w:type="dxa" w:w="1728"/>
          </w:tcPr>
          <w:p>
            <w:r>
              <w:t>Presentation Parser</w:t>
            </w:r>
          </w:p>
        </w:tc>
        <w:tc>
          <w:tcPr>
            <w:tcW w:type="dxa" w:w="1728"/>
          </w:tcPr>
          <w:p>
            <w:r>
              <w:t>.pptx, .ppt</w:t>
            </w:r>
          </w:p>
        </w:tc>
        <w:tc>
          <w:tcPr>
            <w:tcW w:type="dxa" w:w="1728"/>
          </w:tcPr>
          <w:p>
            <w:r>
              <w:t>Python-PPTX Engine</w:t>
            </w:r>
          </w:p>
        </w:tc>
        <w:tc>
          <w:tcPr>
            <w:tcW w:type="dxa" w:w="1728"/>
          </w:tcPr>
          <w:p>
            <w:r>
              <w:t>&lt; 250ms</w:t>
            </w:r>
          </w:p>
        </w:tc>
        <w:tc>
          <w:tcPr>
            <w:tcW w:type="dxa" w:w="1728"/>
          </w:tcPr>
          <w:p>
            <w:r>
              <w:t>Tier 0.5 Gate</w:t>
            </w:r>
          </w:p>
        </w:tc>
      </w:tr>
      <w:tr>
        <w:tc>
          <w:tcPr>
            <w:tcW w:type="dxa" w:w="1728"/>
          </w:tcPr>
          <w:p>
            <w:r>
              <w:t>Structured Document Parser</w:t>
            </w:r>
          </w:p>
        </w:tc>
        <w:tc>
          <w:tcPr>
            <w:tcW w:type="dxa" w:w="1728"/>
          </w:tcPr>
          <w:p>
            <w:r>
              <w:t>.docx, .doc, .pdf</w:t>
            </w:r>
          </w:p>
        </w:tc>
        <w:tc>
          <w:tcPr>
            <w:tcW w:type="dxa" w:w="1728"/>
          </w:tcPr>
          <w:p>
            <w:r>
              <w:t>IBM Docling Engine</w:t>
            </w:r>
          </w:p>
        </w:tc>
        <w:tc>
          <w:tcPr>
            <w:tcW w:type="dxa" w:w="1728"/>
          </w:tcPr>
          <w:p>
            <w:r>
              <w:t>&lt; 180ms</w:t>
            </w:r>
          </w:p>
        </w:tc>
        <w:tc>
          <w:tcPr>
            <w:tcW w:type="dxa" w:w="1728"/>
          </w:tcPr>
          <w:p>
            <w:r>
              <w:t>Tier 1 Gate</w:t>
            </w:r>
          </w:p>
        </w:tc>
      </w:tr>
      <w:tr>
        <w:tc>
          <w:tcPr>
            <w:tcW w:type="dxa" w:w="1728"/>
          </w:tcPr>
          <w:p>
            <w:r>
              <w:t>Visual Media Ingestion</w:t>
            </w:r>
          </w:p>
        </w:tc>
        <w:tc>
          <w:tcPr>
            <w:tcW w:type="dxa" w:w="1728"/>
          </w:tcPr>
          <w:p>
            <w:r>
              <w:t>.png, .jpg, .webp</w:t>
            </w:r>
          </w:p>
        </w:tc>
        <w:tc>
          <w:tcPr>
            <w:tcW w:type="dxa" w:w="1728"/>
          </w:tcPr>
          <w:p>
            <w:r>
              <w:t>Qwen 2.5-VL Vision</w:t>
            </w:r>
          </w:p>
        </w:tc>
        <w:tc>
          <w:tcPr>
            <w:tcW w:type="dxa" w:w="1728"/>
          </w:tcPr>
          <w:p>
            <w:r>
              <w:t>&lt; 450ms</w:t>
            </w:r>
          </w:p>
        </w:tc>
        <w:tc>
          <w:tcPr>
            <w:tcW w:type="dxa" w:w="1728"/>
          </w:tcPr>
          <w:p>
            <w:r>
              <w:t>Tier 2 Audit</w:t>
            </w:r>
          </w:p>
        </w:tc>
      </w:tr>
      <w:tr>
        <w:tc>
          <w:tcPr>
            <w:tcW w:type="dxa" w:w="1728"/>
          </w:tcPr>
          <w:p>
            <w:r>
              <w:t>Sandboxed Tool Runtime</w:t>
            </w:r>
          </w:p>
        </w:tc>
        <w:tc>
          <w:tcPr>
            <w:tcW w:type="dxa" w:w="1728"/>
          </w:tcPr>
          <w:p>
            <w:r>
              <w:t>Python, Terminal, Git</w:t>
            </w:r>
          </w:p>
        </w:tc>
        <w:tc>
          <w:tcPr>
            <w:tcW w:type="dxa" w:w="1728"/>
          </w:tcPr>
          <w:p>
            <w:r>
              <w:t>Sandboxed Execution</w:t>
            </w:r>
          </w:p>
        </w:tc>
        <w:tc>
          <w:tcPr>
            <w:tcW w:type="dxa" w:w="1728"/>
          </w:tcPr>
          <w:p>
            <w:r>
              <w:t>&lt; 800ms</w:t>
            </w:r>
          </w:p>
        </w:tc>
        <w:tc>
          <w:tcPr>
            <w:tcW w:type="dxa" w:w="1728"/>
          </w:tcPr>
          <w:p>
            <w:r>
              <w:t>Tier 2.5 Sanity</w:t>
            </w:r>
          </w:p>
        </w:tc>
      </w:tr>
    </w:tbl>
    <w:p>
      <w:pPr>
        <w:pStyle w:val="Heading1"/>
      </w:pPr>
      <w:r>
        <w:t>3. Strategic Roadmap &amp; Milestones</w:t>
      </w:r>
    </w:p>
    <w:p>
      <w:r>
        <w:t>Key strategic milestones for the current release cycle include:</w:t>
      </w:r>
    </w:p>
    <w:p>
      <w:pPr>
        <w:pStyle w:val="ListBullet"/>
      </w:pPr>
      <w:r>
        <w:t>Milestone 1: Complete integration of IBM Docling 2.x for high-precision table extraction and Markdown generation.</w:t>
      </w:r>
    </w:p>
    <w:p>
      <w:pPr>
        <w:pStyle w:val="ListBullet"/>
      </w:pPr>
      <w:r>
        <w:t>Milestone 2: Browser-based Playwright automated UI verification across Edge and Chromium headless runtimes.</w:t>
      </w:r>
    </w:p>
    <w:p>
      <w:pPr>
        <w:pStyle w:val="ListBullet"/>
      </w:pPr>
      <w:r>
        <w:t>Milestone 3: Local LLM inference acceleration via Qwen 3.5 9B with graceful fallbacks.</w:t>
      </w:r>
    </w:p>
    <w:p>
      <w:pPr>
        <w:pStyle w:val="ListBullet"/>
      </w:pPr>
      <w:r>
        <w:t>Milestone 4: Interactive Mermaid diagram synthesis for document workflows and pipeline topologies.</w:t>
      </w:r>
    </w:p>
    <w:p>
      <w:pPr>
        <w:pStyle w:val="Heading1"/>
      </w:pPr>
      <w:r>
        <w:t>4. Verification &amp; Operational Sign-off</w:t>
      </w:r>
    </w:p>
    <w:p>
      <w:r>
        <w:t>All document ingestion pipelines and automated browser verification tests have completed with zero regressions. System status: CERTIFIED OPERATIONAL.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