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52E81" w14:textId="6352B4D7" w:rsidR="00F6004E" w:rsidRDefault="00000000" w:rsidP="00F6004E">
      <w:pPr>
        <w:spacing w:beforeLines="300" w:before="936"/>
        <w:jc w:val="center"/>
        <w:rPr>
          <w:rFonts w:ascii="华文行楷" w:eastAsia="华文行楷"/>
          <w:b/>
          <w:bCs/>
          <w:spacing w:val="40"/>
          <w:sz w:val="72"/>
          <w:szCs w:val="72"/>
        </w:rPr>
      </w:pPr>
      <w:r>
        <w:rPr>
          <w:rFonts w:ascii="华文行楷" w:eastAsia="华文行楷"/>
          <w:b/>
          <w:bCs/>
          <w:spacing w:val="40"/>
          <w:sz w:val="72"/>
          <w:szCs w:val="72"/>
        </w:rPr>
        <w:fldChar w:fldCharType="begin"/>
      </w:r>
      <w:r>
        <w:rPr>
          <w:rFonts w:ascii="华文行楷" w:eastAsia="华文行楷"/>
          <w:b/>
          <w:bCs/>
          <w:spacing w:val="40"/>
          <w:sz w:val="72"/>
          <w:szCs w:val="72"/>
        </w:rPr>
        <w:instrText xml:space="preserve"> MACROBUTTON MTEditEquationSection2 </w:instrText>
      </w:r>
      <w:r>
        <w:rPr>
          <w:rStyle w:val="MTEquationSection"/>
          <w:rFonts w:hint="eastAsia"/>
        </w:rPr>
        <w:instrText>公式章 1 节 1</w:instrText>
      </w:r>
      <w:r>
        <w:rPr>
          <w:rFonts w:ascii="华文行楷" w:eastAsia="华文行楷"/>
          <w:b/>
          <w:bCs/>
          <w:spacing w:val="40"/>
          <w:sz w:val="72"/>
          <w:szCs w:val="72"/>
        </w:rPr>
        <w:fldChar w:fldCharType="begin"/>
      </w:r>
      <w:r>
        <w:rPr>
          <w:rFonts w:ascii="华文行楷" w:eastAsia="华文行楷"/>
          <w:b/>
          <w:bCs/>
          <w:spacing w:val="40"/>
          <w:sz w:val="72"/>
          <w:szCs w:val="72"/>
        </w:rPr>
        <w:instrText xml:space="preserve"> </w:instrText>
      </w:r>
      <w:r>
        <w:rPr>
          <w:rFonts w:ascii="华文行楷" w:eastAsia="华文行楷" w:hint="eastAsia"/>
          <w:b/>
          <w:bCs/>
          <w:spacing w:val="40"/>
          <w:sz w:val="72"/>
          <w:szCs w:val="72"/>
        </w:rPr>
        <w:instrText>SEQ MTEqn \r \h \* MERGEFORMAT</w:instrText>
      </w:r>
      <w:r>
        <w:rPr>
          <w:rFonts w:ascii="华文行楷" w:eastAsia="华文行楷"/>
          <w:b/>
          <w:bCs/>
          <w:spacing w:val="40"/>
          <w:sz w:val="72"/>
          <w:szCs w:val="72"/>
        </w:rPr>
        <w:instrText xml:space="preserve"> </w:instrText>
      </w:r>
      <w:r>
        <w:rPr>
          <w:rFonts w:ascii="华文行楷" w:eastAsia="华文行楷"/>
          <w:b/>
          <w:bCs/>
          <w:spacing w:val="40"/>
          <w:sz w:val="72"/>
          <w:szCs w:val="72"/>
        </w:rPr>
        <w:fldChar w:fldCharType="end"/>
      </w:r>
      <w:r>
        <w:rPr>
          <w:rFonts w:ascii="华文行楷" w:eastAsia="华文行楷"/>
          <w:b/>
          <w:bCs/>
          <w:spacing w:val="40"/>
          <w:sz w:val="72"/>
          <w:szCs w:val="72"/>
        </w:rPr>
        <w:fldChar w:fldCharType="begin"/>
      </w:r>
      <w:r>
        <w:rPr>
          <w:rFonts w:ascii="华文行楷" w:eastAsia="华文行楷"/>
          <w:b/>
          <w:bCs/>
          <w:spacing w:val="40"/>
          <w:sz w:val="72"/>
          <w:szCs w:val="72"/>
        </w:rPr>
        <w:instrText xml:space="preserve"> SEQ MTSec \r 1 \h \* MERGEFORMAT </w:instrText>
      </w:r>
      <w:r>
        <w:rPr>
          <w:rFonts w:ascii="华文行楷" w:eastAsia="华文行楷"/>
          <w:b/>
          <w:bCs/>
          <w:spacing w:val="40"/>
          <w:sz w:val="72"/>
          <w:szCs w:val="72"/>
        </w:rPr>
        <w:fldChar w:fldCharType="end"/>
      </w:r>
      <w:r>
        <w:rPr>
          <w:rFonts w:ascii="华文行楷" w:eastAsia="华文行楷"/>
          <w:b/>
          <w:bCs/>
          <w:spacing w:val="40"/>
          <w:sz w:val="72"/>
          <w:szCs w:val="72"/>
        </w:rPr>
        <w:fldChar w:fldCharType="begin"/>
      </w:r>
      <w:r>
        <w:rPr>
          <w:rFonts w:ascii="华文行楷" w:eastAsia="华文行楷"/>
          <w:b/>
          <w:bCs/>
          <w:spacing w:val="40"/>
          <w:sz w:val="72"/>
          <w:szCs w:val="72"/>
        </w:rPr>
        <w:instrText xml:space="preserve"> SEQ MTChap \r 1 \h \* MERGEFORMAT </w:instrText>
      </w:r>
      <w:r>
        <w:rPr>
          <w:rFonts w:ascii="华文行楷" w:eastAsia="华文行楷"/>
          <w:b/>
          <w:bCs/>
          <w:spacing w:val="40"/>
          <w:sz w:val="72"/>
          <w:szCs w:val="72"/>
        </w:rPr>
        <w:fldChar w:fldCharType="end"/>
      </w:r>
      <w:r>
        <w:rPr>
          <w:rFonts w:ascii="华文行楷" w:eastAsia="华文行楷"/>
          <w:b/>
          <w:bCs/>
          <w:spacing w:val="40"/>
          <w:sz w:val="72"/>
          <w:szCs w:val="72"/>
        </w:rPr>
        <w:fldChar w:fldCharType="end"/>
      </w:r>
      <w:r w:rsidR="00F6004E">
        <w:rPr>
          <w:rFonts w:ascii="华文行楷" w:eastAsia="华文行楷" w:hint="eastAsia"/>
          <w:b/>
          <w:bCs/>
          <w:spacing w:val="40"/>
          <w:sz w:val="72"/>
          <w:szCs w:val="72"/>
        </w:rPr>
        <w:t>江 南 大 学</w:t>
      </w:r>
    </w:p>
    <w:p w14:paraId="4355E8E6" w14:textId="77777777" w:rsidR="00F6004E" w:rsidRDefault="00F6004E" w:rsidP="00F6004E">
      <w:pPr>
        <w:spacing w:afterLines="400" w:after="1248"/>
        <w:jc w:val="center"/>
        <w:rPr>
          <w:b/>
          <w:bCs/>
          <w:spacing w:val="40"/>
          <w:sz w:val="72"/>
          <w:szCs w:val="72"/>
        </w:rPr>
      </w:pPr>
      <w:r>
        <w:rPr>
          <w:rFonts w:ascii="华文行楷" w:eastAsia="华文行楷" w:hint="eastAsia"/>
          <w:b/>
          <w:bCs/>
          <w:spacing w:val="40"/>
          <w:sz w:val="72"/>
          <w:szCs w:val="72"/>
        </w:rPr>
        <w:t>研究生论文开题报告</w:t>
      </w:r>
    </w:p>
    <w:tbl>
      <w:tblPr>
        <w:tblW w:w="0" w:type="auto"/>
        <w:jc w:val="center"/>
        <w:tblLook w:val="04A0" w:firstRow="1" w:lastRow="0" w:firstColumn="1" w:lastColumn="0" w:noHBand="0" w:noVBand="1"/>
      </w:tblPr>
      <w:tblGrid>
        <w:gridCol w:w="1973"/>
        <w:gridCol w:w="4953"/>
      </w:tblGrid>
      <w:tr w:rsidR="00F6004E" w14:paraId="6A94DE78" w14:textId="77777777" w:rsidTr="003154BD">
        <w:trPr>
          <w:trHeight w:val="818"/>
          <w:jc w:val="center"/>
        </w:trPr>
        <w:tc>
          <w:tcPr>
            <w:tcW w:w="1973" w:type="dxa"/>
            <w:vAlign w:val="bottom"/>
          </w:tcPr>
          <w:p w14:paraId="51D497D2" w14:textId="77777777" w:rsidR="00F6004E" w:rsidRDefault="00F6004E" w:rsidP="003154BD">
            <w:pPr>
              <w:ind w:left="105"/>
              <w:jc w:val="center"/>
              <w:rPr>
                <w:rFonts w:ascii="楷体_GB2312" w:eastAsia="楷体_GB2312"/>
                <w:b/>
                <w:sz w:val="32"/>
                <w:szCs w:val="32"/>
              </w:rPr>
            </w:pPr>
            <w:r>
              <w:rPr>
                <w:rFonts w:ascii="楷体_GB2312" w:eastAsia="楷体_GB2312" w:hint="eastAsia"/>
                <w:b/>
                <w:spacing w:val="500"/>
                <w:sz w:val="32"/>
                <w:szCs w:val="32"/>
              </w:rPr>
              <w:t>学</w:t>
            </w:r>
            <w:r>
              <w:rPr>
                <w:rFonts w:ascii="楷体_GB2312" w:eastAsia="楷体_GB2312" w:hint="eastAsia"/>
                <w:b/>
                <w:sz w:val="32"/>
                <w:szCs w:val="32"/>
              </w:rPr>
              <w:t>科</w:t>
            </w:r>
          </w:p>
        </w:tc>
        <w:tc>
          <w:tcPr>
            <w:tcW w:w="4953" w:type="dxa"/>
            <w:tcBorders>
              <w:bottom w:val="single" w:sz="4" w:space="0" w:color="auto"/>
            </w:tcBorders>
            <w:vAlign w:val="bottom"/>
          </w:tcPr>
          <w:p w14:paraId="63D12C14" w14:textId="77777777" w:rsidR="00F6004E" w:rsidRDefault="00F6004E" w:rsidP="003154BD">
            <w:pPr>
              <w:wordWrap w:val="0"/>
              <w:jc w:val="center"/>
              <w:rPr>
                <w:rFonts w:ascii="楷体_GB2312" w:eastAsia="楷体_GB2312"/>
                <w:b/>
                <w:sz w:val="32"/>
                <w:szCs w:val="32"/>
              </w:rPr>
            </w:pPr>
            <w:r>
              <w:rPr>
                <w:rFonts w:ascii="楷体_GB2312" w:eastAsia="楷体_GB2312" w:hint="eastAsia"/>
                <w:b/>
                <w:sz w:val="32"/>
                <w:szCs w:val="32"/>
              </w:rPr>
              <w:t>工科</w:t>
            </w:r>
          </w:p>
        </w:tc>
      </w:tr>
      <w:tr w:rsidR="00F6004E" w14:paraId="3716A6A0" w14:textId="77777777" w:rsidTr="003154BD">
        <w:trPr>
          <w:trHeight w:val="818"/>
          <w:jc w:val="center"/>
        </w:trPr>
        <w:tc>
          <w:tcPr>
            <w:tcW w:w="1973" w:type="dxa"/>
            <w:vAlign w:val="bottom"/>
          </w:tcPr>
          <w:p w14:paraId="6C278E50" w14:textId="77777777" w:rsidR="00F6004E" w:rsidRDefault="00F6004E" w:rsidP="003154BD">
            <w:pPr>
              <w:ind w:left="105"/>
              <w:jc w:val="center"/>
              <w:rPr>
                <w:rFonts w:ascii="楷体_GB2312" w:eastAsia="楷体_GB2312"/>
                <w:b/>
                <w:sz w:val="32"/>
                <w:szCs w:val="32"/>
              </w:rPr>
            </w:pPr>
            <w:r>
              <w:rPr>
                <w:rFonts w:ascii="楷体_GB2312" w:eastAsia="楷体_GB2312" w:hint="eastAsia"/>
                <w:b/>
                <w:spacing w:val="500"/>
                <w:sz w:val="32"/>
                <w:szCs w:val="32"/>
              </w:rPr>
              <w:t>专</w:t>
            </w:r>
            <w:r>
              <w:rPr>
                <w:rFonts w:ascii="楷体_GB2312" w:eastAsia="楷体_GB2312" w:hint="eastAsia"/>
                <w:b/>
                <w:sz w:val="32"/>
                <w:szCs w:val="32"/>
              </w:rPr>
              <w:t>业</w:t>
            </w:r>
          </w:p>
        </w:tc>
        <w:tc>
          <w:tcPr>
            <w:tcW w:w="4953" w:type="dxa"/>
            <w:tcBorders>
              <w:top w:val="single" w:sz="4" w:space="0" w:color="auto"/>
              <w:bottom w:val="single" w:sz="4" w:space="0" w:color="auto"/>
            </w:tcBorders>
            <w:vAlign w:val="bottom"/>
          </w:tcPr>
          <w:p w14:paraId="448B8268" w14:textId="638815FA" w:rsidR="00F6004E" w:rsidRDefault="00015ADB" w:rsidP="003154BD">
            <w:pPr>
              <w:wordWrap w:val="0"/>
              <w:jc w:val="center"/>
              <w:rPr>
                <w:rFonts w:ascii="楷体_GB2312" w:eastAsia="楷体_GB2312"/>
                <w:b/>
                <w:sz w:val="32"/>
                <w:szCs w:val="32"/>
              </w:rPr>
            </w:pPr>
            <w:r>
              <w:rPr>
                <w:rFonts w:ascii="楷体_GB2312" w:eastAsia="楷体_GB2312" w:hint="eastAsia"/>
                <w:b/>
                <w:sz w:val="32"/>
                <w:szCs w:val="32"/>
              </w:rPr>
              <w:t>机械</w:t>
            </w:r>
            <w:r w:rsidR="00F6004E">
              <w:rPr>
                <w:rFonts w:ascii="楷体_GB2312" w:eastAsia="楷体_GB2312" w:hint="eastAsia"/>
                <w:b/>
                <w:sz w:val="32"/>
                <w:szCs w:val="32"/>
              </w:rPr>
              <w:t>工程</w:t>
            </w:r>
          </w:p>
        </w:tc>
      </w:tr>
      <w:tr w:rsidR="00F6004E" w14:paraId="5C433BAB" w14:textId="77777777" w:rsidTr="003154BD">
        <w:trPr>
          <w:trHeight w:val="818"/>
          <w:jc w:val="center"/>
        </w:trPr>
        <w:tc>
          <w:tcPr>
            <w:tcW w:w="1973" w:type="dxa"/>
            <w:vAlign w:val="bottom"/>
          </w:tcPr>
          <w:p w14:paraId="7B030F9A" w14:textId="77777777" w:rsidR="00F6004E" w:rsidRDefault="00F6004E" w:rsidP="003154BD">
            <w:pPr>
              <w:ind w:left="105"/>
              <w:jc w:val="center"/>
              <w:rPr>
                <w:rFonts w:ascii="楷体_GB2312" w:eastAsia="楷体_GB2312"/>
                <w:b/>
                <w:sz w:val="32"/>
                <w:szCs w:val="32"/>
              </w:rPr>
            </w:pPr>
            <w:r>
              <w:rPr>
                <w:rFonts w:ascii="楷体_GB2312" w:eastAsia="楷体_GB2312" w:hint="eastAsia"/>
                <w:b/>
                <w:spacing w:val="60"/>
                <w:sz w:val="32"/>
                <w:szCs w:val="32"/>
              </w:rPr>
              <w:t>研究方</w:t>
            </w:r>
            <w:r>
              <w:rPr>
                <w:rFonts w:ascii="楷体_GB2312" w:eastAsia="楷体_GB2312" w:hint="eastAsia"/>
                <w:b/>
                <w:sz w:val="32"/>
                <w:szCs w:val="32"/>
              </w:rPr>
              <w:t>向</w:t>
            </w:r>
          </w:p>
        </w:tc>
        <w:tc>
          <w:tcPr>
            <w:tcW w:w="4953" w:type="dxa"/>
            <w:tcBorders>
              <w:top w:val="single" w:sz="4" w:space="0" w:color="auto"/>
              <w:bottom w:val="single" w:sz="4" w:space="0" w:color="auto"/>
            </w:tcBorders>
            <w:vAlign w:val="bottom"/>
          </w:tcPr>
          <w:p w14:paraId="3F7A9216" w14:textId="5179E148" w:rsidR="00F6004E" w:rsidRDefault="00F6004E" w:rsidP="003154BD">
            <w:pPr>
              <w:wordWrap w:val="0"/>
              <w:jc w:val="center"/>
              <w:rPr>
                <w:rFonts w:ascii="楷体_GB2312" w:eastAsia="楷体_GB2312"/>
                <w:b/>
                <w:sz w:val="32"/>
                <w:szCs w:val="32"/>
              </w:rPr>
            </w:pPr>
            <w:r>
              <w:rPr>
                <w:rFonts w:ascii="楷体_GB2312" w:eastAsia="楷体_GB2312" w:hint="eastAsia"/>
                <w:b/>
                <w:sz w:val="32"/>
                <w:szCs w:val="32"/>
              </w:rPr>
              <w:t>机器视觉</w:t>
            </w:r>
          </w:p>
        </w:tc>
      </w:tr>
      <w:tr w:rsidR="00F6004E" w14:paraId="128412CD" w14:textId="77777777" w:rsidTr="003154BD">
        <w:trPr>
          <w:trHeight w:val="818"/>
          <w:jc w:val="center"/>
        </w:trPr>
        <w:tc>
          <w:tcPr>
            <w:tcW w:w="1973" w:type="dxa"/>
            <w:vAlign w:val="bottom"/>
          </w:tcPr>
          <w:p w14:paraId="1A54FB9F" w14:textId="77777777" w:rsidR="00F6004E" w:rsidRDefault="00F6004E" w:rsidP="003154BD">
            <w:pPr>
              <w:ind w:left="105"/>
              <w:jc w:val="center"/>
              <w:rPr>
                <w:rFonts w:ascii="楷体_GB2312" w:eastAsia="楷体_GB2312"/>
                <w:b/>
                <w:sz w:val="32"/>
                <w:szCs w:val="32"/>
              </w:rPr>
            </w:pPr>
            <w:r>
              <w:rPr>
                <w:rFonts w:ascii="楷体_GB2312" w:eastAsia="楷体_GB2312" w:hint="eastAsia"/>
                <w:b/>
                <w:spacing w:val="500"/>
                <w:sz w:val="32"/>
                <w:szCs w:val="32"/>
              </w:rPr>
              <w:t>学</w:t>
            </w:r>
            <w:r>
              <w:rPr>
                <w:rFonts w:ascii="楷体_GB2312" w:eastAsia="楷体_GB2312" w:hint="eastAsia"/>
                <w:b/>
                <w:sz w:val="32"/>
                <w:szCs w:val="32"/>
              </w:rPr>
              <w:t>号</w:t>
            </w:r>
          </w:p>
        </w:tc>
        <w:tc>
          <w:tcPr>
            <w:tcW w:w="4953" w:type="dxa"/>
            <w:tcBorders>
              <w:top w:val="single" w:sz="4" w:space="0" w:color="auto"/>
              <w:bottom w:val="single" w:sz="4" w:space="0" w:color="auto"/>
            </w:tcBorders>
            <w:vAlign w:val="bottom"/>
          </w:tcPr>
          <w:p w14:paraId="4945B6D6" w14:textId="3A2BC7A7" w:rsidR="00F6004E" w:rsidRDefault="00015ADB" w:rsidP="003154BD">
            <w:pPr>
              <w:wordWrap w:val="0"/>
              <w:jc w:val="center"/>
              <w:rPr>
                <w:rFonts w:ascii="楷体_GB2312" w:eastAsia="楷体_GB2312"/>
                <w:b/>
                <w:sz w:val="32"/>
                <w:szCs w:val="32"/>
              </w:rPr>
            </w:pPr>
            <w:r>
              <w:rPr>
                <w:rFonts w:ascii="楷体_GB2312" w:eastAsia="楷体_GB2312" w:hint="eastAsia"/>
                <w:b/>
                <w:sz w:val="32"/>
                <w:szCs w:val="32"/>
              </w:rPr>
              <w:t>6250809035</w:t>
            </w:r>
          </w:p>
        </w:tc>
      </w:tr>
      <w:tr w:rsidR="00F6004E" w14:paraId="51B75C73" w14:textId="77777777" w:rsidTr="003154BD">
        <w:trPr>
          <w:trHeight w:val="818"/>
          <w:jc w:val="center"/>
        </w:trPr>
        <w:tc>
          <w:tcPr>
            <w:tcW w:w="1973" w:type="dxa"/>
            <w:vAlign w:val="bottom"/>
          </w:tcPr>
          <w:p w14:paraId="6FD1FAE4" w14:textId="77777777" w:rsidR="00F6004E" w:rsidRDefault="00F6004E" w:rsidP="003154BD">
            <w:pPr>
              <w:ind w:left="105"/>
              <w:jc w:val="center"/>
              <w:rPr>
                <w:rFonts w:ascii="楷体_GB2312" w:eastAsia="楷体_GB2312"/>
                <w:b/>
                <w:sz w:val="32"/>
                <w:szCs w:val="32"/>
              </w:rPr>
            </w:pPr>
            <w:r>
              <w:rPr>
                <w:rFonts w:ascii="楷体_GB2312" w:eastAsia="楷体_GB2312" w:hint="eastAsia"/>
                <w:b/>
                <w:sz w:val="32"/>
                <w:szCs w:val="32"/>
              </w:rPr>
              <w:t>研究生姓名</w:t>
            </w:r>
          </w:p>
        </w:tc>
        <w:tc>
          <w:tcPr>
            <w:tcW w:w="4953" w:type="dxa"/>
            <w:tcBorders>
              <w:top w:val="single" w:sz="4" w:space="0" w:color="auto"/>
              <w:bottom w:val="single" w:sz="4" w:space="0" w:color="auto"/>
            </w:tcBorders>
            <w:vAlign w:val="bottom"/>
          </w:tcPr>
          <w:p w14:paraId="6592F469" w14:textId="5EAA0026" w:rsidR="00F6004E" w:rsidRDefault="00015ADB" w:rsidP="003154BD">
            <w:pPr>
              <w:wordWrap w:val="0"/>
              <w:jc w:val="center"/>
              <w:rPr>
                <w:rFonts w:ascii="楷体_GB2312" w:eastAsia="楷体_GB2312"/>
                <w:b/>
                <w:sz w:val="32"/>
                <w:szCs w:val="32"/>
              </w:rPr>
            </w:pPr>
            <w:r>
              <w:rPr>
                <w:rFonts w:ascii="楷体_GB2312" w:eastAsia="楷体_GB2312" w:hint="eastAsia"/>
                <w:b/>
                <w:sz w:val="32"/>
                <w:szCs w:val="32"/>
              </w:rPr>
              <w:t>石晓强</w:t>
            </w:r>
          </w:p>
        </w:tc>
      </w:tr>
      <w:tr w:rsidR="00F6004E" w14:paraId="1BE25ACD" w14:textId="77777777" w:rsidTr="003154BD">
        <w:trPr>
          <w:trHeight w:val="818"/>
          <w:jc w:val="center"/>
        </w:trPr>
        <w:tc>
          <w:tcPr>
            <w:tcW w:w="1973" w:type="dxa"/>
            <w:vAlign w:val="bottom"/>
          </w:tcPr>
          <w:p w14:paraId="02628EBC" w14:textId="77777777" w:rsidR="00F6004E" w:rsidRDefault="00F6004E" w:rsidP="003154BD">
            <w:pPr>
              <w:ind w:left="105"/>
              <w:jc w:val="center"/>
              <w:rPr>
                <w:rFonts w:ascii="楷体_GB2312" w:eastAsia="楷体_GB2312"/>
                <w:b/>
                <w:sz w:val="32"/>
                <w:szCs w:val="32"/>
              </w:rPr>
            </w:pPr>
            <w:r>
              <w:rPr>
                <w:rFonts w:ascii="楷体_GB2312" w:eastAsia="楷体_GB2312" w:hint="eastAsia"/>
                <w:b/>
                <w:spacing w:val="60"/>
                <w:sz w:val="32"/>
                <w:szCs w:val="32"/>
              </w:rPr>
              <w:t>学位级</w:t>
            </w:r>
            <w:r>
              <w:rPr>
                <w:rFonts w:ascii="楷体_GB2312" w:eastAsia="楷体_GB2312" w:hint="eastAsia"/>
                <w:b/>
                <w:sz w:val="32"/>
                <w:szCs w:val="32"/>
              </w:rPr>
              <w:t>别</w:t>
            </w:r>
          </w:p>
        </w:tc>
        <w:tc>
          <w:tcPr>
            <w:tcW w:w="4953" w:type="dxa"/>
            <w:tcBorders>
              <w:top w:val="single" w:sz="4" w:space="0" w:color="auto"/>
              <w:bottom w:val="single" w:sz="4" w:space="0" w:color="auto"/>
            </w:tcBorders>
            <w:vAlign w:val="bottom"/>
          </w:tcPr>
          <w:p w14:paraId="1A0A6571" w14:textId="77777777" w:rsidR="00F6004E" w:rsidRDefault="00F6004E" w:rsidP="003154BD">
            <w:pPr>
              <w:wordWrap w:val="0"/>
              <w:jc w:val="center"/>
              <w:rPr>
                <w:rFonts w:ascii="楷体_GB2312" w:eastAsia="楷体_GB2312"/>
                <w:b/>
                <w:sz w:val="32"/>
                <w:szCs w:val="32"/>
              </w:rPr>
            </w:pPr>
            <w:r>
              <w:rPr>
                <w:rFonts w:ascii="楷体_GB2312" w:eastAsia="楷体_GB2312" w:hint="eastAsia"/>
                <w:b/>
                <w:sz w:val="32"/>
                <w:szCs w:val="32"/>
              </w:rPr>
              <w:t>硕士</w:t>
            </w:r>
          </w:p>
        </w:tc>
      </w:tr>
      <w:tr w:rsidR="00F6004E" w14:paraId="5D7AB556" w14:textId="77777777" w:rsidTr="003154BD">
        <w:trPr>
          <w:trHeight w:val="818"/>
          <w:jc w:val="center"/>
        </w:trPr>
        <w:tc>
          <w:tcPr>
            <w:tcW w:w="1973" w:type="dxa"/>
            <w:vAlign w:val="bottom"/>
          </w:tcPr>
          <w:p w14:paraId="55C21E2C" w14:textId="77777777" w:rsidR="00F6004E" w:rsidRDefault="00F6004E" w:rsidP="003154BD">
            <w:pPr>
              <w:ind w:left="105"/>
              <w:jc w:val="center"/>
              <w:rPr>
                <w:rFonts w:ascii="楷体_GB2312" w:eastAsia="楷体_GB2312"/>
                <w:b/>
                <w:sz w:val="32"/>
                <w:szCs w:val="32"/>
              </w:rPr>
            </w:pPr>
            <w:r>
              <w:rPr>
                <w:rFonts w:ascii="楷体_GB2312" w:eastAsia="楷体_GB2312" w:hint="eastAsia"/>
                <w:b/>
                <w:spacing w:val="60"/>
                <w:sz w:val="32"/>
                <w:szCs w:val="32"/>
              </w:rPr>
              <w:t>导师姓</w:t>
            </w:r>
            <w:r>
              <w:rPr>
                <w:rFonts w:ascii="楷体_GB2312" w:eastAsia="楷体_GB2312" w:hint="eastAsia"/>
                <w:b/>
                <w:sz w:val="32"/>
                <w:szCs w:val="32"/>
              </w:rPr>
              <w:t>名</w:t>
            </w:r>
          </w:p>
        </w:tc>
        <w:tc>
          <w:tcPr>
            <w:tcW w:w="4953" w:type="dxa"/>
            <w:tcBorders>
              <w:top w:val="single" w:sz="4" w:space="0" w:color="auto"/>
              <w:bottom w:val="single" w:sz="4" w:space="0" w:color="auto"/>
            </w:tcBorders>
            <w:vAlign w:val="bottom"/>
          </w:tcPr>
          <w:p w14:paraId="130C6490" w14:textId="77777777" w:rsidR="00F6004E" w:rsidRDefault="00F6004E" w:rsidP="003154BD">
            <w:pPr>
              <w:wordWrap w:val="0"/>
              <w:jc w:val="center"/>
              <w:rPr>
                <w:rFonts w:ascii="楷体_GB2312" w:eastAsia="楷体_GB2312"/>
                <w:b/>
                <w:sz w:val="32"/>
                <w:szCs w:val="32"/>
              </w:rPr>
            </w:pPr>
            <w:r>
              <w:rPr>
                <w:rFonts w:ascii="楷体_GB2312" w:eastAsia="楷体_GB2312" w:hint="eastAsia"/>
                <w:b/>
                <w:sz w:val="32"/>
                <w:szCs w:val="32"/>
              </w:rPr>
              <w:t>化春键</w:t>
            </w:r>
          </w:p>
        </w:tc>
      </w:tr>
    </w:tbl>
    <w:p w14:paraId="3E6FDDFE" w14:textId="099BCC7C" w:rsidR="00D617A1" w:rsidRDefault="00000000" w:rsidP="00DC207C">
      <w:pPr>
        <w:spacing w:beforeLines="300" w:before="936"/>
        <w:jc w:val="center"/>
        <w:rPr>
          <w:rFonts w:ascii="华文行楷" w:eastAsia="华文行楷"/>
          <w:sz w:val="28"/>
        </w:rPr>
      </w:pPr>
      <w:r>
        <w:rPr>
          <w:rFonts w:ascii="华文行楷" w:eastAsia="华文行楷" w:hint="eastAsia"/>
          <w:sz w:val="28"/>
        </w:rPr>
        <w:t>填表日期     2026年    9月  30日</w:t>
      </w:r>
      <w:r w:rsidR="00015ADB">
        <w:rPr>
          <w:rFonts w:ascii="华文行楷" w:eastAsia="华文行楷" w:hint="eastAsia"/>
          <w:sz w:val="28"/>
        </w:rPr>
      </w:r>
      <w:r>
        <w:rPr>
          <w:rFonts w:ascii="华文行楷" w:eastAsia="华文行楷" w:hint="eastAsia"/>
          <w:sz w:val="28"/>
        </w:rPr>
      </w:r>
      <w:r w:rsidR="00DC207C">
        <w:rPr>
          <w:rFonts w:ascii="华文行楷" w:eastAsia="华文行楷" w:hint="eastAsia"/>
          <w:sz w:val="28"/>
        </w:rPr>
      </w:r>
      <w:r>
        <w:rPr>
          <w:rFonts w:ascii="华文行楷" w:eastAsia="华文行楷" w:hint="eastAsia"/>
          <w:sz w:val="28"/>
        </w:rPr>
      </w:r>
    </w:p>
    <w:p w14:paraId="64A41BBC" w14:textId="77777777" w:rsidR="00D617A1" w:rsidRDefault="00000000">
      <w:pPr>
        <w:spacing w:before="280" w:line="360" w:lineRule="auto"/>
        <w:ind w:firstLineChars="200" w:firstLine="420"/>
        <w:rPr>
          <w:rFonts w:ascii="楷体_GB2312" w:eastAsia="楷体_GB2312"/>
          <w:sz w:val="24"/>
        </w:rPr>
        <w:sectPr w:rsidR="00D617A1">
          <w:footerReference w:type="even" r:id="rId9"/>
          <w:pgSz w:w="11907" w:h="16840"/>
          <w:pgMar w:top="1418" w:right="1418" w:bottom="1134" w:left="1418" w:header="851" w:footer="992" w:gutter="0"/>
          <w:cols w:space="425"/>
          <w:docGrid w:type="lines" w:linePitch="312"/>
        </w:sectPr>
      </w:pPr>
      <w:r/>
      <w:r>
        <w:rPr>
          <w:rFonts w:ascii="楷体_GB2312" w:eastAsia="楷体_GB2312" w:hint="eastAsia"/>
          <w:sz w:val="24"/>
        </w:rPr>
        <w:t>注：此表为研究生在导师或指导小组的指导下，由研究生本人填写，经导师、教研室主任、院（系）分管研究生工作的负责人审阅后，报研究生院备案，非经同意不得改动。</w:t>
      </w:r>
    </w:p>
    <w:tbl>
      <w:tblPr>
        <w:tblW w:w="9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6832"/>
      </w:tblGrid>
      <w:tr w:rsidR="00D617A1" w14:paraId="0D3623E8" w14:textId="77777777">
        <w:trPr>
          <w:trHeight w:val="607"/>
          <w:jc w:val="center"/>
        </w:trPr>
        <w:tc>
          <w:tcPr>
            <w:tcW w:w="2966" w:type="dxa"/>
            <w:tcBorders>
              <w:right w:val="single" w:sz="4" w:space="0" w:color="auto"/>
            </w:tcBorders>
            <w:vAlign w:val="center"/>
          </w:tcPr>
          <w:p w14:paraId="06C8D98F" w14:textId="77777777" w:rsidR="00D617A1" w:rsidRDefault="00000000">
            <w:pPr>
              <w:adjustRightInd w:val="0"/>
              <w:snapToGrid w:val="0"/>
              <w:ind w:firstLine="482"/>
              <w:jc w:val="center"/>
              <w:rPr>
                <w:rFonts w:ascii="楷体_GB2312" w:eastAsia="楷体_GB2312"/>
                <w:b/>
                <w:bCs/>
                <w:sz w:val="24"/>
              </w:rPr>
            </w:pPr>
            <w:r>
              <w:rPr>
                <w:rFonts w:ascii="楷体_GB2312" w:eastAsia="楷体_GB2312" w:hint="eastAsia"/>
                <w:b/>
                <w:bCs/>
                <w:sz w:val="24"/>
              </w:rPr>
              <w:lastRenderedPageBreak/>
              <w:t>论文题目</w:t>
            </w:r>
          </w:p>
        </w:tc>
        <w:tc>
          <w:tcPr>
            <w:tcW w:w="6832" w:type="dxa"/>
            <w:tcBorders>
              <w:left w:val="single" w:sz="4" w:space="0" w:color="auto"/>
            </w:tcBorders>
            <w:vAlign w:val="center"/>
          </w:tcPr>
          <w:p>
            <w:pPr>
              <w:pStyle w:val="Title"/>
              <w:spacing w:before="0" w:after="0" w:line="276" w:lineRule="auto"/>
              <w:jc w:val="center"/>
            </w:pPr>
            <w:r>
              <w:rPr>
                <w:rFonts w:ascii="Times New Roman" w:hAnsi="Times New Roman" w:eastAsia="宋体"/>
                <w:b w:val="0"/>
                <w:i w:val="0"/>
                <w:color w:val="000000"/>
                <w:sz w:val="24"/>
              </w:rPr>
              <w:t>柑橘套袋中的幼果实例分割与果梗识别方法研究</w:t>
            </w:r>
          </w:p>
        </w:tc>
      </w:tr>
      <w:tr w:rsidR="00D617A1" w14:paraId="1F317002" w14:textId="77777777">
        <w:trPr>
          <w:trHeight/>
          <w:jc w:val="center"/>
        </w:trPr>
        <w:tc>
          <w:tcPr>
            <w:tcW w:w="9798" w:type="dxa"/>
            <w:gridSpan w:val="2"/>
            <w:vAlign w:val="center"/>
          </w:tcPr>
          <w:p w14:paraId="710C393F" w14:textId="77777777" w:rsidR="00D617A1" w:rsidRDefault="00000000">
            <w:pPr>
              <w:adjustRightInd w:val="0"/>
              <w:snapToGrid w:val="0"/>
              <w:spacing w:beforeLines="50" w:before="156" w:line="360" w:lineRule="auto"/>
              <w:rPr>
                <w:szCs w:val="21"/>
              </w:rPr>
            </w:pPr>
            <w:r>
              <w:rPr>
                <w:rFonts w:hint="eastAsia"/>
                <w:szCs w:val="21"/>
              </w:rPr>
              <w:t>本人已查阅过哪些科研资料及调研情况：</w:t>
            </w:r>
          </w:p>
          <w:p>
            <w:pPr>
              <w:keepNext w:val="0"/>
              <w:widowControl/>
              <w:spacing w:line="312" w:lineRule="auto" w:after="60"/>
              <w:ind w:firstLine="0"/>
              <w:jc w:val="left"/>
            </w:pPr>
            <w:r>
              <w:rPr>
                <w:rFonts w:ascii="Times New Roman" w:hAnsi="Times New Roman" w:eastAsia="宋体"/>
                <w:b w:val="0"/>
                <w:i w:val="0"/>
                <w:color w:val="000000"/>
                <w:sz w:val="24"/>
              </w:rPr>
              <w:t>科研资料：</w:t>
            </w:r>
          </w:p>
          <w:p>
            <w:pPr>
              <w:keepLines/>
              <w:spacing w:line="276" w:lineRule="auto" w:after="40"/>
              <w:ind w:left="420" w:hanging="420"/>
            </w:pPr>
            <w:r>
              <w:rPr>
                <w:rFonts w:ascii="Times New Roman" w:hAnsi="Times New Roman" w:eastAsia="宋体"/>
                <w:b w:val="0"/>
                <w:i w:val="0"/>
                <w:color w:val="000000"/>
                <w:sz w:val="21"/>
              </w:rPr>
              <w:t>[1] BUTHELEZI N M D, MAFEO T P, MATHABA N. Preharvest bagging as an alternative technique for enhancing fruit quality: A review[J]. HortTechnology, 2021, 31(1): 4-13. DOI: 10.21273/HORTTECH04658-20.</w:t>
            </w:r>
          </w:p>
          <w:p>
            <w:pPr>
              <w:keepLines/>
              <w:spacing w:line="276" w:lineRule="auto" w:after="40"/>
              <w:ind w:left="420" w:hanging="420"/>
            </w:pPr>
            <w:r>
              <w:rPr>
                <w:rFonts w:ascii="Times New Roman" w:hAnsi="Times New Roman" w:eastAsia="宋体"/>
                <w:b w:val="0"/>
                <w:i w:val="0"/>
                <w:color w:val="000000"/>
                <w:sz w:val="21"/>
              </w:rPr>
              <w:t>[2] YANG H, GU F, WU F, et al. Production, use and recycling of fruit cultivating bags in China[J]. Sustainability, 2022, 14(21): 14144. DOI: 10.3390/su142114144.</w:t>
            </w:r>
          </w:p>
          <w:p>
            <w:pPr>
              <w:keepLines/>
              <w:spacing w:line="276" w:lineRule="auto" w:after="40"/>
              <w:ind w:left="420" w:hanging="420"/>
            </w:pPr>
            <w:r>
              <w:rPr>
                <w:rFonts w:ascii="Times New Roman" w:hAnsi="Times New Roman" w:eastAsia="宋体"/>
                <w:b w:val="0"/>
                <w:i w:val="0"/>
                <w:color w:val="000000"/>
                <w:sz w:val="21"/>
              </w:rPr>
              <w:t>[3] TENG C, CHEN Z, WU M, et al. Design and simulation of end effector for young-pear-bagging robot[J]. Processes, 2024, 12(2): 259. DOI: 10.3390/pr12020259.</w:t>
            </w:r>
          </w:p>
          <w:p>
            <w:pPr>
              <w:keepLines/>
              <w:spacing w:line="276" w:lineRule="auto" w:after="40"/>
              <w:ind w:left="420" w:hanging="420"/>
            </w:pPr>
            <w:r>
              <w:rPr>
                <w:rFonts w:ascii="Times New Roman" w:hAnsi="Times New Roman" w:eastAsia="宋体"/>
                <w:b w:val="0"/>
                <w:i w:val="0"/>
                <w:color w:val="000000"/>
                <w:sz w:val="21"/>
              </w:rPr>
              <w:t>[4] 易文裕, 郑愈红, 王攀, 等. 手持式幼果连续套袋机研制[J]. 农业工程, 2019, 9(8): 6-9.</w:t>
            </w:r>
          </w:p>
          <w:p>
            <w:pPr>
              <w:keepLines/>
              <w:spacing w:line="276" w:lineRule="auto" w:after="40"/>
              <w:ind w:left="420" w:hanging="420"/>
            </w:pPr>
            <w:r>
              <w:rPr>
                <w:rFonts w:ascii="Times New Roman" w:hAnsi="Times New Roman" w:eastAsia="宋体"/>
                <w:b w:val="0"/>
                <w:i w:val="0"/>
                <w:color w:val="000000"/>
                <w:sz w:val="21"/>
              </w:rPr>
              <w:t>[5] 文祎祥, 呼延鹏飞, 李鹏超, 等. 苹果自动套袋机结构设计[J]. 轻工机械, 2023, 41(1): 85-89. DOI: 10.3969/j.issn.1005-2895.2023.01.014.</w:t>
            </w:r>
          </w:p>
          <w:p>
            <w:pPr>
              <w:keepLines/>
              <w:spacing w:line="276" w:lineRule="auto" w:after="40"/>
              <w:ind w:left="420" w:hanging="420"/>
            </w:pPr>
            <w:r>
              <w:rPr>
                <w:rFonts w:ascii="Times New Roman" w:hAnsi="Times New Roman" w:eastAsia="宋体"/>
                <w:b w:val="0"/>
                <w:i w:val="0"/>
                <w:color w:val="000000"/>
                <w:sz w:val="21"/>
              </w:rPr>
              <w:t>[6] 张凯, 赵丽宁, 孙哲, 等. 葡萄套袋智能机器人系统设计与目标提取[J]. 农业机械学报, 2013, 44(增刊1): 240-246. DOI: 10.6041/j.issn.1000-1298.2013.S1.043.</w:t>
            </w:r>
          </w:p>
          <w:p>
            <w:pPr>
              <w:keepLines/>
              <w:spacing w:line="276" w:lineRule="auto" w:after="40"/>
              <w:ind w:left="420" w:hanging="420"/>
            </w:pPr>
            <w:r>
              <w:rPr>
                <w:rFonts w:ascii="Times New Roman" w:hAnsi="Times New Roman" w:eastAsia="宋体"/>
                <w:b w:val="0"/>
                <w:i w:val="0"/>
                <w:color w:val="000000"/>
                <w:sz w:val="21"/>
              </w:rPr>
              <w:t>[7] GAO H, LIU Y, LI D, et al. Vision localization algorithms for apple bagging robot[C]//Proceedings of the 29th Chinese Control and Decision Conference. 2017: 135-140. DOI: 10.1109/CCDC.2017.7978080.</w:t>
            </w:r>
          </w:p>
          <w:p>
            <w:pPr>
              <w:keepLines/>
              <w:spacing w:line="276" w:lineRule="auto" w:after="40"/>
              <w:ind w:left="420" w:hanging="420"/>
            </w:pPr>
            <w:r>
              <w:rPr>
                <w:rFonts w:ascii="Times New Roman" w:hAnsi="Times New Roman" w:eastAsia="宋体"/>
                <w:b w:val="0"/>
                <w:i w:val="0"/>
                <w:color w:val="000000"/>
                <w:sz w:val="21"/>
              </w:rPr>
              <w:t>[8] WU T H, HSU Y T, LIANG Y L, et al. Development of an automatic agricultural fruit bagging robot[J]. International Journal of iRobotics, 2023, 6(3): 6-12.</w:t>
            </w:r>
          </w:p>
          <w:p>
            <w:pPr>
              <w:keepLines/>
              <w:spacing w:line="276" w:lineRule="auto" w:after="40"/>
              <w:ind w:left="420" w:hanging="420"/>
            </w:pPr>
            <w:r>
              <w:rPr>
                <w:rFonts w:ascii="Times New Roman" w:hAnsi="Times New Roman" w:eastAsia="宋体"/>
                <w:b w:val="0"/>
                <w:i w:val="0"/>
                <w:color w:val="000000"/>
                <w:sz w:val="21"/>
              </w:rPr>
              <w:t>[9] JING R, LIU J, LI X, et al. Design of an intelligent pear bagging end-effector based on Yolov8 and SGBM algorithm[J]. IEEE Access, 2024, 12: 174171-174181. DOI: 10.1109/ACCESS.2024.3479748.</w:t>
            </w:r>
          </w:p>
          <w:p>
            <w:pPr>
              <w:keepLines/>
              <w:spacing w:line="276" w:lineRule="auto" w:after="40"/>
              <w:ind w:left="420" w:hanging="420"/>
            </w:pPr>
            <w:r>
              <w:rPr>
                <w:rFonts w:ascii="Times New Roman" w:hAnsi="Times New Roman" w:eastAsia="宋体"/>
                <w:b w:val="0"/>
                <w:i w:val="0"/>
                <w:color w:val="000000"/>
                <w:sz w:val="21"/>
              </w:rPr>
              <w:t>[10] JIA W, WEI J, ZHANG Q, et al. Accurate segmentation of green fruit based on optimized mask RCNN application in complex orchard[J]. Frontiers in Plant Science, 2022, 13: 955256. DOI: 10.3389/fpls.2022.955256.</w:t>
            </w:r>
          </w:p>
          <w:p>
            <w:pPr>
              <w:keepLines/>
              <w:spacing w:line="276" w:lineRule="auto" w:after="40"/>
              <w:ind w:left="420" w:hanging="420"/>
            </w:pPr>
            <w:r>
              <w:rPr>
                <w:rFonts w:ascii="Times New Roman" w:hAnsi="Times New Roman" w:eastAsia="宋体"/>
                <w:b w:val="0"/>
                <w:i w:val="0"/>
                <w:color w:val="000000"/>
                <w:sz w:val="21"/>
              </w:rPr>
              <w:t>[11] JIA W, LIU J, LU Y, et al. Polar-Net: Green fruit instance segmentation in complex orchard environment[J]. Frontiers in Plant Science, 2022, 13: 1054007. DOI: 10.3389/fpls.2022.1054007.</w:t>
            </w:r>
          </w:p>
          <w:p>
            <w:pPr>
              <w:keepLines/>
              <w:spacing w:line="276" w:lineRule="auto" w:after="40"/>
              <w:ind w:left="420" w:hanging="420"/>
            </w:pPr>
            <w:r>
              <w:rPr>
                <w:rFonts w:ascii="Times New Roman" w:hAnsi="Times New Roman" w:eastAsia="宋体"/>
                <w:b w:val="0"/>
                <w:i w:val="0"/>
                <w:color w:val="000000"/>
                <w:sz w:val="21"/>
              </w:rPr>
              <w:t>[12] 吕强, 林刚, 蒋杰, 等. 基于改进YOLOv5s模型的自然场景中绿色柑橘果实检测[J]. 农业工程学报, 2024, 40(18): 147-154. DOI: 10.11975/j.issn.1002-6819.202404190.</w:t>
            </w:r>
          </w:p>
          <w:p>
            <w:pPr>
              <w:keepLines/>
              <w:spacing w:line="276" w:lineRule="auto" w:after="40"/>
              <w:ind w:left="420" w:hanging="420"/>
            </w:pPr>
            <w:r>
              <w:rPr>
                <w:rFonts w:ascii="Times New Roman" w:hAnsi="Times New Roman" w:eastAsia="宋体"/>
                <w:b w:val="0"/>
                <w:i w:val="0"/>
                <w:color w:val="000000"/>
                <w:sz w:val="21"/>
              </w:rPr>
              <w:t>[13] 刘洁, 王一帆, 马京奥, 等. 基于Roofline理论的YOLOv8橙果识别模型轻量化改进[J]. 农业工程学报, 2025, 41(14): 182-191. DOI: 10.11975/j.issn.1002-6819.202411139.</w:t>
            </w:r>
          </w:p>
          <w:p>
            <w:pPr>
              <w:keepLines/>
              <w:spacing w:line="276" w:lineRule="auto" w:after="40"/>
              <w:ind w:left="420" w:hanging="420"/>
            </w:pPr>
            <w:r>
              <w:rPr>
                <w:rFonts w:ascii="Times New Roman" w:hAnsi="Times New Roman" w:eastAsia="宋体"/>
                <w:b w:val="0"/>
                <w:i w:val="0"/>
                <w:color w:val="000000"/>
                <w:sz w:val="21"/>
              </w:rPr>
              <w:t>[14] LI X, SHI J, WANG C, et al. An improved YOLO11n-Seg method for RGB-based orange fruit instance segmentation toward clean ROI extraction for HSI-assisted observation[J]. AgriEngineering, 2026, 8(5): 198. DOI: 10.3390/agriengineering8050198.</w:t>
            </w:r>
          </w:p>
          <w:p>
            <w:pPr>
              <w:keepLines/>
              <w:spacing w:line="276" w:lineRule="auto" w:after="40"/>
              <w:ind w:left="420" w:hanging="420"/>
            </w:pPr>
            <w:r>
              <w:rPr>
                <w:rFonts w:ascii="Times New Roman" w:hAnsi="Times New Roman" w:eastAsia="宋体"/>
                <w:b w:val="0"/>
                <w:i w:val="0"/>
                <w:color w:val="000000"/>
                <w:sz w:val="21"/>
              </w:rPr>
              <w:t>[15] 梁云, 刘云帆, 林毅申, 等. 级联混合模型引导的实时柑橘采摘点定位方法[J]. 中国图象图形学报, 2024, 29(10): 3130-3143. DOI: 10.11834/jig.230755.</w:t>
            </w:r>
          </w:p>
          <w:p>
            <w:pPr>
              <w:keepLines/>
              <w:spacing w:line="276" w:lineRule="auto" w:after="40"/>
              <w:ind w:left="420" w:hanging="420"/>
            </w:pPr>
            <w:r>
              <w:rPr>
                <w:rFonts w:ascii="Times New Roman" w:hAnsi="Times New Roman" w:eastAsia="宋体"/>
                <w:b w:val="0"/>
                <w:i w:val="0"/>
                <w:color w:val="000000"/>
                <w:sz w:val="21"/>
              </w:rPr>
              <w:t>[16] LIANG Y, JIANG W, LIU Y, et al. Picking-point localization algorithm for citrus fruits based on improved YOLOv8 model[J]. Agriculture, 2025, 15(3): 237. DOI: 10.3390/agriculture15030237.</w:t>
            </w:r>
          </w:p>
          <w:p>
            <w:pPr>
              <w:keepLines/>
              <w:spacing w:line="276" w:lineRule="auto" w:after="40"/>
              <w:ind w:left="420" w:hanging="420"/>
            </w:pPr>
            <w:r>
              <w:rPr>
                <w:rFonts w:ascii="Times New Roman" w:hAnsi="Times New Roman" w:eastAsia="宋体"/>
                <w:b w:val="0"/>
                <w:i w:val="0"/>
                <w:color w:val="000000"/>
                <w:sz w:val="21"/>
              </w:rPr>
              <w:t>[17] LI H, YIN Z, ZUO Z, et al. Precision citrus segmentation and stem picking point localization using improved YOLOv8n-seg algorithm[J]. Frontiers in Plant Science, 2025, 16: 1655093. DOI: 10.3389/fpls.2025.1655093.</w:t>
            </w:r>
          </w:p>
          <w:p>
            <w:pPr>
              <w:keepLines/>
              <w:spacing w:line="276" w:lineRule="auto" w:after="40"/>
              <w:ind w:left="420" w:hanging="420"/>
            </w:pPr>
            <w:r>
              <w:rPr>
                <w:rFonts w:ascii="Times New Roman" w:hAnsi="Times New Roman" w:eastAsia="宋体"/>
                <w:b w:val="0"/>
                <w:i w:val="0"/>
                <w:color w:val="000000"/>
                <w:sz w:val="21"/>
              </w:rPr>
              <w:t>[18] YE L, MA J, LV Y, et al. The YOLO-OBB-based approach for citrus fruit stem pose estimation and robot picking[J]. Agriculture, 2025, 15(22): 2330. DOI: 10.3390/agriculture15222330.</w:t>
            </w:r>
          </w:p>
          <w:p>
            <w:pPr>
              <w:keepLines/>
              <w:spacing w:line="276" w:lineRule="auto" w:after="40"/>
              <w:ind w:left="420" w:hanging="420"/>
            </w:pPr>
            <w:r>
              <w:rPr>
                <w:rFonts w:ascii="Times New Roman" w:hAnsi="Times New Roman" w:eastAsia="宋体"/>
                <w:b w:val="0"/>
                <w:i w:val="0"/>
                <w:color w:val="000000"/>
                <w:sz w:val="21"/>
              </w:rPr>
              <w:t>[19] ZHUANG Y, ZHU J, LUO Z, et al. TSP-Net: A structure-aware and geometry-constrained network for cherry-tomato truss detection and picking-point localization in greenhouse harvesting[J]. Horticulturae, 2026, 12(9): 1099. DOI: 10.3390/horticulturae12091099.</w:t>
            </w:r>
          </w:p>
          <w:p>
            <w:pPr>
              <w:keepLines/>
              <w:spacing w:line="276" w:lineRule="auto" w:after="40"/>
              <w:ind w:left="420" w:hanging="420"/>
            </w:pPr>
            <w:r>
              <w:rPr>
                <w:rFonts w:ascii="Times New Roman" w:hAnsi="Times New Roman" w:eastAsia="宋体"/>
                <w:b w:val="0"/>
                <w:i w:val="0"/>
                <w:color w:val="000000"/>
                <w:sz w:val="21"/>
              </w:rPr>
              <w:t>[20] MONTA M, KONDO N, SHIBANO Y. Agricultural robot in grape production system[C]//Proceedings of the IEEE International Conference on Robotics and Automation. 1995, 3: 2504-2509. DOI: 10.1109/ROBOT.1995.525635.</w:t>
            </w:r>
          </w:p>
          <w:p>
            <w:pPr>
              <w:keepLines/>
              <w:spacing w:line="276" w:lineRule="auto" w:after="40"/>
              <w:ind w:left="420" w:hanging="420"/>
            </w:pPr>
            <w:r>
              <w:rPr>
                <w:rFonts w:ascii="Times New Roman" w:hAnsi="Times New Roman" w:eastAsia="宋体"/>
                <w:b w:val="0"/>
                <w:i w:val="0"/>
                <w:color w:val="000000"/>
                <w:sz w:val="21"/>
              </w:rPr>
              <w:t>[21] SA I, GE Z, DAYOUB F, et al. DeepFruits: A fruit detection system using deep neural networks[J]. Sensors, 2016, 16(8): 1222. DOI: 10.3390/s16081222.</w:t>
            </w:r>
          </w:p>
          <w:p>
            <w:pPr>
              <w:keepLines/>
              <w:spacing w:line="276" w:lineRule="auto" w:after="40"/>
              <w:ind w:left="420" w:hanging="420"/>
            </w:pPr>
            <w:r>
              <w:rPr>
                <w:rFonts w:ascii="Times New Roman" w:hAnsi="Times New Roman" w:eastAsia="宋体"/>
                <w:b w:val="0"/>
                <w:i w:val="0"/>
                <w:color w:val="000000"/>
                <w:sz w:val="21"/>
              </w:rPr>
              <w:t>[22] BARGOTI S, UNDERWOOD J. Deep fruit detection in orchards[C]//Proceedings of the IEEE International Conference on Robotics and Automation. 2017: 3626-3633. DOI: 10.1109/ICRA.2017.7989417.</w:t>
            </w:r>
          </w:p>
          <w:p>
            <w:pPr>
              <w:keepLines/>
              <w:spacing w:line="276" w:lineRule="auto" w:after="40"/>
              <w:ind w:left="420" w:hanging="420"/>
            </w:pPr>
            <w:r>
              <w:rPr>
                <w:rFonts w:ascii="Times New Roman" w:hAnsi="Times New Roman" w:eastAsia="宋体"/>
                <w:b w:val="0"/>
                <w:i w:val="0"/>
                <w:color w:val="000000"/>
                <w:sz w:val="21"/>
              </w:rPr>
              <w:t>[23] BRESILLA K, PERULLI G D, BOINI A, et al. Single-shot convolution neural networks for real-time fruit detection within the tree[J]. Frontiers in Plant Science, 2019, 10: 611. DOI: 10.3389/fpls.2019.00611.</w:t>
            </w:r>
          </w:p>
          <w:p>
            <w:pPr>
              <w:keepLines/>
              <w:spacing w:line="276" w:lineRule="auto" w:after="40"/>
              <w:ind w:left="420" w:hanging="420"/>
            </w:pPr>
            <w:r>
              <w:rPr>
                <w:rFonts w:ascii="Times New Roman" w:hAnsi="Times New Roman" w:eastAsia="宋体"/>
                <w:b w:val="0"/>
                <w:i w:val="0"/>
                <w:color w:val="000000"/>
                <w:sz w:val="21"/>
              </w:rPr>
              <w:t>[24] HÄNI N, ROY P, ISLER V. MinneApple: A benchmark dataset for apple detection and segmentation[J]. IEEE Robotics and Automation Letters, 2020, 5(2): 852-858. DOI: 10.1109/LRA.2020.2965061.</w:t>
            </w:r>
          </w:p>
          <w:p>
            <w:pPr>
              <w:keepLines/>
              <w:spacing w:line="276" w:lineRule="auto" w:after="40"/>
              <w:ind w:left="420" w:hanging="420"/>
            </w:pPr>
            <w:r>
              <w:rPr>
                <w:rFonts w:ascii="Times New Roman" w:hAnsi="Times New Roman" w:eastAsia="宋体"/>
                <w:b w:val="0"/>
                <w:i w:val="0"/>
                <w:color w:val="000000"/>
                <w:sz w:val="21"/>
              </w:rPr>
              <w:t>[25] SAPKOTA R, KARKEE M. Comparing YOLOv11 and YOLOv8 for instance segmentation of occluded and non-occluded immature green fruits in complex orchard environment[EB/OL]. arXiv:2410.19869v4, 2024, revised 2026[2026-09-30]. https://arxiv.org/abs/2410.19869v4.</w:t>
            </w:r>
          </w:p>
          <w:p>
            <w:pPr>
              <w:keepLines/>
              <w:spacing w:line="276" w:lineRule="auto" w:after="40"/>
              <w:ind w:left="420" w:hanging="420"/>
            </w:pPr>
            <w:r>
              <w:rPr>
                <w:rFonts w:ascii="Times New Roman" w:hAnsi="Times New Roman" w:eastAsia="宋体"/>
                <w:b w:val="0"/>
                <w:i w:val="0"/>
                <w:color w:val="000000"/>
                <w:sz w:val="21"/>
              </w:rPr>
              <w:t>[26] RONNEBERGER O, FISCHER P, BROX T. U-Net: Convolutional networks for biomedical image segmentation[C]//Medical Image Computing and Computer-Assisted Intervention. 2015: 234-241.</w:t>
            </w:r>
          </w:p>
          <w:p>
            <w:pPr>
              <w:keepLines/>
              <w:spacing w:line="276" w:lineRule="auto" w:after="40"/>
              <w:ind w:left="420" w:hanging="420"/>
            </w:pPr>
            <w:r>
              <w:rPr>
                <w:rFonts w:ascii="Times New Roman" w:hAnsi="Times New Roman" w:eastAsia="宋体"/>
                <w:b w:val="0"/>
                <w:i w:val="0"/>
                <w:color w:val="000000"/>
                <w:sz w:val="21"/>
              </w:rPr>
              <w:t>[27] HE K, GKIOXARI G, DOLLÁR P, et al. Mask R-CNN[C]//Proceedings of the IEEE International Conference on Computer Vision. 2017: 2961-2969.</w:t>
            </w:r>
          </w:p>
          <w:p>
            <w:pPr>
              <w:keepLines/>
              <w:spacing w:line="276" w:lineRule="auto" w:after="40"/>
              <w:ind w:left="420" w:hanging="420"/>
            </w:pPr>
            <w:r>
              <w:rPr>
                <w:rFonts w:ascii="Times New Roman" w:hAnsi="Times New Roman" w:eastAsia="宋体"/>
                <w:b w:val="0"/>
                <w:i w:val="0"/>
                <w:color w:val="000000"/>
                <w:sz w:val="21"/>
              </w:rPr>
              <w:t>[28] LIN T Y, DOLLÁR P, GIRSHICK R, et al. Feature pyramid networks for object detection[C]//Proceedings of the IEEE Conference on Computer Vision and Pattern Recognition. 2017: 2117-2125.</w:t>
            </w:r>
          </w:p>
          <w:p>
            <w:pPr>
              <w:keepLines/>
              <w:spacing w:line="276" w:lineRule="auto" w:after="40"/>
              <w:ind w:left="420" w:hanging="420"/>
            </w:pPr>
            <w:r>
              <w:rPr>
                <w:rFonts w:ascii="Times New Roman" w:hAnsi="Times New Roman" w:eastAsia="宋体"/>
                <w:b w:val="0"/>
                <w:i w:val="0"/>
                <w:color w:val="000000"/>
                <w:sz w:val="21"/>
              </w:rPr>
              <w:t>[29] BOLYA D, ZHOU C, XIAO F, et al. YOLACT: Real-time instance segmentation[C]//Proceedings of the IEEE/CVF International Conference on Computer Vision. 2019: 9157-9166.</w:t>
            </w:r>
          </w:p>
          <w:p>
            <w:pPr>
              <w:keepLines/>
              <w:spacing w:line="276" w:lineRule="auto" w:after="40"/>
              <w:ind w:left="420" w:hanging="420"/>
            </w:pPr>
            <w:r>
              <w:rPr>
                <w:rFonts w:ascii="Times New Roman" w:hAnsi="Times New Roman" w:eastAsia="宋体"/>
                <w:b w:val="0"/>
                <w:i w:val="0"/>
                <w:color w:val="000000"/>
                <w:sz w:val="21"/>
              </w:rPr>
              <w:t>[30] WANG X, ZHANG R, KONG T, et al. SOLOv2: Dynamic and fast instance segmentation[C]//Advances in Neural Information Processing Systems 33. 2020: 17721-17732.</w:t>
            </w:r>
          </w:p>
          <w:p>
            <w:pPr>
              <w:keepLines/>
              <w:spacing w:line="276" w:lineRule="auto" w:after="40"/>
              <w:ind w:left="420" w:hanging="420"/>
            </w:pPr>
            <w:r>
              <w:rPr>
                <w:rFonts w:ascii="Times New Roman" w:hAnsi="Times New Roman" w:eastAsia="宋体"/>
                <w:b w:val="0"/>
                <w:i w:val="0"/>
                <w:color w:val="000000"/>
                <w:sz w:val="21"/>
              </w:rPr>
              <w:t>[31] KIRILLOV A, WU Y, HE K, et al. PointRend: Image segmentation as rendering[C]//Proceedings of the IEEE/CVF Conference on Computer Vision and Pattern Recognition. 2020: 9799-9808.</w:t>
            </w:r>
          </w:p>
          <w:p>
            <w:pPr>
              <w:keepLines/>
              <w:spacing w:line="276" w:lineRule="auto" w:after="40"/>
              <w:ind w:left="420" w:hanging="420"/>
            </w:pPr>
            <w:r>
              <w:rPr>
                <w:rFonts w:ascii="Times New Roman" w:hAnsi="Times New Roman" w:eastAsia="宋体"/>
                <w:b w:val="0"/>
                <w:i w:val="0"/>
                <w:color w:val="000000"/>
                <w:sz w:val="21"/>
              </w:rPr>
              <w:t>[32] CHENG B, GIRSHICK R, DOLLÁR P, et al. Boundary IoU: Improving object-centric image segmentation evaluation[C]//Proceedings of the IEEE/CVF Conference on Computer Vision and Pattern Recognition. 2021: 15334-15342.</w:t>
            </w:r>
          </w:p>
          <w:p>
            <w:pPr>
              <w:keepLines/>
              <w:spacing w:line="276" w:lineRule="auto" w:after="40"/>
              <w:ind w:left="420" w:hanging="420"/>
            </w:pPr>
            <w:r>
              <w:rPr>
                <w:rFonts w:ascii="Times New Roman" w:hAnsi="Times New Roman" w:eastAsia="宋体"/>
                <w:b w:val="0"/>
                <w:i w:val="0"/>
                <w:color w:val="000000"/>
                <w:sz w:val="21"/>
              </w:rPr>
              <w:t>[33] AKYON F C, ALTINUC S O, TEMIZEL A. Slicing aided hyper inference and fine-tuning for small object detection[C]//Proceedings of the IEEE International Conference on Image Processing. 2022: 966-970.</w:t>
            </w:r>
          </w:p>
          <w:p>
            <w:pPr>
              <w:keepLines/>
              <w:spacing w:line="276" w:lineRule="auto" w:after="40"/>
              <w:ind w:left="420" w:hanging="420"/>
            </w:pPr>
            <w:r>
              <w:rPr>
                <w:rFonts w:ascii="Times New Roman" w:hAnsi="Times New Roman" w:eastAsia="宋体"/>
                <w:b w:val="0"/>
                <w:i w:val="0"/>
                <w:color w:val="000000"/>
                <w:sz w:val="21"/>
              </w:rPr>
              <w:t>[34] YANG C, HUANG Z, WANG N. QueryDet: Cascaded sparse query for accelerating high-resolution small object detection[C]//Proceedings of the IEEE/CVF Conference on Computer Vision and Pattern Recognition. 2022: 13668-13677.</w:t>
            </w:r>
          </w:p>
          <w:p>
            <w:pPr>
              <w:keepLines/>
              <w:spacing w:line="276" w:lineRule="auto" w:after="40"/>
              <w:ind w:left="420" w:hanging="420"/>
            </w:pPr>
            <w:r>
              <w:rPr>
                <w:rFonts w:ascii="Times New Roman" w:hAnsi="Times New Roman" w:eastAsia="宋体"/>
                <w:b w:val="0"/>
                <w:i w:val="0"/>
                <w:color w:val="000000"/>
                <w:sz w:val="21"/>
              </w:rPr>
              <w:t>[35] BOLYA D, FOLEY S, HAYS J, et al. TIDE: A general toolbox for identifying object detection errors[C]//European Conference on Computer Vision. 2020: 558-573.</w:t>
            </w:r>
          </w:p>
          <w:p>
            <w:pPr>
              <w:keepLines/>
              <w:spacing w:line="276" w:lineRule="auto" w:after="40"/>
              <w:ind w:left="420" w:hanging="420"/>
            </w:pPr>
            <w:r>
              <w:rPr>
                <w:rFonts w:ascii="Times New Roman" w:hAnsi="Times New Roman" w:eastAsia="宋体"/>
                <w:b w:val="0"/>
                <w:i w:val="0"/>
                <w:color w:val="000000"/>
                <w:sz w:val="21"/>
              </w:rPr>
              <w:t>[36] LYU C, ZHANG W, HUANG H, et al. RTMDet: An empirical study of designing real-time object detectors[EB/OL]. arXiv:2212.07784, 2022[2026-09-30]. https://arxiv.org/abs/2212.07784.</w:t>
            </w:r>
          </w:p>
          <w:p>
            <w:pPr>
              <w:keepLines/>
              <w:spacing w:line="276" w:lineRule="auto" w:after="40"/>
              <w:ind w:left="420" w:hanging="420"/>
            </w:pPr>
            <w:r>
              <w:rPr>
                <w:rFonts w:ascii="Times New Roman" w:hAnsi="Times New Roman" w:eastAsia="宋体"/>
                <w:b w:val="0"/>
                <w:i w:val="0"/>
                <w:color w:val="000000"/>
                <w:sz w:val="21"/>
              </w:rPr>
              <w:t>[37] CHENG T, WANG X, CHEN S, et al. Sparse instance activation for real-time instance segmentation[C]//Proceedings of the IEEE/CVF Conference on Computer Vision and Pattern Recognition. 2022: 4433-4442.</w:t>
            </w:r>
          </w:p>
          <w:p>
            <w:pPr>
              <w:keepLines/>
              <w:spacing w:line="276" w:lineRule="auto" w:after="40"/>
              <w:ind w:left="420" w:hanging="420"/>
            </w:pPr>
            <w:r>
              <w:rPr>
                <w:rFonts w:ascii="Times New Roman" w:hAnsi="Times New Roman" w:eastAsia="宋体"/>
                <w:b w:val="0"/>
                <w:i w:val="0"/>
                <w:color w:val="000000"/>
                <w:sz w:val="21"/>
              </w:rPr>
              <w:t>[38] HE J, LI P, GENG Y, et al. FastInst: A simple query-based model for real-time instance segmentation[C]//Proceedings of the IEEE/CVF Conference on Computer Vision and Pattern Recognition. 2023: 23663-23672.</w:t>
            </w:r>
          </w:p>
          <w:p>
            <w:pPr>
              <w:keepLines/>
              <w:spacing w:line="276" w:lineRule="auto" w:after="40"/>
              <w:ind w:left="420" w:hanging="420"/>
            </w:pPr>
            <w:r>
              <w:rPr>
                <w:rFonts w:ascii="Times New Roman" w:hAnsi="Times New Roman" w:eastAsia="宋体"/>
                <w:b w:val="0"/>
                <w:i w:val="0"/>
                <w:color w:val="000000"/>
                <w:sz w:val="21"/>
              </w:rPr>
              <w:t>[39] CHENG B, MISRA I, SCHWING A G, et al. Masked-attention mask transformer for universal image segmentation[C]//Proceedings of the IEEE/CVF Conference on Computer Vision and Pattern Recognition. 2022: 1290-1299.</w:t>
            </w:r>
          </w:p>
          <w:p>
            <w:pPr>
              <w:keepLines/>
              <w:spacing w:line="276" w:lineRule="auto" w:after="40"/>
              <w:ind w:left="420" w:hanging="420"/>
            </w:pPr>
            <w:r>
              <w:rPr>
                <w:rFonts w:ascii="Times New Roman" w:hAnsi="Times New Roman" w:eastAsia="宋体"/>
                <w:b w:val="0"/>
                <w:i w:val="0"/>
                <w:color w:val="000000"/>
                <w:sz w:val="21"/>
              </w:rPr>
              <w:t>[40] ROBINSON I, ROBICHEAUX P, POPOV M, et al. RF-DETR: Neural architecture search for real-time detection transformers[EB/OL]. arXiv:2511.09554v2, 2025, revised 2026[2026-09-30]. https://arxiv.org/abs/2511.09554v2.</w:t>
            </w:r>
          </w:p>
          <w:p>
            <w:pPr>
              <w:keepLines/>
              <w:spacing w:line="276" w:lineRule="auto" w:after="40"/>
              <w:ind w:left="420" w:hanging="420"/>
            </w:pPr>
            <w:r>
              <w:rPr>
                <w:rFonts w:ascii="Times New Roman" w:hAnsi="Times New Roman" w:eastAsia="宋体"/>
                <w:b w:val="0"/>
                <w:i w:val="0"/>
                <w:color w:val="000000"/>
                <w:sz w:val="21"/>
              </w:rPr>
              <w:t>[41] SUN K, XIAO B, LIU D, et al. Deep high-resolution representation learning for human pose estimation[C]//Proceedings of the IEEE/CVF Conference on Computer Vision and Pattern Recognition. 2019: 5693-5703.</w:t>
            </w:r>
          </w:p>
          <w:p>
            <w:pPr>
              <w:keepLines/>
              <w:spacing w:line="276" w:lineRule="auto" w:after="40"/>
              <w:ind w:left="420" w:hanging="420"/>
            </w:pPr>
            <w:r>
              <w:rPr>
                <w:rFonts w:ascii="Times New Roman" w:hAnsi="Times New Roman" w:eastAsia="宋体"/>
                <w:b w:val="0"/>
                <w:i w:val="0"/>
                <w:color w:val="000000"/>
                <w:sz w:val="21"/>
              </w:rPr>
              <w:t>[42] LI Y, YANG S, LIU P, et al. SimCC: A simple coordinate classification perspective for human pose estimation[C]//European Conference on Computer Vision. 2022: 89-106.</w:t>
            </w:r>
          </w:p>
          <w:p>
            <w:pPr>
              <w:keepLines/>
              <w:spacing w:line="276" w:lineRule="auto" w:after="40"/>
              <w:ind w:left="420" w:hanging="420"/>
            </w:pPr>
            <w:r>
              <w:rPr>
                <w:rFonts w:ascii="Times New Roman" w:hAnsi="Times New Roman" w:eastAsia="宋体"/>
                <w:b w:val="0"/>
                <w:i w:val="0"/>
                <w:color w:val="000000"/>
                <w:sz w:val="21"/>
              </w:rPr>
              <w:t>[43] JIANG T, LU P, ZHANG L, et al. RTMPose: Real-time multi-person pose estimation based on MMPose[EB/OL]. arXiv:2303.07399, 2023[2026-09-30]. https://arxiv.org/abs/2303.07399.</w:t>
            </w:r>
          </w:p>
          <w:p>
            <w:pPr>
              <w:keepLines/>
              <w:spacing w:line="276" w:lineRule="auto" w:after="40"/>
              <w:ind w:left="420" w:hanging="420"/>
            </w:pPr>
            <w:r>
              <w:rPr>
                <w:rFonts w:ascii="Times New Roman" w:hAnsi="Times New Roman" w:eastAsia="宋体"/>
                <w:b w:val="0"/>
                <w:i w:val="0"/>
                <w:color w:val="000000"/>
                <w:sz w:val="21"/>
              </w:rPr>
              <w:t>[44] YU C, XIAO B, GAO C, et al. Lite-HRNet: A lightweight high-resolution network[C]//Proceedings of the IEEE/CVF Conference on Computer Vision and Pattern Recognition. 2021: 10440-10450.</w:t>
            </w:r>
          </w:p>
          <w:p>
            <w:pPr>
              <w:keepLines/>
              <w:spacing w:line="276" w:lineRule="auto" w:after="40"/>
              <w:ind w:left="420" w:hanging="420"/>
            </w:pPr>
            <w:r>
              <w:rPr>
                <w:rFonts w:ascii="Times New Roman" w:hAnsi="Times New Roman" w:eastAsia="宋体"/>
                <w:b w:val="0"/>
                <w:i w:val="0"/>
                <w:color w:val="000000"/>
                <w:sz w:val="21"/>
              </w:rPr>
              <w:t>[45] JOCHER G, CHAURASIA A, QIU J. Ultralytics YOLO[CP/OL]. 2023[2026-09-30]. https://github.com/ultralytics/ultralytics.</w:t>
            </w:r>
          </w:p>
          <w:p>
            <w:pPr>
              <w:keepLines/>
              <w:spacing w:line="276" w:lineRule="auto" w:after="40"/>
              <w:ind w:left="420" w:hanging="420"/>
            </w:pPr>
            <w:r>
              <w:rPr>
                <w:rFonts w:ascii="Times New Roman" w:hAnsi="Times New Roman" w:eastAsia="宋体"/>
                <w:b w:val="0"/>
                <w:i w:val="0"/>
                <w:color w:val="000000"/>
                <w:sz w:val="21"/>
              </w:rPr>
              <w:t>[46] SHI J, CHEN G, CHEN Y. Enhanced boundary perception and streamlined instance segmentation[J]. Scientific Reports, 2025, 15: 23612. DOI: 10.1038/s41598-025-09139-z.</w:t>
            </w:r>
          </w:p>
          <w:p>
            <w:pPr>
              <w:keepNext w:val="0"/>
              <w:widowControl/>
              <w:spacing w:line="312" w:lineRule="auto" w:after="60"/>
              <w:ind w:firstLine="0"/>
              <w:jc w:val="left"/>
            </w:pPr>
            <w:r>
              <w:rPr>
                <w:rFonts w:ascii="Times New Roman" w:hAnsi="Times New Roman" w:eastAsia="宋体"/>
                <w:b w:val="0"/>
                <w:i w:val="0"/>
                <w:color w:val="000000"/>
                <w:sz w:val="24"/>
              </w:rPr>
              <w:t>调研情况：</w:t>
            </w:r>
          </w:p>
          <w:p>
            <w:pPr>
              <w:keepNext/>
              <w:keepLines/>
              <w:spacing w:line="312" w:lineRule="auto" w:before="100" w:after="100"/>
              <w:ind w:firstLine="0"/>
              <w:jc w:val="left"/>
            </w:pPr>
            <w:r>
              <w:rPr>
                <w:rFonts w:ascii="Times New Roman" w:hAnsi="Times New Roman" w:eastAsia="宋体"/>
                <w:b/>
                <w:i w:val="0"/>
                <w:color w:val="000000"/>
                <w:sz w:val="24"/>
              </w:rPr>
              <w:t>一 套袋的作用与人工机械作业的差别</w:t>
            </w:r>
          </w:p>
          <w:p>
            <w:pPr>
              <w:keepNext w:val="0"/>
              <w:widowControl/>
              <w:spacing w:line="312" w:lineRule="auto" w:after="60"/>
              <w:ind w:firstLine="480"/>
              <w:jc w:val="both"/>
            </w:pPr>
            <w:r>
              <w:rPr>
                <w:rFonts w:ascii="Times New Roman" w:hAnsi="Times New Roman" w:eastAsia="宋体"/>
                <w:b w:val="0"/>
                <w:i w:val="0"/>
                <w:color w:val="000000"/>
                <w:sz w:val="24"/>
              </w:rPr>
              <w:t>果实套袋是在生长期间用果袋保护果面的栽培措施。果袋能减少果实与部分病虫、污染物及外界机械摩擦的直接接触，并改变果面附近的光照与微环境，是部分果树改善外观品质的管理手段</w:t>
            </w:r>
            <w:r>
              <w:rPr>
                <w:rFonts w:ascii="Times New Roman" w:hAnsi="Times New Roman" w:eastAsia="宋体"/>
                <w:b w:val="0"/>
                <w:i w:val="0"/>
                <w:color w:val="000000"/>
                <w:sz w:val="19"/>
                <w:vertAlign w:val="superscript"/>
              </w:rPr>
              <w:t>[1,2]</w:t>
            </w:r>
            <w:r>
              <w:rPr>
                <w:rFonts w:ascii="Times New Roman" w:hAnsi="Times New Roman" w:eastAsia="宋体"/>
                <w:b w:val="0"/>
                <w:i w:val="0"/>
                <w:color w:val="000000"/>
                <w:sz w:val="24"/>
              </w:rPr>
              <w:t>。实际效果受品种、袋材、气候和套袋时期影响。本课题关注有套袋需求的柑橘果园，不把套袋理解为适用于所有柑橘品种的统一措施。</w:t>
            </w:r>
          </w:p>
          <w:p>
            <w:pPr>
              <w:keepNext w:val="0"/>
              <w:widowControl/>
              <w:spacing w:line="312" w:lineRule="auto" w:after="60"/>
              <w:ind w:firstLine="480"/>
              <w:jc w:val="both"/>
            </w:pPr>
            <w:r>
              <w:rPr>
                <w:rFonts w:ascii="Times New Roman" w:hAnsi="Times New Roman" w:eastAsia="宋体"/>
                <w:b w:val="0"/>
                <w:i w:val="0"/>
                <w:color w:val="000000"/>
                <w:sz w:val="24"/>
              </w:rPr>
              <w:t>人工套袋时，作业者要在枝叶中选果，取袋、撑袋，使果实进入袋内，再收拢固定袋口。同一套动作要逐果重复，人在其中同时承担了目标识别、对准和机构操作。机械辅助可以把送袋、撑袋与封口接成连续动作，减少重复操作；进一步自动化时，装置还必须知道要套哪颗果、果体在哪里、袋口附近有没有可辨认的果梗。易文裕等的手持装置和已有梨、苹果套袋机构说明机械动作已有实现基础，但人工辅助与自主作业之间仍存在目标感知和对准的差别</w:t>
            </w:r>
            <w:r>
              <w:rPr>
                <w:rFonts w:ascii="Times New Roman" w:hAnsi="Times New Roman" w:eastAsia="宋体"/>
                <w:b w:val="0"/>
                <w:i w:val="0"/>
                <w:color w:val="000000"/>
                <w:sz w:val="19"/>
                <w:vertAlign w:val="superscript"/>
              </w:rPr>
              <w:t>[3-5]</w:t>
            </w:r>
            <w:r>
              <w:rPr>
                <w:rFonts w:ascii="Times New Roman" w:hAnsi="Times New Roman" w:eastAsia="宋体"/>
                <w:b w:val="0"/>
                <w:i w:val="0"/>
                <w:color w:val="000000"/>
                <w:sz w:val="24"/>
              </w:rPr>
              <w:t>。</w:t>
            </w:r>
          </w:p>
          <w:p>
            <w:pPr>
              <w:keepNext/>
              <w:keepLines/>
              <w:spacing w:line="312" w:lineRule="auto" w:before="100" w:after="100"/>
              <w:ind w:firstLine="0"/>
              <w:jc w:val="left"/>
            </w:pPr>
            <w:r>
              <w:rPr>
                <w:rFonts w:ascii="Times New Roman" w:hAnsi="Times New Roman" w:eastAsia="宋体"/>
                <w:b/>
                <w:i w:val="0"/>
                <w:color w:val="000000"/>
                <w:sz w:val="24"/>
              </w:rPr>
              <w:t>二 选择柑橘作为研究对象的理由</w:t>
            </w:r>
          </w:p>
          <w:p>
            <w:pPr>
              <w:keepNext w:val="0"/>
              <w:widowControl/>
              <w:spacing w:line="312" w:lineRule="auto" w:after="60"/>
              <w:ind w:firstLine="480"/>
              <w:jc w:val="both"/>
            </w:pPr>
            <w:r>
              <w:rPr>
                <w:rFonts w:ascii="Times New Roman" w:hAnsi="Times New Roman" w:eastAsia="宋体"/>
                <w:b w:val="0"/>
                <w:i w:val="0"/>
                <w:color w:val="000000"/>
                <w:sz w:val="24"/>
              </w:rPr>
              <w:t>选择柑橘，一方面是因为柑橘已有套袋应用，可把研究与具体的果园管理需求联系起来</w:t>
            </w:r>
            <w:r>
              <w:rPr>
                <w:rFonts w:ascii="Times New Roman" w:hAnsi="Times New Roman" w:eastAsia="宋体"/>
                <w:b w:val="0"/>
                <w:i w:val="0"/>
                <w:color w:val="000000"/>
                <w:sz w:val="19"/>
                <w:vertAlign w:val="superscript"/>
              </w:rPr>
              <w:t>[2]</w:t>
            </w:r>
            <w:r>
              <w:rPr>
                <w:rFonts w:ascii="Times New Roman" w:hAnsi="Times New Roman" w:eastAsia="宋体"/>
                <w:b w:val="0"/>
                <w:i w:val="0"/>
                <w:color w:val="000000"/>
                <w:sz w:val="24"/>
              </w:rPr>
              <w:t>；另一方面，已有未成熟柑橘RGB图像及实例标注，能够开展有数据依据的方法研究。更重要的是，绿色幼果和叶片近色，常伴随细枝遮挡、果实贴邻及远近尺度差异，能集中体现机械套袋前端视觉中的几个关键问题。研究并不以“柑橘套袋需求最大”为前提，而是从已有数据和可明确评价的作业信息出发。</w:t>
            </w:r>
          </w:p>
          <w:p>
            <w:pPr>
              <w:keepNext w:val="0"/>
              <w:widowControl/>
              <w:spacing w:line="312" w:lineRule="auto" w:after="60"/>
              <w:ind w:firstLine="480"/>
              <w:jc w:val="both"/>
            </w:pPr>
            <w:r>
              <w:rPr>
                <w:rFonts w:ascii="Times New Roman" w:hAnsi="Times New Roman" w:eastAsia="宋体"/>
                <w:b w:val="0"/>
                <w:i w:val="0"/>
                <w:color w:val="000000"/>
                <w:sz w:val="24"/>
              </w:rPr>
              <w:t>本课题拟在后续补采中记录品种、采集日期、果径及农艺人员确认的作业阶段，检查现有图像与目标套袋时期是否一致。仅凭果皮为绿色不能认定果实适合套袋；若数据与拟应用时期不匹配，将补采相应批次并单独记录。图1给出现有相机图像及人工可见实例标注，展示研究所面对的自然冠层条件。</w:t>
            </w:r>
          </w:p>
          <w:p>
            <w:pPr>
              <w:keepNext/>
              <w:keepLines/>
              <w:spacing w:before="120" w:after="40" w:line="240" w:lineRule="auto"/>
              <w:ind w:firstLine="0"/>
              <w:jc w:val="center"/>
            </w:pPr>
            <w:r>
              <w:drawing>
                <wp:inline xmlns:a="http://schemas.openxmlformats.org/drawingml/2006/main" xmlns:pic="http://schemas.openxmlformats.org/drawingml/2006/picture">
                  <wp:extent cx="5184000" cy="2232000"/>
                  <wp:docPr id="2133873087" name="Picture 2133873087"/>
                  <wp:cNvGraphicFramePr>
                    <a:graphicFrameLocks noChangeAspect="1"/>
                  </wp:cNvGraphicFramePr>
                  <a:graphic>
                    <a:graphicData uri="http://schemas.openxmlformats.org/drawingml/2006/picture">
                      <pic:pic>
                        <pic:nvPicPr>
                          <pic:cNvPr id="0" name="fig02_samples.png"/>
                          <pic:cNvPicPr/>
                        </pic:nvPicPr>
                        <pic:blipFill>
                          <a:blip r:embed="rId85"/>
                          <a:stretch>
                            <a:fillRect/>
                          </a:stretch>
                        </pic:blipFill>
                        <pic:spPr>
                          <a:xfrm>
                            <a:off x="0" y="0"/>
                            <a:ext cx="5184000" cy="2232000"/>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 现有未成熟柑橘场景及人工可见实例标注 用于说明数据条件</w:t>
            </w:r>
          </w:p>
          <w:p>
            <w:pPr>
              <w:keepNext/>
              <w:keepLines/>
              <w:spacing w:line="312" w:lineRule="auto" w:before="100" w:after="100"/>
              <w:ind w:firstLine="0"/>
              <w:jc w:val="left"/>
            </w:pPr>
            <w:r>
              <w:rPr>
                <w:rFonts w:ascii="Times New Roman" w:hAnsi="Times New Roman" w:eastAsia="宋体"/>
                <w:b/>
                <w:i w:val="0"/>
                <w:color w:val="000000"/>
                <w:sz w:val="24"/>
              </w:rPr>
              <w:t>三 柑橘套袋的视觉难点与任务选择</w:t>
            </w:r>
          </w:p>
          <w:p>
            <w:pPr>
              <w:keepNext w:val="0"/>
              <w:widowControl/>
              <w:spacing w:line="312" w:lineRule="auto" w:after="60"/>
              <w:ind w:firstLine="480"/>
              <w:jc w:val="both"/>
            </w:pPr>
            <w:r>
              <w:rPr>
                <w:rFonts w:ascii="Times New Roman" w:hAnsi="Times New Roman" w:eastAsia="宋体"/>
                <w:b w:val="0"/>
                <w:i w:val="0"/>
                <w:color w:val="000000"/>
                <w:sz w:val="24"/>
              </w:rPr>
              <w:t>在这些场景中，困难并非只有“识别精度不够”。远处幼果缩放后可能只剩少量像素，叶枝横穿果面会留下深凹或不连续的可见区域，贴邻果实又容易被合成一个目标。果实找到以后，细小果梗仍可能被邻果、枝条或叶片遮住。模型既要分清目标，又要知道某个连接区域是否有足够图像证据，不能对看不清的位置随意给点。</w:t>
            </w:r>
          </w:p>
          <w:p>
            <w:pPr>
              <w:keepNext w:val="0"/>
              <w:widowControl/>
              <w:spacing w:line="312" w:lineRule="auto" w:after="60"/>
              <w:ind w:firstLine="480"/>
              <w:jc w:val="both"/>
            </w:pPr>
            <w:r>
              <w:rPr>
                <w:rFonts w:ascii="Times New Roman" w:hAnsi="Times New Roman" w:eastAsia="宋体"/>
                <w:b w:val="0"/>
                <w:i w:val="0"/>
                <w:color w:val="000000"/>
                <w:sz w:val="24"/>
              </w:rPr>
              <w:t>因此，本课题把视觉任务分为两步：先做幼果实例分割，为每颗果实保留独立编号和真实可见的果面；再在指定果实的外扩局部区域内识别果梗连接处，输出二维连接点及可定位状态。检测框只说明大致位置，语义前景不能直接区分同类邻果；实例掩膜则能为第二步提供明确的目标归属。后文将针对小果像素不足、绿色背景混淆、遮挡与邻果分离、连接点歧义分别提出方法和实验，形成连续的研究路线。</w:t>
            </w:r>
          </w:p>
        </w:tc>
      </w:tr>
      <w:tr>
        <w:trPr/>
        <w:tc>
          <w:tcPr>
            <w:tcW w:w="9798" w:type="dxa"/>
            <w:gridSpan w:val="2"/>
            <w:vAlign w:val="center"/>
            <w:tcBorders>
              <w:top w:val="single" w:sz="4" w:color="000000"/>
              <w:bottom w:val="nil"/>
            </w:tcBorders>
          </w:tcPr>
          <w:p w14:paraId="46A2D1D8" w14:textId="77777777" w:rsidR="00D617A1" w:rsidRDefault="00000000" w:rsidP="00F6004E">
            <w:pPr>
              <w:keepNext/>
              <w:adjustRightInd w:val="0"/>
              <w:snapToGrid w:val="0"/>
              <w:spacing w:beforeLines="50" w:before="156" w:line="360" w:lineRule="auto"/>
              <w:rPr>
                <w:rFonts w:ascii="楷体_GB2312" w:eastAsia="楷体_GB2312"/>
                <w:b/>
                <w:szCs w:val="21"/>
              </w:rPr>
            </w:pPr>
            <w:r>
              <w:rPr>
                <w:rFonts w:ascii="楷体_GB2312" w:eastAsia="楷体_GB2312" w:hint="eastAsia"/>
                <w:b/>
                <w:szCs w:val="21"/>
              </w:rPr>
              <w:lastRenderedPageBreak/>
              <w:t>课题的意义及我国在这方面已进行的工作情况：</w:t>
            </w:r>
          </w:p>
          <w:p>
            <w:pPr>
              <w:keepNext/>
              <w:keepLines/>
              <w:spacing w:line="312" w:lineRule="auto" w:before="160" w:after="100"/>
              <w:ind w:firstLine="0"/>
              <w:jc w:val="left"/>
            </w:pPr>
            <w:r>
              <w:rPr>
                <w:rFonts w:ascii="Times New Roman" w:hAnsi="Times New Roman" w:eastAsia="宋体"/>
                <w:b/>
                <w:i w:val="0"/>
                <w:color w:val="000000"/>
                <w:sz w:val="24"/>
              </w:rPr>
              <w:t>一 研究意义</w:t>
            </w:r>
          </w:p>
          <w:p>
            <w:pPr>
              <w:keepNext w:val="0"/>
              <w:widowControl/>
              <w:spacing w:line="312" w:lineRule="auto" w:after="60"/>
              <w:ind w:firstLine="480"/>
              <w:jc w:val="both"/>
            </w:pPr>
            <w:r>
              <w:rPr>
                <w:rFonts w:ascii="Times New Roman" w:hAnsi="Times New Roman" w:eastAsia="宋体"/>
                <w:b w:val="0"/>
                <w:i w:val="0"/>
                <w:color w:val="000000"/>
                <w:sz w:val="24"/>
              </w:rPr>
              <w:t>本课题的意义在于把套袋视觉所需的信息具体化。送袋、撑袋属于机构动作，而纳果和收口需要装置围绕指定果实操作。可见实例掩膜可以描述该果在图像中的范围，果梗连接点可以提供与该果相关的局部位置线索，两者接起来后，视觉端才能交付“哪一颗果”和“它的连接处在哪里”。这些输出可供后续套袋系统利用，但二维结果本身不等于机械臂的三维位置或无碰撞轨迹。</w:t>
            </w:r>
          </w:p>
          <w:p>
            <w:pPr>
              <w:keepNext w:val="0"/>
              <w:widowControl/>
              <w:spacing w:line="312" w:lineRule="auto" w:after="60"/>
              <w:ind w:firstLine="480"/>
              <w:jc w:val="both"/>
            </w:pPr>
            <w:r>
              <w:rPr>
                <w:rFonts w:ascii="Times New Roman" w:hAnsi="Times New Roman" w:eastAsia="宋体"/>
                <w:b w:val="0"/>
                <w:i w:val="0"/>
                <w:color w:val="000000"/>
                <w:sz w:val="24"/>
              </w:rPr>
              <w:t>在方法上，幼果分割面临一个需要区分的矛盾：叶片把同一果实的可见区域隔开时，模型应保留共同实例身份；两颗果实接触时，模型又必须分开它们。仅把轮廓补圆或把所有窄缝切开，都可能产生另一类错误。将可见边界、实例归属及下游点位错误同时纳入验证，比只看平均分割精度更能说明方法是否适合这项任务。</w:t>
            </w:r>
          </w:p>
          <w:p>
            <w:pPr>
              <w:keepNext/>
              <w:keepLines/>
              <w:spacing w:line="312" w:lineRule="auto" w:before="160" w:after="100"/>
              <w:ind w:firstLine="0"/>
              <w:jc w:val="left"/>
            </w:pPr>
            <w:r>
              <w:rPr>
                <w:rFonts w:ascii="Times New Roman" w:hAnsi="Times New Roman" w:eastAsia="宋体"/>
                <w:b/>
                <w:i w:val="0"/>
                <w:color w:val="000000"/>
                <w:sz w:val="24"/>
              </w:rPr>
              <w:t>二 国内套袋机械结构及其视觉需求</w:t>
            </w:r>
          </w:p>
          <w:p>
            <w:pPr>
              <w:keepNext/>
              <w:keepLines/>
              <w:spacing w:line="312" w:lineRule="auto" w:before="100" w:after="100"/>
              <w:ind w:firstLine="0"/>
              <w:jc w:val="left"/>
            </w:pPr>
            <w:r>
              <w:rPr>
                <w:rFonts w:ascii="Times New Roman" w:hAnsi="Times New Roman" w:eastAsia="宋体"/>
                <w:b/>
                <w:i w:val="0"/>
                <w:color w:val="000000"/>
                <w:sz w:val="24"/>
              </w:rPr>
              <w:t>2.1 从辅助作业到视觉引导的套袋机构</w:t>
            </w:r>
          </w:p>
          <w:p>
            <w:pPr>
              <w:keepNext w:val="0"/>
              <w:widowControl/>
              <w:spacing w:line="312" w:lineRule="auto" w:after="60"/>
              <w:ind w:firstLine="480"/>
              <w:jc w:val="both"/>
            </w:pPr>
            <w:r>
              <w:rPr>
                <w:rFonts w:ascii="Times New Roman" w:hAnsi="Times New Roman" w:eastAsia="宋体"/>
                <w:b w:val="0"/>
                <w:i w:val="0"/>
                <w:color w:val="000000"/>
                <w:sz w:val="24"/>
              </w:rPr>
              <w:t>2013年，张凯等研究葡萄套袋智能机器人，结合圆柱坐标机构与目标特征提取实现逐串作业</w:t>
            </w:r>
            <w:r>
              <w:rPr>
                <w:rFonts w:ascii="Times New Roman" w:hAnsi="Times New Roman" w:eastAsia="宋体"/>
                <w:b w:val="0"/>
                <w:i w:val="0"/>
                <w:color w:val="000000"/>
                <w:sz w:val="19"/>
                <w:vertAlign w:val="superscript"/>
              </w:rPr>
              <w:t>[6]</w:t>
            </w:r>
            <w:r>
              <w:rPr>
                <w:rFonts w:ascii="Times New Roman" w:hAnsi="Times New Roman" w:eastAsia="宋体"/>
                <w:b w:val="0"/>
                <w:i w:val="0"/>
                <w:color w:val="000000"/>
                <w:sz w:val="24"/>
              </w:rPr>
              <w:t>。2017年，高宏伟等开展苹果套袋机器人的视觉定位研究</w:t>
            </w:r>
            <w:r>
              <w:rPr>
                <w:rFonts w:ascii="Times New Roman" w:hAnsi="Times New Roman" w:eastAsia="宋体"/>
                <w:b w:val="0"/>
                <w:i w:val="0"/>
                <w:color w:val="000000"/>
                <w:sz w:val="19"/>
                <w:vertAlign w:val="superscript"/>
              </w:rPr>
              <w:t>[7]</w:t>
            </w:r>
            <w:r>
              <w:rPr>
                <w:rFonts w:ascii="Times New Roman" w:hAnsi="Times New Roman" w:eastAsia="宋体"/>
                <w:b w:val="0"/>
                <w:i w:val="0"/>
                <w:color w:val="000000"/>
                <w:sz w:val="24"/>
              </w:rPr>
              <w:t>。这两项工作说明套袋机构与视觉目标提取可以衔接，但葡萄串、苹果与柑橘幼果的形态和冠层环境不同，不能据此认为柑橘的单果可见边界和果梗连接点已经得到解决。</w:t>
            </w:r>
          </w:p>
          <w:p>
            <w:pPr>
              <w:keepNext w:val="0"/>
              <w:widowControl/>
              <w:spacing w:line="312" w:lineRule="auto" w:after="60"/>
              <w:ind w:firstLine="480"/>
              <w:jc w:val="both"/>
            </w:pPr>
            <w:r>
              <w:rPr>
                <w:rFonts w:ascii="Times New Roman" w:hAnsi="Times New Roman" w:eastAsia="宋体"/>
                <w:b w:val="0"/>
                <w:i w:val="0"/>
                <w:color w:val="000000"/>
                <w:sz w:val="24"/>
              </w:rPr>
              <w:t>2019年，易文裕等研制手持式幼果连续套袋机，利用移动臂与胶棒完成取袋、撑袋，由操作者把幼果对入袋内，再加热封袋和复位</w:t>
            </w:r>
            <w:r>
              <w:rPr>
                <w:rFonts w:ascii="Times New Roman" w:hAnsi="Times New Roman" w:eastAsia="宋体"/>
                <w:b w:val="0"/>
                <w:i w:val="0"/>
                <w:color w:val="000000"/>
                <w:sz w:val="19"/>
                <w:vertAlign w:val="superscript"/>
              </w:rPr>
              <w:t>[4]</w:t>
            </w:r>
            <w:r>
              <w:rPr>
                <w:rFonts w:ascii="Times New Roman" w:hAnsi="Times New Roman" w:eastAsia="宋体"/>
                <w:b w:val="0"/>
                <w:i w:val="0"/>
                <w:color w:val="000000"/>
                <w:sz w:val="24"/>
              </w:rPr>
              <w:t>。2023年，文祎祥等提出苹果自动套袋机结构，以摩擦轮送袋、吸嘴和连杆撑袋、三合口与V形块束口；红外和光电信号用于判断果袋、幼果及合口是否到位</w:t>
            </w:r>
            <w:r>
              <w:rPr>
                <w:rFonts w:ascii="Times New Roman" w:hAnsi="Times New Roman" w:eastAsia="宋体"/>
                <w:b w:val="0"/>
                <w:i w:val="0"/>
                <w:color w:val="000000"/>
                <w:sz w:val="19"/>
                <w:vertAlign w:val="superscript"/>
              </w:rPr>
              <w:t>[5]</w:t>
            </w:r>
            <w:r>
              <w:rPr>
                <w:rFonts w:ascii="Times New Roman" w:hAnsi="Times New Roman" w:eastAsia="宋体"/>
                <w:b w:val="0"/>
                <w:i w:val="0"/>
                <w:color w:val="000000"/>
                <w:sz w:val="24"/>
              </w:rPr>
              <w:t>。前者属于人持装置，后者仍包含人工移动和按键，且以结构设计与仿真为主。开关式到位信号与自然场景图像识别解决的是不同问题。</w:t>
            </w:r>
          </w:p>
          <w:p>
            <w:pPr>
              <w:keepNext w:val="0"/>
              <w:widowControl/>
              <w:spacing w:line="312" w:lineRule="auto" w:after="60"/>
              <w:ind w:firstLine="480"/>
              <w:jc w:val="both"/>
            </w:pPr>
            <w:r>
              <w:rPr>
                <w:rFonts w:ascii="Times New Roman" w:hAnsi="Times New Roman" w:eastAsia="宋体"/>
                <w:b w:val="0"/>
                <w:i w:val="0"/>
                <w:color w:val="000000"/>
                <w:sz w:val="24"/>
              </w:rPr>
              <w:t>2023年，林沛群团队提出芒果自动套袋样机，利用钩具撑袋、装置上移纳果，再通过C形爪、V形约束及送扎丝机构封口，并引入YOLOv8与RGB-D目标定位</w:t>
            </w:r>
            <w:r>
              <w:rPr>
                <w:rFonts w:ascii="Times New Roman" w:hAnsi="Times New Roman" w:eastAsia="宋体"/>
                <w:b w:val="0"/>
                <w:i w:val="0"/>
                <w:color w:val="000000"/>
                <w:sz w:val="19"/>
                <w:vertAlign w:val="superscript"/>
              </w:rPr>
              <w:t>[8]</w:t>
            </w:r>
            <w:r>
              <w:rPr>
                <w:rFonts w:ascii="Times New Roman" w:hAnsi="Times New Roman" w:eastAsia="宋体"/>
                <w:b w:val="0"/>
                <w:i w:val="0"/>
                <w:color w:val="000000"/>
                <w:sz w:val="24"/>
              </w:rPr>
              <w:t>。2024年，温州大学陈振木等参与幼梨套袋末端设计，采用吸盘、偏置曲柄滑块与顺序传动完成撑袋和收拢，并配置送丝、扎丝及剪丝机构</w:t>
            </w:r>
            <w:r>
              <w:rPr>
                <w:rFonts w:ascii="Times New Roman" w:hAnsi="Times New Roman" w:eastAsia="宋体"/>
                <w:b w:val="0"/>
                <w:i w:val="0"/>
                <w:color w:val="000000"/>
                <w:sz w:val="19"/>
                <w:vertAlign w:val="superscript"/>
              </w:rPr>
              <w:t>[3]</w:t>
            </w:r>
            <w:r>
              <w:rPr>
                <w:rFonts w:ascii="Times New Roman" w:hAnsi="Times New Roman" w:eastAsia="宋体"/>
                <w:b w:val="0"/>
                <w:i w:val="0"/>
                <w:color w:val="000000"/>
                <w:sz w:val="24"/>
              </w:rPr>
              <w:t>。同年，荆瑞俊等把改进YOLOv8检测与SGBM双目匹配结合，输出幼梨三维位置以引导末端</w:t>
            </w:r>
            <w:r>
              <w:rPr>
                <w:rFonts w:ascii="Times New Roman" w:hAnsi="Times New Roman" w:eastAsia="宋体"/>
                <w:b w:val="0"/>
                <w:i w:val="0"/>
                <w:color w:val="000000"/>
                <w:sz w:val="19"/>
                <w:vertAlign w:val="superscript"/>
              </w:rPr>
              <w:t>[9]</w:t>
            </w:r>
            <w:r>
              <w:rPr>
                <w:rFonts w:ascii="Times New Roman" w:hAnsi="Times New Roman" w:eastAsia="宋体"/>
                <w:b w:val="0"/>
                <w:i w:val="0"/>
                <w:color w:val="000000"/>
                <w:sz w:val="24"/>
              </w:rPr>
              <w:t>。研究已经覆盖机械动作和视觉引导的不同环节，各自的实验条件和成熟度仍需分别理解。</w:t>
            </w:r>
          </w:p>
          <w:p>
            <w:pPr>
              <w:keepNext w:val="0"/>
              <w:keepLines/>
              <w:spacing w:line="312" w:lineRule="auto" w:before="100" w:after="100"/>
              <w:ind w:firstLine="0"/>
              <w:jc w:val="left"/>
            </w:pPr>
            <w:r>
              <w:rPr>
                <w:rFonts w:ascii="Times New Roman" w:hAnsi="Times New Roman" w:eastAsia="宋体"/>
                <w:b/>
                <w:i w:val="0"/>
                <w:color w:val="000000"/>
                <w:sz w:val="24"/>
              </w:rPr>
              <w:t>2.2 代表性结构与柑橘任务的对应关系</w:t>
            </w:r>
            <w:r>
              <w:br/>
            </w:r>
            <w:r>
              <w:rPr>
                <w:rFonts w:ascii="Times New Roman" w:hAnsi="Times New Roman" w:eastAsia="宋体"/>
                <w:b w:val="0"/>
                <w:i w:val="0"/>
                <w:color w:val="000000"/>
                <w:sz w:val="24"/>
              </w:rPr>
              <w:t>图2展示幼梨套袋末端中的撑袋、收拢、送丝和扎丝部件</w:t>
            </w:r>
            <w:r>
              <w:rPr>
                <w:rFonts w:ascii="Times New Roman" w:hAnsi="Times New Roman" w:eastAsia="宋体"/>
                <w:b w:val="0"/>
                <w:i w:val="0"/>
                <w:color w:val="000000"/>
                <w:sz w:val="19"/>
                <w:vertAlign w:val="superscript"/>
              </w:rPr>
              <w:t>[3]</w:t>
            </w:r>
            <w:r>
              <w:rPr>
                <w:rFonts w:ascii="Times New Roman" w:hAnsi="Times New Roman" w:eastAsia="宋体"/>
                <w:b w:val="0"/>
                <w:i w:val="0"/>
                <w:color w:val="000000"/>
                <w:sz w:val="24"/>
              </w:rPr>
              <w:t>。这一结构使作业需求更清楚：纳果首先需要果体位置，绕果梗附近收口又需要局部连接区域的信息。不过，原论文主要验证结构与动力学仿真，将果实识别和定位列为后续工作，不能把这张结构图当成已完成视觉机器人试验的证据。</w:t>
            </w:r>
          </w:p>
          <w:p>
            <w:pPr>
              <w:keepNext/>
              <w:keepLines/>
              <w:spacing w:before="120" w:after="40" w:line="240" w:lineRule="auto"/>
              <w:ind w:firstLine="0"/>
              <w:jc w:val="center"/>
            </w:pPr>
            <w:r>
              <w:drawing>
                <wp:inline xmlns:a="http://schemas.openxmlformats.org/drawingml/2006/main" xmlns:pic="http://schemas.openxmlformats.org/drawingml/2006/picture">
                  <wp:extent cx="5184000" cy="2425682"/>
                  <wp:docPr id="2133873088" name="Picture 2133873088"/>
                  <wp:cNvGraphicFramePr>
                    <a:graphicFrameLocks noChangeAspect="1"/>
                  </wp:cNvGraphicFramePr>
                  <a:graphic>
                    <a:graphicData uri="http://schemas.openxmlformats.org/drawingml/2006/picture">
                      <pic:pic>
                        <pic:nvPicPr>
                          <pic:cNvPr id="0" name="teng2024_fig2_pear_end_effector.png"/>
                          <pic:cNvPicPr/>
                        </pic:nvPicPr>
                        <pic:blipFill>
                          <a:blip r:embed="rId86"/>
                          <a:stretch>
                            <a:fillRect/>
                          </a:stretch>
                        </pic:blipFill>
                        <pic:spPr>
                          <a:xfrm>
                            <a:off x="0" y="0"/>
                            <a:ext cx="5184000" cy="2425682"/>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图2 幼梨套袋末端结构 引自文献[3]原图2 CC BY 4.0</w:t>
            </w:r>
          </w:p>
          <w:p>
            <w:pPr>
              <w:keepNext w:val="0"/>
              <w:widowControl/>
              <w:spacing w:line="312" w:lineRule="auto" w:after="60"/>
              <w:ind w:firstLine="480"/>
              <w:jc w:val="both"/>
            </w:pPr>
            <w:r>
              <w:rPr>
                <w:rFonts w:ascii="Times New Roman" w:hAnsi="Times New Roman" w:eastAsia="宋体"/>
                <w:b w:val="0"/>
                <w:i w:val="0"/>
                <w:color w:val="000000"/>
                <w:sz w:val="24"/>
              </w:rPr>
              <w:t>图3与图4分别展示芒果装置的纳果入口和束口机构</w:t>
            </w:r>
            <w:r>
              <w:rPr>
                <w:rFonts w:ascii="Times New Roman" w:hAnsi="Times New Roman" w:eastAsia="宋体"/>
                <w:b w:val="0"/>
                <w:i w:val="0"/>
                <w:color w:val="000000"/>
                <w:sz w:val="19"/>
                <w:vertAlign w:val="superscript"/>
              </w:rPr>
              <w:t>[8]</w:t>
            </w:r>
            <w:r>
              <w:rPr>
                <w:rFonts w:ascii="Times New Roman" w:hAnsi="Times New Roman" w:eastAsia="宋体"/>
                <w:b w:val="0"/>
                <w:i w:val="0"/>
                <w:color w:val="000000"/>
                <w:sz w:val="24"/>
              </w:rPr>
              <w:t>。入口与袋口几何约束都围绕选定果实建立，因此自动化系统需要持续保持目标身份。原研究假设果梗附近叶片已人工移除，且未开展田间套袋试验；本课题保留自然叶枝遮挡，研究的正是这种简化条件之外的可见区域描述及局部识别。</w:t>
            </w:r>
          </w:p>
          <w:p>
            <w:pPr>
              <w:keepNext/>
              <w:keepLines/>
              <w:spacing w:before="120" w:after="40" w:line="240" w:lineRule="auto"/>
              <w:ind w:firstLine="0"/>
              <w:jc w:val="center"/>
            </w:pPr>
            <w:r>
              <w:drawing>
                <wp:inline xmlns:a="http://schemas.openxmlformats.org/drawingml/2006/main" xmlns:pic="http://schemas.openxmlformats.org/drawingml/2006/picture">
                  <wp:extent cx="5184000" cy="3094008"/>
                  <wp:docPr id="2133873089" name="Picture 2133873089"/>
                  <wp:cNvGraphicFramePr>
                    <a:graphicFrameLocks noChangeAspect="1"/>
                  </wp:cNvGraphicFramePr>
                  <a:graphic>
                    <a:graphicData uri="http://schemas.openxmlformats.org/drawingml/2006/picture">
                      <pic:pic>
                        <pic:nvPicPr>
                          <pic:cNvPr id="0" name="wu2023_fig6_bagging_cad.png"/>
                          <pic:cNvPicPr/>
                        </pic:nvPicPr>
                        <pic:blipFill>
                          <a:blip r:embed="rId87"/>
                          <a:stretch>
                            <a:fillRect/>
                          </a:stretch>
                        </pic:blipFill>
                        <pic:spPr>
                          <a:xfrm>
                            <a:off x="0" y="0"/>
                            <a:ext cx="5184000" cy="3094008"/>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图3 芒果套袋装置及纳果入口 引自文献[8]原图6 CC BY 4.0</w:t>
            </w:r>
          </w:p>
          <w:p>
            <w:pPr>
              <w:keepNext/>
              <w:keepLines/>
              <w:spacing w:before="120" w:after="40" w:line="240" w:lineRule="auto"/>
              <w:ind w:firstLine="0"/>
              <w:jc w:val="center"/>
            </w:pPr>
            <w:r>
              <w:drawing>
                <wp:inline xmlns:a="http://schemas.openxmlformats.org/drawingml/2006/main" xmlns:pic="http://schemas.openxmlformats.org/drawingml/2006/picture">
                  <wp:extent cx="5184000" cy="3114581"/>
                  <wp:docPr id="2133873090" name="Picture 2133873090"/>
                  <wp:cNvGraphicFramePr>
                    <a:graphicFrameLocks noChangeAspect="1"/>
                  </wp:cNvGraphicFramePr>
                  <a:graphic>
                    <a:graphicData uri="http://schemas.openxmlformats.org/drawingml/2006/picture">
                      <pic:pic>
                        <pic:nvPicPr>
                          <pic:cNvPr id="0" name="wu2023_fig9_strapping_structure.png"/>
                          <pic:cNvPicPr/>
                        </pic:nvPicPr>
                        <pic:blipFill>
                          <a:blip r:embed="rId88"/>
                          <a:stretch>
                            <a:fillRect/>
                          </a:stretch>
                        </pic:blipFill>
                        <pic:spPr>
                          <a:xfrm>
                            <a:off x="0" y="0"/>
                            <a:ext cx="5184000" cy="3114581"/>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图4 芒果套袋装置的C形爪与扎丝机构 引自文献[8]原图9 CC BY 4.0</w:t>
            </w:r>
          </w:p>
          <w:p>
            <w:pPr>
              <w:keepNext w:val="0"/>
              <w:widowControl/>
              <w:spacing w:line="312" w:lineRule="auto" w:after="60"/>
              <w:ind w:firstLine="480"/>
              <w:jc w:val="both"/>
            </w:pPr>
            <w:r>
              <w:rPr>
                <w:rFonts w:ascii="Times New Roman" w:hAnsi="Times New Roman" w:eastAsia="宋体"/>
                <w:b w:val="0"/>
                <w:i w:val="0"/>
                <w:color w:val="000000"/>
                <w:sz w:val="24"/>
              </w:rPr>
              <w:t>表1将已有机构或算法的输出与本课题对照。不同袋材可能采用热封、内置铁丝束口或外送扎丝，所需动作与容差不能一概而论。本研究先验证视觉信息的可靠性，后续若结合具体机构，再依据袋口尺寸、相机标定和安全间隙确定空间精度要求。</w:t>
            </w:r>
          </w:p>
        </w:tc>
      </w:tr>
      <w:tr>
        <w:trPr>
          <w:cantSplit/>
        </w:trPr>
        <w:tc>
          <w:tcPr>
            <w:tcW w:w="9798" w:type="dxa"/>
            <w:gridSpan w:val="2"/>
            <w:vAlign w:val="center"/>
            <w:tcBorders>
              <w:top w:val="nil"/>
              <w:bottom w:val="nil"/>
            </w:tcBorders>
          </w:tcPr>
          <w:p>
            <w:pPr>
              <w:keepNext/>
              <w:spacing w:before="120" w:after="60"/>
              <w:ind w:firstLine="0"/>
              <w:jc w:val="center"/>
            </w:pPr>
            <w:r>
              <w:rPr>
                <w:rFonts w:ascii="Times New Roman" w:hAnsi="Times New Roman" w:eastAsia="宋体"/>
                <w:b/>
                <w:i w:val="0"/>
                <w:color w:val="000000"/>
                <w:sz w:val="21"/>
              </w:rPr>
              <w:t>表1 现有套袋结构及算法与本课题的差别</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66"/>
              <w:gridCol w:w="3266"/>
              <w:gridCol w:w="3266"/>
            </w:tblGrid>
            <w:tr>
              <w:trPr>
                <w:cantSplit/>
                <w:tblHeader/>
                <w:cantSplit/>
                <w:tblHeader/>
              </w:trPr>
              <w:tc>
                <w:tcPr>
                  <w:tcW w:type="dxa" w:w="2112"/>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代表研究</w:t>
                  </w:r>
                </w:p>
              </w:tc>
              <w:tc>
                <w:tcPr>
                  <w:tcW w:type="dxa" w:w="2957"/>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已有机构或视觉输出</w:t>
                  </w:r>
                </w:p>
              </w:tc>
              <w:tc>
                <w:tcPr>
                  <w:tcW w:type="dxa" w:w="3379"/>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本课题需要补充的信息</w:t>
                  </w:r>
                </w:p>
              </w:tc>
            </w:tr>
            <w:tr>
              <w:trPr>
                <w:cantSplit/>
                <w:cantSplit/>
              </w:trPr>
              <w:tc>
                <w:tcPr>
                  <w:tcW w:type="dxa" w:w="2112"/>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易文裕等 2019</w:t>
                  </w:r>
                </w:p>
              </w:tc>
              <w:tc>
                <w:tcPr>
                  <w:tcW w:type="dxa" w:w="2957"/>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连续取袋、撑袋、热封；人寻找幼果并对准</w:t>
                  </w:r>
                </w:p>
              </w:tc>
              <w:tc>
                <w:tcPr>
                  <w:tcW w:type="dxa" w:w="3379"/>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自然图像中的目标选择、逐果区域及局部连接信息</w:t>
                  </w:r>
                </w:p>
              </w:tc>
            </w:tr>
            <w:tr>
              <w:trPr>
                <w:cantSplit/>
                <w:cantSplit/>
              </w:trPr>
              <w:tc>
                <w:tcPr>
                  <w:tcW w:type="dxa" w:w="2112"/>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文祎祥等 2023</w:t>
                  </w:r>
                </w:p>
              </w:tc>
              <w:tc>
                <w:tcPr>
                  <w:tcW w:type="dxa" w:w="2957"/>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送袋、吸嘴撑袋、束口；到位开关信号</w:t>
                  </w:r>
                </w:p>
              </w:tc>
              <w:tc>
                <w:tcPr>
                  <w:tcW w:type="dxa" w:w="3379"/>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同色遮挡条件下的实例身份与可见轮廓</w:t>
                  </w:r>
                </w:p>
              </w:tc>
            </w:tr>
            <w:tr>
              <w:trPr>
                <w:cantSplit/>
                <w:cantSplit/>
              </w:trPr>
              <w:tc>
                <w:tcPr>
                  <w:tcW w:type="dxa" w:w="2112"/>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林沛群团队 2023</w:t>
                  </w:r>
                </w:p>
              </w:tc>
              <w:tc>
                <w:tcPr>
                  <w:tcW w:type="dxa" w:w="2957"/>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芒果纳果及扎丝；RGB-D目标位置</w:t>
                  </w:r>
                </w:p>
              </w:tc>
              <w:tc>
                <w:tcPr>
                  <w:tcW w:type="dxa" w:w="3379"/>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保留天然遮挡时的单果掩膜与果梗可定位性</w:t>
                  </w:r>
                </w:p>
              </w:tc>
            </w:tr>
            <w:tr>
              <w:trPr>
                <w:cantSplit/>
                <w:cantSplit/>
              </w:trPr>
              <w:tc>
                <w:tcPr>
                  <w:tcW w:type="dxa" w:w="2112"/>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陈振木等参与研究 2024</w:t>
                  </w:r>
                </w:p>
              </w:tc>
              <w:tc>
                <w:tcPr>
                  <w:tcW w:type="dxa" w:w="2957"/>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幼梨撑袋、收拢、扎丝结构与仿真</w:t>
                  </w:r>
                </w:p>
              </w:tc>
              <w:tc>
                <w:tcPr>
                  <w:tcW w:type="dxa" w:w="3379"/>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实际图像中的果体及连接区域识别</w:t>
                  </w:r>
                </w:p>
              </w:tc>
            </w:tr>
            <w:tr>
              <w:trPr>
                <w:cantSplit/>
                <w:cantSplit/>
              </w:trPr>
              <w:tc>
                <w:tcPr>
                  <w:tcW w:type="dxa" w:w="2112"/>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center"/>
                  </w:pPr>
                  <w:r>
                    <w:rPr>
                      <w:rFonts w:ascii="Times New Roman" w:hAnsi="Times New Roman" w:eastAsia="宋体"/>
                      <w:b w:val="0"/>
                      <w:i w:val="0"/>
                      <w:color w:val="000000"/>
                      <w:sz w:val="21"/>
                    </w:rPr>
                    <w:t>荆瑞俊等 2024</w:t>
                  </w:r>
                </w:p>
              </w:tc>
              <w:tc>
                <w:tcPr>
                  <w:tcW w:type="dxa" w:w="2957"/>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幼梨检测框及双目三维位置</w:t>
                  </w:r>
                </w:p>
              </w:tc>
              <w:tc>
                <w:tcPr>
                  <w:tcW w:type="dxa" w:w="3379"/>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邻果分离、可见凹轮廓和指定果实连接点</w:t>
                  </w:r>
                </w:p>
              </w:tc>
            </w:tr>
          </w:tbl>
          <w:p/>
        </w:tc>
      </w:tr>
      <w:tr>
        <w:trPr/>
        <w:tc>
          <w:tcPr>
            <w:tcW w:w="9798" w:type="dxa"/>
            <w:gridSpan w:val="2"/>
            <w:vAlign w:val="center"/>
            <w:tcBorders>
              <w:top w:val="nil"/>
              <w:bottom w:val="single" w:sz="4" w:color="000000"/>
            </w:tcBorders>
          </w:tcPr>
          <w:p/>
          <w:p/>
          <w:p>
            <w:pPr>
              <w:keepNext/>
              <w:keepLines/>
              <w:spacing w:line="312" w:lineRule="auto" w:before="160" w:after="100"/>
              <w:ind w:firstLine="0"/>
              <w:jc w:val="left"/>
            </w:pPr>
            <w:r>
              <w:rPr>
                <w:rFonts w:ascii="Times New Roman" w:hAnsi="Times New Roman" w:eastAsia="宋体"/>
                <w:b/>
                <w:i w:val="0"/>
                <w:color w:val="000000"/>
                <w:sz w:val="24"/>
              </w:rPr>
              <w:t>三 国内幼果检测与实例分割研究</w:t>
            </w:r>
          </w:p>
          <w:p>
            <w:pPr>
              <w:keepNext w:val="0"/>
              <w:widowControl/>
              <w:spacing w:line="312" w:lineRule="auto" w:after="60"/>
              <w:ind w:firstLine="480"/>
              <w:jc w:val="both"/>
            </w:pPr>
            <w:r>
              <w:rPr>
                <w:rFonts w:ascii="Times New Roman" w:hAnsi="Times New Roman" w:eastAsia="宋体"/>
                <w:b w:val="0"/>
                <w:i w:val="0"/>
                <w:color w:val="000000"/>
                <w:sz w:val="24"/>
              </w:rPr>
              <w:t>2022年，贾伟宽等针对复杂果园中的青柿改进Mask R-CNN，用轻量主干与边界处理获得逐果掩膜</w:t>
            </w:r>
            <w:r>
              <w:rPr>
                <w:rFonts w:ascii="Times New Roman" w:hAnsi="Times New Roman" w:eastAsia="宋体"/>
                <w:b w:val="0"/>
                <w:i w:val="0"/>
                <w:color w:val="000000"/>
                <w:sz w:val="19"/>
                <w:vertAlign w:val="superscript"/>
              </w:rPr>
              <w:t>[10]</w:t>
            </w:r>
            <w:r>
              <w:rPr>
                <w:rFonts w:ascii="Times New Roman" w:hAnsi="Times New Roman" w:eastAsia="宋体"/>
                <w:b w:val="0"/>
                <w:i w:val="0"/>
                <w:color w:val="000000"/>
                <w:sz w:val="24"/>
              </w:rPr>
              <w:t>，网络见图5。同年，该团队提出Polar-Net，以多尺度特征和极坐标轮廓表示进行绿果实例分割</w:t>
            </w:r>
            <w:r>
              <w:rPr>
                <w:rFonts w:ascii="Times New Roman" w:hAnsi="Times New Roman" w:eastAsia="宋体"/>
                <w:b w:val="0"/>
                <w:i w:val="0"/>
                <w:color w:val="000000"/>
                <w:sz w:val="19"/>
                <w:vertAlign w:val="superscript"/>
              </w:rPr>
              <w:t>[11]</w:t>
            </w:r>
            <w:r>
              <w:rPr>
                <w:rFonts w:ascii="Times New Roman" w:hAnsi="Times New Roman" w:eastAsia="宋体"/>
                <w:b w:val="0"/>
                <w:i w:val="0"/>
                <w:color w:val="000000"/>
                <w:sz w:val="24"/>
              </w:rPr>
              <w:t>，图6给出其青柿结果。两项研究将近色果叶背景中的识别推进到实例层面，但青柿与柑橘的形状、遮挡和果梗显露方式不同，需要在柑橘数据上重新验证。</w:t>
            </w:r>
          </w:p>
          <w:p>
            <w:pPr>
              <w:keepNext/>
              <w:keepLines/>
              <w:spacing w:before="120" w:after="40" w:line="240" w:lineRule="auto"/>
              <w:ind w:firstLine="0"/>
              <w:jc w:val="center"/>
            </w:pPr>
            <w:r>
              <w:drawing>
                <wp:inline xmlns:a="http://schemas.openxmlformats.org/drawingml/2006/main" xmlns:pic="http://schemas.openxmlformats.org/drawingml/2006/picture">
                  <wp:extent cx="5184000" cy="2858136"/>
                  <wp:docPr id="2133873091" name="Picture 2133873091"/>
                  <wp:cNvGraphicFramePr>
                    <a:graphicFrameLocks noChangeAspect="1"/>
                  </wp:cNvGraphicFramePr>
                  <a:graphic>
                    <a:graphicData uri="http://schemas.openxmlformats.org/drawingml/2006/picture">
                      <pic:pic>
                        <pic:nvPicPr>
                          <pic:cNvPr id="0" name="paper_green_maskrcnn_network_fig2.png"/>
                          <pic:cNvPicPr/>
                        </pic:nvPicPr>
                        <pic:blipFill>
                          <a:blip r:embed="rId89"/>
                          <a:stretch>
                            <a:fillRect/>
                          </a:stretch>
                        </pic:blipFill>
                        <pic:spPr>
                          <a:xfrm>
                            <a:off x="0" y="0"/>
                            <a:ext cx="5184000" cy="2858136"/>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图5 绿果实例分割的改进Mask R-CNN网络 引自文献[10]原图2 CC BY 4.0</w:t>
            </w:r>
          </w:p>
          <w:p>
            <w:pPr>
              <w:keepNext/>
              <w:keepLines/>
              <w:spacing w:before="120" w:after="40" w:line="240" w:lineRule="auto"/>
              <w:ind w:firstLine="0"/>
              <w:jc w:val="center"/>
            </w:pPr>
            <w:r>
              <w:drawing>
                <wp:inline xmlns:a="http://schemas.openxmlformats.org/drawingml/2006/main" xmlns:pic="http://schemas.openxmlformats.org/drawingml/2006/picture">
                  <wp:extent cx="5184000" cy="1453318"/>
                  <wp:docPr id="2133873092" name="Picture 213387309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184000" cy="1453318"/>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图6 Polar-Net的青柿实例分割示例 引自文献[11]原图8 CC BY 4.0</w:t>
            </w:r>
          </w:p>
          <w:p>
            <w:pPr>
              <w:keepNext w:val="0"/>
              <w:widowControl/>
              <w:spacing w:line="312" w:lineRule="auto" w:after="60"/>
              <w:ind w:firstLine="480"/>
              <w:jc w:val="both"/>
            </w:pPr>
            <w:r>
              <w:rPr>
                <w:rFonts w:ascii="Times New Roman" w:hAnsi="Times New Roman" w:eastAsia="宋体"/>
                <w:b w:val="0"/>
                <w:i w:val="0"/>
                <w:color w:val="000000"/>
                <w:sz w:val="24"/>
              </w:rPr>
              <w:t>2024年，吕强等提出自然场景绿色柑橘检测方法，改进YOLOv5s以适应复杂背景</w:t>
            </w:r>
            <w:r>
              <w:rPr>
                <w:rFonts w:ascii="Times New Roman" w:hAnsi="Times New Roman" w:eastAsia="宋体"/>
                <w:b w:val="0"/>
                <w:i w:val="0"/>
                <w:color w:val="000000"/>
                <w:sz w:val="19"/>
                <w:vertAlign w:val="superscript"/>
              </w:rPr>
              <w:t>[12]</w:t>
            </w:r>
            <w:r>
              <w:rPr>
                <w:rFonts w:ascii="Times New Roman" w:hAnsi="Times New Roman" w:eastAsia="宋体"/>
                <w:b w:val="0"/>
                <w:i w:val="0"/>
                <w:color w:val="000000"/>
                <w:sz w:val="24"/>
              </w:rPr>
              <w:t>。检测框有助于发现幼果，却不能独立描述框内叶片、果面缺口及邻果归属。2025年，刘洁等依据Roofline分析轻量化YOLOv8橙果识别模型，并结合硬件检验效率</w:t>
            </w:r>
            <w:r>
              <w:rPr>
                <w:rFonts w:ascii="Times New Roman" w:hAnsi="Times New Roman" w:eastAsia="宋体"/>
                <w:b w:val="0"/>
                <w:i w:val="0"/>
                <w:color w:val="000000"/>
                <w:sz w:val="19"/>
                <w:vertAlign w:val="superscript"/>
              </w:rPr>
              <w:t>[13]</w:t>
            </w:r>
            <w:r>
              <w:rPr>
                <w:rFonts w:ascii="Times New Roman" w:hAnsi="Times New Roman" w:eastAsia="宋体"/>
                <w:b w:val="0"/>
                <w:i w:val="0"/>
                <w:color w:val="000000"/>
                <w:sz w:val="24"/>
              </w:rPr>
              <w:t>。这说明“轻量”需要落到实际运行条件，不能仅用参数减少替代完整推理时间。</w:t>
            </w:r>
          </w:p>
          <w:p>
            <w:pPr>
              <w:keepNext w:val="0"/>
              <w:widowControl/>
              <w:spacing w:line="312" w:lineRule="auto" w:after="60"/>
              <w:ind w:firstLine="480"/>
              <w:jc w:val="both"/>
            </w:pPr>
            <w:r>
              <w:rPr>
                <w:rFonts w:ascii="Times New Roman" w:hAnsi="Times New Roman" w:eastAsia="宋体"/>
                <w:b w:val="0"/>
                <w:i w:val="0"/>
                <w:color w:val="000000"/>
                <w:sz w:val="24"/>
              </w:rPr>
              <w:t>2026年，李欣洋等在YOLO11n-Seg中加入局部可变形卷积与边界引导融合，利用RGB实例掩膜提取单果区域，供后续高光谱观察使用</w:t>
            </w:r>
            <w:r>
              <w:rPr>
                <w:rFonts w:ascii="Times New Roman" w:hAnsi="Times New Roman" w:eastAsia="宋体"/>
                <w:b w:val="0"/>
                <w:i w:val="0"/>
                <w:color w:val="000000"/>
                <w:sz w:val="19"/>
                <w:vertAlign w:val="superscript"/>
              </w:rPr>
              <w:t>[14]</w:t>
            </w:r>
            <w:r>
              <w:rPr>
                <w:rFonts w:ascii="Times New Roman" w:hAnsi="Times New Roman" w:eastAsia="宋体"/>
                <w:b w:val="0"/>
                <w:i w:val="0"/>
                <w:color w:val="000000"/>
                <w:sz w:val="24"/>
              </w:rPr>
              <w:t>。本课题不采用其高光谱分支，而借鉴RGB阶段的单果区域表达。已有研究已经涉及多尺度与边界增强，因此本课题的改进必须回答具体问题：是否减少小果漏检、是否保留条带遮挡后的可见形状、是否同时降低同果分裂与邻果合并，而非仅更换若干通用模块。</w:t>
            </w:r>
          </w:p>
          <w:p>
            <w:pPr>
              <w:keepNext/>
              <w:keepLines/>
              <w:spacing w:line="312" w:lineRule="auto" w:before="160" w:after="100"/>
              <w:ind w:firstLine="0"/>
              <w:jc w:val="left"/>
            </w:pPr>
            <w:r>
              <w:rPr>
                <w:rFonts w:ascii="Times New Roman" w:hAnsi="Times New Roman" w:eastAsia="宋体"/>
                <w:b/>
                <w:i w:val="0"/>
                <w:color w:val="000000"/>
                <w:sz w:val="24"/>
              </w:rPr>
              <w:t>四 国内果梗识别与作业点定位研究</w:t>
            </w:r>
          </w:p>
          <w:p>
            <w:pPr>
              <w:keepNext w:val="0"/>
              <w:widowControl/>
              <w:spacing w:line="312" w:lineRule="auto" w:after="60"/>
              <w:ind w:firstLine="480"/>
              <w:jc w:val="both"/>
            </w:pPr>
            <w:r>
              <w:rPr>
                <w:rFonts w:ascii="Times New Roman" w:hAnsi="Times New Roman" w:eastAsia="宋体"/>
                <w:b w:val="0"/>
                <w:i w:val="0"/>
                <w:color w:val="000000"/>
                <w:sz w:val="24"/>
              </w:rPr>
              <w:t>2024年，梁云等将柑橘检测、团簇局部区域与枝条分割接成级联模型，再搜索采摘点</w:t>
            </w:r>
            <w:r>
              <w:rPr>
                <w:rFonts w:ascii="Times New Roman" w:hAnsi="Times New Roman" w:eastAsia="宋体"/>
                <w:b w:val="0"/>
                <w:i w:val="0"/>
                <w:color w:val="000000"/>
                <w:sz w:val="19"/>
                <w:vertAlign w:val="superscript"/>
              </w:rPr>
              <w:t>[15]</w:t>
            </w:r>
            <w:r>
              <w:rPr>
                <w:rFonts w:ascii="Times New Roman" w:hAnsi="Times New Roman" w:eastAsia="宋体"/>
                <w:b w:val="0"/>
                <w:i w:val="0"/>
                <w:color w:val="000000"/>
                <w:sz w:val="24"/>
              </w:rPr>
              <w:t>。2025年，梁云等提出CPPL，通过果实检测缩小枝条搜索范围并定位采摘点</w:t>
            </w:r>
            <w:r>
              <w:rPr>
                <w:rFonts w:ascii="Times New Roman" w:hAnsi="Times New Roman" w:eastAsia="宋体"/>
                <w:b w:val="0"/>
                <w:i w:val="0"/>
                <w:color w:val="000000"/>
                <w:sz w:val="19"/>
                <w:vertAlign w:val="superscript"/>
              </w:rPr>
              <w:t>[16]</w:t>
            </w:r>
            <w:r>
              <w:rPr>
                <w:rFonts w:ascii="Times New Roman" w:hAnsi="Times New Roman" w:eastAsia="宋体"/>
                <w:b w:val="0"/>
                <w:i w:val="0"/>
                <w:color w:val="000000"/>
                <w:sz w:val="24"/>
              </w:rPr>
              <w:t>。研究由“找果”转向“寻找与目标果实相关的枝梗”，为本课题两阶段路线提供了依据；采摘切割点与套袋视觉所定义的果实—果梗连接点仍需区别。</w:t>
            </w:r>
          </w:p>
          <w:p>
            <w:pPr>
              <w:keepNext w:val="0"/>
              <w:widowControl/>
              <w:spacing w:line="312" w:lineRule="auto" w:after="60"/>
              <w:ind w:firstLine="480"/>
              <w:jc w:val="both"/>
            </w:pPr>
            <w:r>
              <w:rPr>
                <w:rFonts w:ascii="Times New Roman" w:hAnsi="Times New Roman" w:eastAsia="宋体"/>
                <w:b w:val="0"/>
                <w:i w:val="0"/>
                <w:color w:val="000000"/>
                <w:sz w:val="24"/>
              </w:rPr>
              <w:t>2025年，李涵等改进YOLOv8n-seg，分割柑橘及果梗，结合几何匹配、形态学和骨架处理求采摘点</w:t>
            </w:r>
            <w:r>
              <w:rPr>
                <w:rFonts w:ascii="Times New Roman" w:hAnsi="Times New Roman" w:eastAsia="宋体"/>
                <w:b w:val="0"/>
                <w:i w:val="0"/>
                <w:color w:val="000000"/>
                <w:sz w:val="19"/>
                <w:vertAlign w:val="superscript"/>
              </w:rPr>
              <w:t>[17]</w:t>
            </w:r>
            <w:r>
              <w:rPr>
                <w:rFonts w:ascii="Times New Roman" w:hAnsi="Times New Roman" w:eastAsia="宋体"/>
                <w:b w:val="0"/>
                <w:i w:val="0"/>
                <w:color w:val="000000"/>
                <w:sz w:val="24"/>
              </w:rPr>
              <w:t>。图7为其局部处理流程，图8为原文的失败案例。同年，国内另一项研究将YOLO检测、双目点云和OBB/PCA结合估计柑橘果梗姿态</w:t>
            </w:r>
            <w:r>
              <w:rPr>
                <w:rFonts w:ascii="Times New Roman" w:hAnsi="Times New Roman" w:eastAsia="宋体"/>
                <w:b w:val="0"/>
                <w:i w:val="0"/>
                <w:color w:val="000000"/>
                <w:sz w:val="19"/>
                <w:vertAlign w:val="superscript"/>
              </w:rPr>
              <w:t>[18]</w:t>
            </w:r>
            <w:r>
              <w:rPr>
                <w:rFonts w:ascii="Times New Roman" w:hAnsi="Times New Roman" w:eastAsia="宋体"/>
                <w:b w:val="0"/>
                <w:i w:val="0"/>
                <w:color w:val="000000"/>
                <w:sz w:val="24"/>
              </w:rPr>
              <w:t>。后者依赖深度信息，本课题限定RGB二维图像，不直接比较其三维误差。</w:t>
            </w:r>
          </w:p>
          <w:p>
            <w:pPr>
              <w:keepNext/>
              <w:keepLines/>
              <w:spacing w:before="120" w:after="40" w:line="240" w:lineRule="auto"/>
              <w:ind w:firstLine="0"/>
              <w:jc w:val="center"/>
            </w:pPr>
            <w:r>
              <w:drawing>
                <wp:inline xmlns:a="http://schemas.openxmlformats.org/drawingml/2006/main" xmlns:pic="http://schemas.openxmlformats.org/drawingml/2006/picture">
                  <wp:extent cx="5184000" cy="2411807"/>
                  <wp:docPr id="2133873093" name="Picture 2133873093"/>
                  <wp:cNvGraphicFramePr>
                    <a:graphicFrameLocks noChangeAspect="1"/>
                  </wp:cNvGraphicFramePr>
                  <a:graphic>
                    <a:graphicData uri="http://schemas.openxmlformats.org/drawingml/2006/picture">
                      <pic:pic>
                        <pic:nvPicPr>
                          <pic:cNvPr id="0" name="paper_stem_fig8.png"/>
                          <pic:cNvPicPr/>
                        </pic:nvPicPr>
                        <pic:blipFill>
                          <a:blip r:embed="rId90"/>
                          <a:stretch>
                            <a:fillRect/>
                          </a:stretch>
                        </pic:blipFill>
                        <pic:spPr>
                          <a:xfrm>
                            <a:off x="0" y="0"/>
                            <a:ext cx="5184000" cy="2411807"/>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图7 柑橘果梗局部处理与采摘点求解 引自文献[17]原图8 CC BY 4.0</w:t>
            </w:r>
          </w:p>
          <w:p>
            <w:pPr>
              <w:keepNext/>
              <w:keepLines/>
              <w:spacing w:before="120" w:after="40" w:line="240" w:lineRule="auto"/>
              <w:ind w:firstLine="0"/>
              <w:jc w:val="center"/>
            </w:pPr>
            <w:r>
              <w:drawing>
                <wp:inline xmlns:a="http://schemas.openxmlformats.org/drawingml/2006/main" xmlns:pic="http://schemas.openxmlformats.org/drawingml/2006/picture">
                  <wp:extent cx="2923346" cy="3311999"/>
                  <wp:docPr id="2133873094" name="Picture 2133873094"/>
                  <wp:cNvGraphicFramePr>
                    <a:graphicFrameLocks noChangeAspect="1"/>
                  </wp:cNvGraphicFramePr>
                  <a:graphic>
                    <a:graphicData uri="http://schemas.openxmlformats.org/drawingml/2006/picture">
                      <pic:pic>
                        <pic:nvPicPr>
                          <pic:cNvPr id="0" name="paper_stem_fig11.png"/>
                          <pic:cNvPicPr/>
                        </pic:nvPicPr>
                        <pic:blipFill>
                          <a:blip r:embed="rId91"/>
                          <a:stretch>
                            <a:fillRect/>
                          </a:stretch>
                        </pic:blipFill>
                        <pic:spPr>
                          <a:xfrm>
                            <a:off x="0" y="0"/>
                            <a:ext cx="2923346" cy="3311999"/>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图8 文献中的遮挡与果梗分割失败案例 引自文献[17]原图11 CC BY 4.0</w:t>
            </w:r>
          </w:p>
          <w:p>
            <w:pPr>
              <w:keepNext w:val="0"/>
              <w:widowControl/>
              <w:spacing w:line="312" w:lineRule="auto" w:after="60"/>
              <w:ind w:firstLine="480"/>
              <w:jc w:val="both"/>
            </w:pPr>
            <w:r>
              <w:rPr>
                <w:rFonts w:ascii="Times New Roman" w:hAnsi="Times New Roman" w:eastAsia="宋体"/>
                <w:b w:val="0"/>
                <w:i w:val="0"/>
                <w:color w:val="000000"/>
                <w:sz w:val="24"/>
              </w:rPr>
              <w:t>2026年，东北农业大学王一甲团队提出TSP-Net，在串番茄检测ROI内用热图与连续坐标解码定位采摘切割点</w:t>
            </w:r>
            <w:r>
              <w:rPr>
                <w:rFonts w:ascii="Times New Roman" w:hAnsi="Times New Roman" w:eastAsia="宋体"/>
                <w:b w:val="0"/>
                <w:i w:val="0"/>
                <w:color w:val="000000"/>
                <w:sz w:val="19"/>
                <w:vertAlign w:val="superscript"/>
              </w:rPr>
              <w:t>[19]</w:t>
            </w:r>
            <w:r>
              <w:rPr>
                <w:rFonts w:ascii="Times New Roman" w:hAnsi="Times New Roman" w:eastAsia="宋体"/>
                <w:b w:val="0"/>
                <w:i w:val="0"/>
                <w:color w:val="000000"/>
                <w:sz w:val="24"/>
              </w:rPr>
              <w:t>。局部ROI和热图定位因此已有可借鉴方法。本课题拟进一步检验：同一ROI中有邻果时，目标实例掩膜是否有助于保持点位归属；连接区不可辨时，模型能否给出不可判定状态。文献图8也提示，平均点误差必须与遮挡失败和实际输出覆盖率一起报告。</w:t>
            </w:r>
          </w:p>
        </w:tc>
      </w:tr>
    </w:tbl>
    <w:p w14:paraId="07C58BE6" w14:textId="77777777" w:rsidR="00D617A1" w:rsidRDefault="00D617A1"/>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1"/>
        <w:gridCol w:w="9082"/>
      </w:tblGrid>
      <w:tr>
        <w:trPr/>
        <w:tc>
          <w:tcPr>
            <w:tcW w:w="10343" w:type="dxa"/>
            <w:gridSpan w:val="2"/>
            <w:tcBorders>
              <w:bottom w:val="nil" w:sz="4" w:space="0" w:color="auto"/>
              <w:top w:val="single" w:sz="4" w:color="000000"/>
            </w:tcBorders>
          </w:tcPr>
          <w:p w14:paraId="40949FC4" w14:textId="77777777" w:rsidR="00D617A1" w:rsidRDefault="00000000">
            <w:pPr>
              <w:keepNext/>
              <w:spacing w:beforeLines="50" w:before="156" w:line="360" w:lineRule="auto"/>
              <w:ind w:firstLine="422"/>
              <w:rPr>
                <w:rFonts w:ascii="楷体_GB2312" w:eastAsia="楷体_GB2312"/>
                <w:b/>
                <w:szCs w:val="21"/>
              </w:rPr>
            </w:pPr>
            <w:r>
              <w:rPr>
                <w:rFonts w:ascii="楷体_GB2312" w:eastAsia="楷体_GB2312" w:hint="eastAsia"/>
                <w:b/>
                <w:szCs w:val="21"/>
              </w:rPr>
              <w:lastRenderedPageBreak/>
              <w:t>国外的研究动态及发展趋势：</w:t>
            </w:r>
          </w:p>
          <w:bookmarkEnd w:id="1"/>
          <w:bookmarkEnd w:id="2"/>
          <w:p>
            <w:pPr>
              <w:keepNext/>
              <w:keepLines/>
              <w:spacing w:line="312" w:lineRule="auto" w:before="160" w:after="100"/>
              <w:ind w:firstLine="0"/>
              <w:jc w:val="left"/>
            </w:pPr>
            <w:r>
              <w:rPr>
                <w:rFonts w:ascii="Times New Roman" w:hAnsi="Times New Roman" w:eastAsia="宋体"/>
                <w:b/>
                <w:i w:val="0"/>
                <w:color w:val="000000"/>
                <w:sz w:val="24"/>
              </w:rPr>
              <w:t>一 国外果园感知与套袋研究进展</w:t>
            </w:r>
          </w:p>
          <w:p>
            <w:pPr>
              <w:keepNext w:val="0"/>
              <w:widowControl/>
              <w:spacing w:line="312" w:lineRule="auto" w:after="60"/>
              <w:ind w:firstLine="480"/>
              <w:jc w:val="both"/>
            </w:pPr>
            <w:r>
              <w:rPr>
                <w:rFonts w:ascii="Times New Roman" w:hAnsi="Times New Roman" w:eastAsia="宋体"/>
                <w:b w:val="0"/>
                <w:i w:val="0"/>
                <w:color w:val="000000"/>
                <w:sz w:val="24"/>
              </w:rPr>
              <w:t>1995年，Monta、Kondo和Shibano研究棚架葡萄生产机器人，通过更换末端承担包括逐串套袋在内的作业</w:t>
            </w:r>
            <w:r>
              <w:rPr>
                <w:rFonts w:ascii="Times New Roman" w:hAnsi="Times New Roman" w:eastAsia="宋体"/>
                <w:b w:val="0"/>
                <w:i w:val="0"/>
                <w:color w:val="000000"/>
                <w:sz w:val="19"/>
                <w:vertAlign w:val="superscript"/>
              </w:rPr>
              <w:t>[20]</w:t>
            </w:r>
            <w:r>
              <w:rPr>
                <w:rFonts w:ascii="Times New Roman" w:hAnsi="Times New Roman" w:eastAsia="宋体"/>
                <w:b w:val="0"/>
                <w:i w:val="0"/>
                <w:color w:val="000000"/>
                <w:sz w:val="24"/>
              </w:rPr>
              <w:t>。这一早期研究说明套袋可作为农业机器人操作功能，但棚架葡萄串与柑橘单果的空间组织不同，其功能实现不能直接证明自然柑橘冠层下的连接点定位已经可靠。</w:t>
            </w:r>
          </w:p>
          <w:p>
            <w:pPr>
              <w:keepNext w:val="0"/>
              <w:widowControl/>
              <w:spacing w:line="312" w:lineRule="auto" w:after="60"/>
              <w:ind w:firstLine="480"/>
              <w:jc w:val="both"/>
            </w:pPr>
            <w:r>
              <w:rPr>
                <w:rFonts w:ascii="Times New Roman" w:hAnsi="Times New Roman" w:eastAsia="宋体"/>
                <w:b w:val="0"/>
                <w:i w:val="0"/>
                <w:color w:val="000000"/>
                <w:sz w:val="24"/>
              </w:rPr>
              <w:t>2016年，Sa等提出DeepFruits，将深度网络用于多种果实检测，并比较RGB与近红外信息的作用</w:t>
            </w:r>
            <w:r>
              <w:rPr>
                <w:rFonts w:ascii="Times New Roman" w:hAnsi="Times New Roman" w:eastAsia="宋体"/>
                <w:b w:val="0"/>
                <w:i w:val="0"/>
                <w:color w:val="000000"/>
                <w:sz w:val="19"/>
                <w:vertAlign w:val="superscript"/>
              </w:rPr>
              <w:t>[21]</w:t>
            </w:r>
            <w:r>
              <w:rPr>
                <w:rFonts w:ascii="Times New Roman" w:hAnsi="Times New Roman" w:eastAsia="宋体"/>
                <w:b w:val="0"/>
                <w:i w:val="0"/>
                <w:color w:val="000000"/>
                <w:sz w:val="24"/>
              </w:rPr>
              <w:t>。2017年，Bargoti和Underwood研究苹果、芒果及杏仁果园中的Faster R-CNN检测，引入切片处理密集果实图像</w:t>
            </w:r>
            <w:r>
              <w:rPr>
                <w:rFonts w:ascii="Times New Roman" w:hAnsi="Times New Roman" w:eastAsia="宋体"/>
                <w:b w:val="0"/>
                <w:i w:val="0"/>
                <w:color w:val="000000"/>
                <w:sz w:val="19"/>
                <w:vertAlign w:val="superscript"/>
              </w:rPr>
              <w:t>[22]</w:t>
            </w:r>
            <w:r>
              <w:rPr>
                <w:rFonts w:ascii="Times New Roman" w:hAnsi="Times New Roman" w:eastAsia="宋体"/>
                <w:b w:val="0"/>
                <w:i w:val="0"/>
                <w:color w:val="000000"/>
                <w:sz w:val="24"/>
              </w:rPr>
              <w:t>。从这两项工作看，复杂背景、训练数据差异和目标像素不足，很早就成为果园识别的重要因素。本课题借鉴其问题分析和局部输入思路，同时限定RGB输入和逐果可见掩膜。</w:t>
            </w:r>
          </w:p>
          <w:p>
            <w:pPr>
              <w:keepNext w:val="0"/>
              <w:widowControl/>
              <w:spacing w:line="312" w:lineRule="auto" w:after="60"/>
              <w:ind w:firstLine="480"/>
              <w:jc w:val="both"/>
            </w:pPr>
            <w:r>
              <w:rPr>
                <w:rFonts w:ascii="Times New Roman" w:hAnsi="Times New Roman" w:eastAsia="宋体"/>
                <w:b w:val="0"/>
                <w:i w:val="0"/>
                <w:color w:val="000000"/>
                <w:sz w:val="24"/>
              </w:rPr>
              <w:t>2019年，Bresilla等研究树上果实的单阶段实时检测，关注实际果树环境中的运行效率</w:t>
            </w:r>
            <w:r>
              <w:rPr>
                <w:rFonts w:ascii="Times New Roman" w:hAnsi="Times New Roman" w:eastAsia="宋体"/>
                <w:b w:val="0"/>
                <w:i w:val="0"/>
                <w:color w:val="000000"/>
                <w:sz w:val="19"/>
                <w:vertAlign w:val="superscript"/>
              </w:rPr>
              <w:t>[23]</w:t>
            </w:r>
            <w:r>
              <w:rPr>
                <w:rFonts w:ascii="Times New Roman" w:hAnsi="Times New Roman" w:eastAsia="宋体"/>
                <w:b w:val="0"/>
                <w:i w:val="0"/>
                <w:color w:val="000000"/>
                <w:sz w:val="24"/>
              </w:rPr>
              <w:t>。2020年，Häni、Roy和Isler发布MinneApple，为苹果提供逐实例多边形标注及检测、分割基线，强调统一数据上的直接比较</w:t>
            </w:r>
            <w:r>
              <w:rPr>
                <w:rFonts w:ascii="Times New Roman" w:hAnsi="Times New Roman" w:eastAsia="宋体"/>
                <w:b w:val="0"/>
                <w:i w:val="0"/>
                <w:color w:val="000000"/>
                <w:sz w:val="19"/>
                <w:vertAlign w:val="superscript"/>
              </w:rPr>
              <w:t>[24]</w:t>
            </w:r>
            <w:r>
              <w:rPr>
                <w:rFonts w:ascii="Times New Roman" w:hAnsi="Times New Roman" w:eastAsia="宋体"/>
                <w:b w:val="0"/>
                <w:i w:val="0"/>
                <w:color w:val="000000"/>
                <w:sz w:val="24"/>
              </w:rPr>
              <w:t>。2024年，Sapkota和Karkee发布未成熟绿苹果分割比较预印本，分析YOLO11与YOLOv8在遮挡和无遮挡果实上的表现；该文于2026年更新</w:t>
            </w:r>
            <w:r>
              <w:rPr>
                <w:rFonts w:ascii="Times New Roman" w:hAnsi="Times New Roman" w:eastAsia="宋体"/>
                <w:b w:val="0"/>
                <w:i w:val="0"/>
                <w:color w:val="000000"/>
                <w:sz w:val="19"/>
                <w:vertAlign w:val="superscript"/>
              </w:rPr>
              <w:t>[25]</w:t>
            </w:r>
            <w:r>
              <w:rPr>
                <w:rFonts w:ascii="Times New Roman" w:hAnsi="Times New Roman" w:eastAsia="宋体"/>
                <w:b w:val="0"/>
                <w:i w:val="0"/>
                <w:color w:val="000000"/>
                <w:sz w:val="24"/>
              </w:rPr>
              <w:t>。这些研究推动了精度、速度与困难样本分层评价，但苹果的实验结果不能替代本课题的柑橘验证。</w:t>
            </w:r>
          </w:p>
          <w:p>
            <w:pPr>
              <w:keepNext/>
              <w:keepLines/>
              <w:spacing w:line="312" w:lineRule="auto" w:before="160" w:after="100"/>
              <w:ind w:firstLine="0"/>
              <w:jc w:val="left"/>
            </w:pPr>
            <w:r>
              <w:rPr>
                <w:rFonts w:ascii="Times New Roman" w:hAnsi="Times New Roman" w:eastAsia="宋体"/>
                <w:b/>
                <w:i w:val="0"/>
                <w:color w:val="000000"/>
                <w:sz w:val="24"/>
              </w:rPr>
              <w:t>二 国际通用网络与本课题可借鉴的方法</w:t>
            </w:r>
          </w:p>
          <w:p>
            <w:pPr>
              <w:keepNext w:val="0"/>
              <w:widowControl/>
              <w:spacing w:line="312" w:lineRule="auto" w:after="60"/>
              <w:ind w:firstLine="480"/>
              <w:jc w:val="both"/>
            </w:pPr>
            <w:r>
              <w:rPr>
                <w:rFonts w:ascii="Times New Roman" w:hAnsi="Times New Roman" w:eastAsia="宋体"/>
                <w:b w:val="0"/>
                <w:i w:val="0"/>
                <w:color w:val="000000"/>
                <w:sz w:val="24"/>
              </w:rPr>
              <w:t>通用视觉研究为上述应用提供了网络基础。2015年的U-Net通过编码器、解码器和跨层连接保留细节</w:t>
            </w:r>
            <w:r>
              <w:rPr>
                <w:rFonts w:ascii="Times New Roman" w:hAnsi="Times New Roman" w:eastAsia="宋体"/>
                <w:b w:val="0"/>
                <w:i w:val="0"/>
                <w:color w:val="000000"/>
                <w:sz w:val="19"/>
                <w:vertAlign w:val="superscript"/>
              </w:rPr>
              <w:t>[26]</w:t>
            </w:r>
            <w:r>
              <w:rPr>
                <w:rFonts w:ascii="Times New Roman" w:hAnsi="Times New Roman" w:eastAsia="宋体"/>
                <w:b w:val="0"/>
                <w:i w:val="0"/>
                <w:color w:val="000000"/>
                <w:sz w:val="24"/>
              </w:rPr>
              <w:t>；2017年的FPN融合不同尺度特征，同年的Mask R-CNN在候选区域上输出实例掩膜</w:t>
            </w:r>
            <w:r>
              <w:rPr>
                <w:rFonts w:ascii="Times New Roman" w:hAnsi="Times New Roman" w:eastAsia="宋体"/>
                <w:b w:val="0"/>
                <w:i w:val="0"/>
                <w:color w:val="000000"/>
                <w:sz w:val="19"/>
                <w:vertAlign w:val="superscript"/>
              </w:rPr>
              <w:t>[27,28]</w:t>
            </w:r>
            <w:r>
              <w:rPr>
                <w:rFonts w:ascii="Times New Roman" w:hAnsi="Times New Roman" w:eastAsia="宋体"/>
                <w:b w:val="0"/>
                <w:i w:val="0"/>
                <w:color w:val="000000"/>
                <w:sz w:val="24"/>
              </w:rPr>
              <w:t>。2019年的YOLACT使用共享原型与实例系数组合掩膜</w:t>
            </w:r>
            <w:r>
              <w:rPr>
                <w:rFonts w:ascii="Times New Roman" w:hAnsi="Times New Roman" w:eastAsia="宋体"/>
                <w:b w:val="0"/>
                <w:i w:val="0"/>
                <w:color w:val="000000"/>
                <w:sz w:val="19"/>
                <w:vertAlign w:val="superscript"/>
              </w:rPr>
              <w:t>[29]</w:t>
            </w:r>
            <w:r>
              <w:rPr>
                <w:rFonts w:ascii="Times New Roman" w:hAnsi="Times New Roman" w:eastAsia="宋体"/>
                <w:b w:val="0"/>
                <w:i w:val="0"/>
                <w:color w:val="000000"/>
                <w:sz w:val="24"/>
              </w:rPr>
              <w:t>，2020年的SOLOv2以位置和动态掩膜核表达实例</w:t>
            </w:r>
            <w:r>
              <w:rPr>
                <w:rFonts w:ascii="Times New Roman" w:hAnsi="Times New Roman" w:eastAsia="宋体"/>
                <w:b w:val="0"/>
                <w:i w:val="0"/>
                <w:color w:val="000000"/>
                <w:sz w:val="19"/>
                <w:vertAlign w:val="superscript"/>
              </w:rPr>
              <w:t>[30]</w:t>
            </w:r>
            <w:r>
              <w:rPr>
                <w:rFonts w:ascii="Times New Roman" w:hAnsi="Times New Roman" w:eastAsia="宋体"/>
                <w:b w:val="0"/>
                <w:i w:val="0"/>
                <w:color w:val="000000"/>
                <w:sz w:val="24"/>
              </w:rPr>
              <w:t>。这些方法分别提供语义前景、多尺度、区域式和高效实例表示，本研究据此设置跨系列及语义加分水岭对照。</w:t>
            </w:r>
          </w:p>
          <w:p>
            <w:pPr>
              <w:keepNext w:val="0"/>
              <w:widowControl/>
              <w:spacing w:line="312" w:lineRule="auto" w:after="60"/>
              <w:ind w:firstLine="480"/>
              <w:jc w:val="both"/>
            </w:pPr>
            <w:r>
              <w:rPr>
                <w:rFonts w:ascii="Times New Roman" w:hAnsi="Times New Roman" w:eastAsia="宋体"/>
                <w:b w:val="0"/>
                <w:i w:val="0"/>
                <w:color w:val="000000"/>
                <w:sz w:val="24"/>
              </w:rPr>
              <w:t>2020年的PointRend将精细计算用于不确定的局部像素</w:t>
            </w:r>
            <w:r>
              <w:rPr>
                <w:rFonts w:ascii="Times New Roman" w:hAnsi="Times New Roman" w:eastAsia="宋体"/>
                <w:b w:val="0"/>
                <w:i w:val="0"/>
                <w:color w:val="000000"/>
                <w:sz w:val="19"/>
                <w:vertAlign w:val="superscript"/>
              </w:rPr>
              <w:t>[31]</w:t>
            </w:r>
            <w:r>
              <w:rPr>
                <w:rFonts w:ascii="Times New Roman" w:hAnsi="Times New Roman" w:eastAsia="宋体"/>
                <w:b w:val="0"/>
                <w:i w:val="0"/>
                <w:color w:val="000000"/>
                <w:sz w:val="24"/>
              </w:rPr>
              <w:t>；2021年的Boundary IoU加强边界误差评价</w:t>
            </w:r>
            <w:r>
              <w:rPr>
                <w:rFonts w:ascii="Times New Roman" w:hAnsi="Times New Roman" w:eastAsia="宋体"/>
                <w:b w:val="0"/>
                <w:i w:val="0"/>
                <w:color w:val="000000"/>
                <w:sz w:val="19"/>
                <w:vertAlign w:val="superscript"/>
              </w:rPr>
              <w:t>[32]</w:t>
            </w:r>
            <w:r>
              <w:rPr>
                <w:rFonts w:ascii="Times New Roman" w:hAnsi="Times New Roman" w:eastAsia="宋体"/>
                <w:b w:val="0"/>
                <w:i w:val="0"/>
                <w:color w:val="000000"/>
                <w:sz w:val="24"/>
              </w:rPr>
              <w:t>；2022年的SAHI和QueryDet分别通过切片、稀疏高分辨率计算关注小目标</w:t>
            </w:r>
            <w:r>
              <w:rPr>
                <w:rFonts w:ascii="Times New Roman" w:hAnsi="Times New Roman" w:eastAsia="宋体"/>
                <w:b w:val="0"/>
                <w:i w:val="0"/>
                <w:color w:val="000000"/>
                <w:sz w:val="19"/>
                <w:vertAlign w:val="superscript"/>
              </w:rPr>
              <w:t>[33,34]</w:t>
            </w:r>
            <w:r>
              <w:rPr>
                <w:rFonts w:ascii="Times New Roman" w:hAnsi="Times New Roman" w:eastAsia="宋体"/>
                <w:b w:val="0"/>
                <w:i w:val="0"/>
                <w:color w:val="000000"/>
                <w:sz w:val="24"/>
              </w:rPr>
              <w:t>。这条方法线提示本课题，不必让全幅图像始终承受最高计算量，但局部处理的截断、合并及耗时都要纳入评价。2020年的TIDE错误分型也为分析漏检、错位和背景误报提供了参考</w:t>
            </w:r>
            <w:r>
              <w:rPr>
                <w:rFonts w:ascii="Times New Roman" w:hAnsi="Times New Roman" w:eastAsia="宋体"/>
                <w:b w:val="0"/>
                <w:i w:val="0"/>
                <w:color w:val="000000"/>
                <w:sz w:val="19"/>
                <w:vertAlign w:val="superscript"/>
              </w:rPr>
              <w:t>[35]</w:t>
            </w:r>
            <w:r>
              <w:rPr>
                <w:rFonts w:ascii="Times New Roman" w:hAnsi="Times New Roman" w:eastAsia="宋体"/>
                <w:b w:val="0"/>
                <w:i w:val="0"/>
                <w:color w:val="000000"/>
                <w:sz w:val="24"/>
              </w:rPr>
              <w:t>。</w:t>
            </w:r>
          </w:p>
          <w:p>
            <w:pPr>
              <w:keepNext w:val="0"/>
              <w:widowControl/>
              <w:spacing w:line="312" w:lineRule="auto" w:after="60"/>
              <w:ind w:firstLine="480"/>
              <w:jc w:val="both"/>
            </w:pPr>
            <w:r>
              <w:rPr>
                <w:rFonts w:ascii="Times New Roman" w:hAnsi="Times New Roman" w:eastAsia="宋体"/>
                <w:b w:val="0"/>
                <w:i w:val="0"/>
                <w:color w:val="000000"/>
                <w:sz w:val="24"/>
              </w:rPr>
              <w:t>2022年的SparseInst、RTMDet与Mask2Former，2023年的FastInst，继续探索实时或查询式实例分割</w:t>
            </w:r>
            <w:r>
              <w:rPr>
                <w:rFonts w:ascii="Times New Roman" w:hAnsi="Times New Roman" w:eastAsia="宋体"/>
                <w:b w:val="0"/>
                <w:i w:val="0"/>
                <w:color w:val="000000"/>
                <w:sz w:val="19"/>
                <w:vertAlign w:val="superscript"/>
              </w:rPr>
              <w:t>[36-39]</w:t>
            </w:r>
            <w:r>
              <w:rPr>
                <w:rFonts w:ascii="Times New Roman" w:hAnsi="Times New Roman" w:eastAsia="宋体"/>
                <w:b w:val="0"/>
                <w:i w:val="0"/>
                <w:color w:val="000000"/>
                <w:sz w:val="24"/>
              </w:rPr>
              <w:t>；2025年发布、2026年被ICLR接收的RF-DETR研究实时检测Transformer的架构搜索，相关分割实现可作为跨框架候选基线</w:t>
            </w:r>
            <w:r>
              <w:rPr>
                <w:rFonts w:ascii="Times New Roman" w:hAnsi="Times New Roman" w:eastAsia="宋体"/>
                <w:b w:val="0"/>
                <w:i w:val="0"/>
                <w:color w:val="000000"/>
                <w:sz w:val="19"/>
                <w:vertAlign w:val="superscript"/>
              </w:rPr>
              <w:t>[40]</w:t>
            </w:r>
            <w:r>
              <w:rPr>
                <w:rFonts w:ascii="Times New Roman" w:hAnsi="Times New Roman" w:eastAsia="宋体"/>
                <w:b w:val="0"/>
                <w:i w:val="0"/>
                <w:color w:val="000000"/>
                <w:sz w:val="24"/>
              </w:rPr>
              <w:t>。点位估计方面，2019年的HRNet、2021年的Lite-HRNet、2022年的SimCC和2023年的RTMPose，为局部高分辨率表示、坐标分类及轻量实现提供了参照</w:t>
            </w:r>
            <w:r>
              <w:rPr>
                <w:rFonts w:ascii="Times New Roman" w:hAnsi="Times New Roman" w:eastAsia="宋体"/>
                <w:b w:val="0"/>
                <w:i w:val="0"/>
                <w:color w:val="000000"/>
                <w:sz w:val="19"/>
                <w:vertAlign w:val="superscript"/>
              </w:rPr>
              <w:t>[41-44]</w:t>
            </w:r>
            <w:r>
              <w:rPr>
                <w:rFonts w:ascii="Times New Roman" w:hAnsi="Times New Roman" w:eastAsia="宋体"/>
                <w:b w:val="0"/>
                <w:i w:val="0"/>
                <w:color w:val="000000"/>
                <w:sz w:val="24"/>
              </w:rPr>
              <w:t>。</w:t>
            </w:r>
          </w:p>
          <w:p>
            <w:pPr>
              <w:keepNext/>
              <w:keepLines/>
              <w:spacing w:line="312" w:lineRule="auto" w:before="160" w:after="100"/>
              <w:ind w:firstLine="0"/>
              <w:jc w:val="left"/>
            </w:pPr>
            <w:r>
              <w:rPr>
                <w:rFonts w:ascii="Times New Roman" w:hAnsi="Times New Roman" w:eastAsia="宋体"/>
                <w:b/>
                <w:i w:val="0"/>
                <w:color w:val="000000"/>
                <w:sz w:val="24"/>
              </w:rPr>
              <w:t>三 现有研究不足与本课题切入点</w:t>
            </w:r>
          </w:p>
          <w:p>
            <w:pPr>
              <w:keepNext w:val="0"/>
              <w:widowControl/>
              <w:spacing w:line="312" w:lineRule="auto" w:after="60"/>
              <w:ind w:firstLine="480"/>
              <w:jc w:val="both"/>
            </w:pPr>
            <w:r>
              <w:rPr>
                <w:rFonts w:ascii="Times New Roman" w:hAnsi="Times New Roman" w:eastAsia="宋体"/>
                <w:b w:val="0"/>
                <w:i w:val="0"/>
                <w:color w:val="000000"/>
                <w:sz w:val="24"/>
              </w:rPr>
              <w:t>现有研究已给出机械套袋结构、果实识别、实例分割和局部作业点定位的多种方案，能够支撑两阶段路线的选择；仍需在本课题数据与任务定义下回答三个问题。第一，增加细尺度处理后，小果召回能否提高，绿色背景误报和计算成本又如何控制。第二，保持遮挡果实的实例身份与分开接触邻果能否同时做到。第三，上游预测形成的ROI存在漏检和掩膜误差时，连接点定位还能输出多少可靠结果。后续研究围绕这些问题展开，而不预设某种模块一定有效。</w:t>
            </w:r>
          </w:p>
          <w:p>
            <w:pPr>
              <w:keepNext/>
              <w:keepLines/>
              <w:spacing w:line="312" w:lineRule="auto" w:before="160" w:after="100"/>
              <w:ind w:firstLine="0"/>
              <w:jc w:val="center"/>
            </w:pPr>
            <w:r>
              <w:rPr>
                <w:rFonts w:ascii="Times New Roman" w:hAnsi="Times New Roman" w:eastAsia="黑体"/>
                <w:b/>
                <w:i w:val="0"/>
                <w:color w:val="000000"/>
                <w:sz w:val="28"/>
              </w:rPr>
              <w:t>开题报告</w:t>
            </w:r>
          </w:p>
          <w:p>
            <w:pPr>
              <w:keepNext/>
              <w:widowControl/>
              <w:spacing w:line="312" w:lineRule="auto" w:after="60"/>
              <w:ind w:firstLine="480"/>
              <w:jc w:val="both"/>
            </w:pPr>
            <w:r>
              <w:rPr>
                <w:rFonts w:ascii="Times New Roman" w:hAnsi="Times New Roman" w:eastAsia="宋体"/>
                <w:b w:val="0"/>
                <w:i w:val="0"/>
                <w:color w:val="000000"/>
                <w:sz w:val="24"/>
              </w:rPr>
              <w:t>立题的依据，选题必须对国民经济或在学术上有一定意义。</w:t>
            </w:r>
          </w:p>
          <w:p>
            <w:pPr>
              <w:keepNext/>
              <w:widowControl/>
              <w:spacing w:line="312" w:lineRule="auto" w:after="60"/>
              <w:ind w:firstLine="480"/>
              <w:jc w:val="both"/>
            </w:pPr>
            <w:r>
              <w:rPr>
                <w:rFonts w:ascii="Times New Roman" w:hAnsi="Times New Roman" w:eastAsia="宋体"/>
                <w:b w:val="0"/>
                <w:i w:val="0"/>
                <w:color w:val="000000"/>
                <w:sz w:val="24"/>
              </w:rPr>
              <w:t>课题进行的途径，步骤的设想。</w:t>
            </w:r>
          </w:p>
          <w:p>
            <w:pPr>
              <w:keepNext/>
              <w:widowControl/>
              <w:spacing w:line="312" w:lineRule="auto" w:after="60"/>
              <w:ind w:firstLine="480"/>
              <w:jc w:val="both"/>
            </w:pPr>
            <w:r>
              <w:rPr>
                <w:rFonts w:ascii="Times New Roman" w:hAnsi="Times New Roman" w:eastAsia="宋体"/>
                <w:b w:val="0"/>
                <w:i w:val="0"/>
                <w:color w:val="000000"/>
                <w:sz w:val="24"/>
              </w:rPr>
              <w:t>需使用的仪器，一般应以选择本院现有仪器及设备为主，估计需要经费多少？</w:t>
            </w:r>
          </w:p>
          <w:p>
            <w:pPr>
              <w:keepNext/>
              <w:widowControl/>
              <w:spacing w:line="312" w:lineRule="auto" w:after="60"/>
              <w:ind w:firstLine="480"/>
              <w:jc w:val="both"/>
            </w:pPr>
            <w:r>
              <w:rPr>
                <w:rFonts w:ascii="Times New Roman" w:hAnsi="Times New Roman" w:eastAsia="宋体"/>
                <w:b w:val="0"/>
                <w:i w:val="0"/>
                <w:color w:val="000000"/>
                <w:sz w:val="24"/>
              </w:rPr>
              <w:t>课题进行时可能出现的问题及准备采取的应变措施。</w:t>
            </w:r>
          </w:p>
          <w:p>
            <w:pPr>
              <w:keepNext/>
              <w:keepLines/>
              <w:spacing w:line="312" w:lineRule="auto" w:before="160" w:after="100"/>
              <w:ind w:firstLine="0"/>
              <w:jc w:val="left"/>
            </w:pPr>
            <w:r>
              <w:rPr>
                <w:rFonts w:ascii="Times New Roman" w:hAnsi="Times New Roman" w:eastAsia="宋体"/>
                <w:b/>
                <w:i w:val="0"/>
                <w:color w:val="000000"/>
                <w:sz w:val="24"/>
              </w:rPr>
              <w:t>1 立题依据与研究目标</w:t>
            </w:r>
          </w:p>
          <w:p>
            <w:pPr>
              <w:keepNext/>
              <w:keepLines/>
              <w:spacing w:line="312" w:lineRule="auto" w:before="100" w:after="100"/>
              <w:ind w:firstLine="0"/>
              <w:jc w:val="left"/>
            </w:pPr>
            <w:r>
              <w:rPr>
                <w:rFonts w:ascii="Times New Roman" w:hAnsi="Times New Roman" w:eastAsia="宋体"/>
                <w:b/>
                <w:i w:val="0"/>
                <w:color w:val="000000"/>
                <w:sz w:val="24"/>
              </w:rPr>
              <w:t>1.1 研究对象及输出定义</w:t>
            </w:r>
          </w:p>
          <w:p>
            <w:pPr>
              <w:keepNext w:val="0"/>
              <w:widowControl/>
              <w:spacing w:line="312" w:lineRule="auto" w:after="60"/>
              <w:ind w:firstLine="480"/>
              <w:jc w:val="both"/>
            </w:pPr>
            <w:r>
              <w:rPr>
                <w:rFonts w:ascii="Times New Roman" w:hAnsi="Times New Roman" w:eastAsia="宋体"/>
                <w:b w:val="0"/>
                <w:i w:val="0"/>
                <w:color w:val="000000"/>
                <w:sz w:val="24"/>
              </w:rPr>
              <w:t>本课题研究自然果园RGB图像中的未成熟柑橘，围绕套袋前端感知开展幼果实例分割与果梗识别。幼果分割输出每颗果实的实例编号、可见掩膜、框和置信分数；果梗识别在该实例的局部图像中判断连接区能否辨认，并在证据充分时输出二维连接点。分割以真实可见果面为目标，不推断叶片遮住的完整果体。</w:t>
            </w:r>
          </w:p>
          <w:p>
            <w:pPr>
              <w:keepNext w:val="0"/>
              <w:widowControl/>
              <w:spacing w:line="312" w:lineRule="auto" w:after="60"/>
              <w:ind w:firstLine="480"/>
              <w:jc w:val="both"/>
            </w:pPr>
            <w:r>
              <w:rPr>
                <w:rFonts w:ascii="Times New Roman" w:hAnsi="Times New Roman" w:eastAsia="宋体"/>
                <w:b w:val="0"/>
                <w:i w:val="0"/>
                <w:color w:val="000000"/>
                <w:sz w:val="24"/>
              </w:rPr>
              <w:t>果梗连接点定义为果梗进入指定果体的连接区域在图像中的代表位置：连接区清晰时取其中部；呈窄带时，按标注规范取中心线与果体轮廓的交接位置。这个点是局部几何参照，不直接等同于采摘切割点或袋口扎口点。扎口的三维位置、容差与执行轨迹还需要深度、标定及具体机构验证，本课题首先交付可核查的二维视觉结果。</w:t>
            </w:r>
          </w:p>
          <w:p>
            <w:pPr>
              <w:keepNext/>
              <w:keepLines/>
              <w:spacing w:line="312" w:lineRule="auto" w:before="100" w:after="100"/>
              <w:ind w:firstLine="0"/>
              <w:jc w:val="left"/>
            </w:pPr>
            <w:r>
              <w:rPr>
                <w:rFonts w:ascii="Times New Roman" w:hAnsi="Times New Roman" w:eastAsia="宋体"/>
                <w:b/>
                <w:i w:val="0"/>
                <w:color w:val="000000"/>
                <w:sz w:val="24"/>
              </w:rPr>
              <w:t>1.2 总体目标与技术路线</w:t>
            </w:r>
          </w:p>
          <w:p>
            <w:pPr>
              <w:keepNext w:val="0"/>
              <w:widowControl/>
              <w:spacing w:line="312" w:lineRule="auto" w:after="60"/>
              <w:ind w:firstLine="480"/>
              <w:jc w:val="both"/>
            </w:pPr>
            <w:r>
              <w:rPr>
                <w:rFonts w:ascii="Times New Roman" w:hAnsi="Times New Roman" w:eastAsia="宋体"/>
                <w:b w:val="0"/>
                <w:i w:val="0"/>
                <w:color w:val="000000"/>
                <w:sz w:val="24"/>
              </w:rPr>
              <w:t>总体目标是建立一条具有明确实例对应关系的感知链。图9以套袋作业需求为起点，依次连接数据核查、幼果实例分割、外扩单果ROI、连接点热图与可定位性输出，并把分组划分、消融和完整级联评价作为共同的验证基础。两阶段分开训练，使分割与点位误差能够分别分析；最终将真实分割预测送入点位网络，检查两者接起来后的效果。</w:t>
            </w:r>
          </w:p>
          <w:p>
            <w:pPr>
              <w:keepNext/>
              <w:keepLines/>
              <w:spacing w:before="120" w:after="40" w:line="240" w:lineRule="auto"/>
              <w:ind w:firstLine="0"/>
              <w:jc w:val="center"/>
            </w:pPr>
            <w:r>
              <w:drawing>
                <wp:inline xmlns:a="http://schemas.openxmlformats.org/drawingml/2006/main" xmlns:pic="http://schemas.openxmlformats.org/drawingml/2006/picture">
                  <wp:extent cx="4598637" cy="3312000"/>
                  <wp:docPr id="2133873095" name="Picture 2133873095"/>
                  <wp:cNvGraphicFramePr>
                    <a:graphicFrameLocks noChangeAspect="1"/>
                  </wp:cNvGraphicFramePr>
                  <a:graphic>
                    <a:graphicData uri="http://schemas.openxmlformats.org/drawingml/2006/picture">
                      <pic:pic>
                        <pic:nvPicPr>
                          <pic:cNvPr id="0" name="technical_route.png"/>
                          <pic:cNvPicPr/>
                        </pic:nvPicPr>
                        <pic:blipFill>
                          <a:blip r:embed="rId92"/>
                          <a:stretch>
                            <a:fillRect/>
                          </a:stretch>
                        </pic:blipFill>
                        <pic:spPr>
                          <a:xfrm>
                            <a:off x="0" y="0"/>
                            <a:ext cx="4598637" cy="3312000"/>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图9 本课题总体技术路线 本研究绘制 虚线为后续机械应用接口</w:t>
            </w:r>
          </w:p>
          <w:p>
            <w:pPr>
              <w:keepNext w:val="0"/>
              <w:widowControl/>
              <w:spacing w:line="312" w:lineRule="auto" w:after="60"/>
              <w:ind w:firstLine="480"/>
              <w:jc w:val="both"/>
            </w:pPr>
            <w:r>
              <w:rPr>
                <w:rFonts w:ascii="Times New Roman" w:hAnsi="Times New Roman" w:eastAsia="宋体"/>
                <w:b w:val="0"/>
                <w:i w:val="0"/>
                <w:color w:val="000000"/>
                <w:sz w:val="24"/>
              </w:rPr>
              <w:t>具体工作分为三个相互依赖的部分。首先固定数据成员、可见实例标注和困难类型，补充连接点及不可判定状态；其次围绕小果像素、近色背景和可见边界开展实例分割研究，得到可靠的单果输出；最后由每个实例生成外扩ROI，保留周围RGB并加入目标掩膜提示，定位该果的连接处。前一阶段的输出规范就是后一阶段的输入规范，避免“分割研究”和“果梗研究”各做一套而无法衔接。</w:t>
            </w:r>
          </w:p>
          <w:p>
            <w:pPr>
              <w:keepNext/>
              <w:keepLines/>
              <w:spacing w:line="312" w:lineRule="auto" w:before="100" w:after="100"/>
              <w:ind w:firstLine="0"/>
              <w:jc w:val="left"/>
            </w:pPr>
            <w:r>
              <w:rPr>
                <w:rFonts w:ascii="Times New Roman" w:hAnsi="Times New Roman" w:eastAsia="宋体"/>
                <w:b/>
                <w:i w:val="0"/>
                <w:color w:val="000000"/>
                <w:sz w:val="24"/>
              </w:rPr>
              <w:t>1.3 研究问题与拟解决的方法</w:t>
            </w:r>
          </w:p>
          <w:p>
            <w:pPr>
              <w:keepNext w:val="0"/>
              <w:widowControl/>
              <w:spacing w:line="312" w:lineRule="auto" w:after="60"/>
              <w:ind w:firstLine="480"/>
              <w:jc w:val="both"/>
            </w:pPr>
            <w:r>
              <w:rPr>
                <w:rFonts w:ascii="Times New Roman" w:hAnsi="Times New Roman" w:eastAsia="宋体"/>
                <w:b w:val="0"/>
                <w:i w:val="0"/>
                <w:color w:val="000000"/>
                <w:sz w:val="24"/>
              </w:rPr>
              <w:t>小目标问题先从输入信息处理。若一个幼果缩放后只剩几像素，网络再加深也未必获得新的边界证据，因此先比较整图与局部视图混合训练，研究在有限处理预算下保留小果像素。绿色背景混淆则从场景判别处理：在保留局部细节的前提下，用软前景和背景上下文辅助识别，并单独分析背景误报。</w:t>
            </w:r>
          </w:p>
          <w:p>
            <w:pPr>
              <w:keepNext w:val="0"/>
              <w:widowControl/>
              <w:spacing w:line="312" w:lineRule="auto" w:after="60"/>
              <w:ind w:firstLine="480"/>
              <w:jc w:val="both"/>
            </w:pPr>
            <w:r>
              <w:rPr>
                <w:rFonts w:ascii="Times New Roman" w:hAnsi="Times New Roman" w:eastAsia="宋体"/>
                <w:b w:val="0"/>
                <w:i w:val="0"/>
                <w:color w:val="000000"/>
                <w:sz w:val="24"/>
              </w:rPr>
              <w:t>遮挡和接触问题从监督与评价处理。可见边界损失要求保留叶枝造成的真实缺口，邻果区域对当前实例构成负像素约束；同时分别统计同果分裂和异果合并，检查一种错误下降时另一种是否增加。果梗问题从条件输入处理：外扩ROI保留细梗，目标软掩膜指出当前果实，可定位性头判断是否应当给点。表2列出问题、方案和验证之间的对应关系。</w:t>
            </w:r>
          </w:p>
        </w:tc>
      </w:tr>
      <w:tr>
        <w:trPr>
          <w:cantSplit/>
        </w:trPr>
        <w:tc>
          <w:tcPr>
            <w:tcW w:w="10343" w:type="dxa"/>
            <w:gridSpan w:val="2"/>
            <w:tcBorders>
              <w:bottom w:val="nil" w:sz="4" w:space="0" w:color="auto"/>
              <w:top w:val="nil"/>
            </w:tcBorders>
          </w:tcPr>
          <w:p>
            <w:pPr>
              <w:keepNext/>
              <w:spacing w:before="120" w:after="60"/>
              <w:ind w:firstLine="0"/>
              <w:jc w:val="center"/>
            </w:pPr>
            <w:r>
              <w:rPr>
                <w:rFonts w:ascii="Times New Roman" w:hAnsi="Times New Roman" w:eastAsia="宋体"/>
                <w:b/>
                <w:i w:val="0"/>
                <w:color w:val="000000"/>
                <w:sz w:val="21"/>
              </w:rPr>
              <w:t>表2 视觉问题与方法验证的对应关系</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48"/>
              <w:gridCol w:w="3448"/>
              <w:gridCol w:w="3448"/>
            </w:tblGrid>
            <w:tr>
              <w:trPr>
                <w:cantSplit/>
                <w:tblHeader/>
                <w:cantSplit/>
                <w:tblHeader/>
              </w:trPr>
              <w:tc>
                <w:tcPr>
                  <w:tcW w:type="dxa" w:w="2142"/>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具体问题</w:t>
                  </w:r>
                </w:p>
              </w:tc>
              <w:tc>
                <w:tcPr>
                  <w:tcW w:type="dxa" w:w="2498"/>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拟研究方法</w:t>
                  </w:r>
                </w:p>
              </w:tc>
              <w:tc>
                <w:tcPr>
                  <w:tcW w:type="dxa" w:w="3807"/>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鉴别实验及关键观察</w:t>
                  </w:r>
                </w:p>
              </w:tc>
            </w:tr>
            <w:tr>
              <w:trPr>
                <w:cantSplit/>
                <w:cantSplit/>
              </w:trPr>
              <w:tc>
                <w:tcPr>
                  <w:tcW w:type="dxa" w:w="2142"/>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小果像素不足、单图尺度跨度大</w:t>
                  </w:r>
                </w:p>
              </w:tc>
              <w:tc>
                <w:tcPr>
                  <w:tcW w:type="dxa" w:w="249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整图与局部视图混合；有限细尺度处理</w:t>
                  </w:r>
                </w:p>
              </w:tc>
              <w:tc>
                <w:tcPr>
                  <w:tcW w:type="dxa" w:w="3807"/>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同协议整图、固定切片及等预算方案；小果匹配和完整耗时</w:t>
                  </w:r>
                </w:p>
              </w:tc>
            </w:tr>
            <w:tr>
              <w:trPr>
                <w:cantSplit/>
                <w:cantSplit/>
              </w:trPr>
              <w:tc>
                <w:tcPr>
                  <w:tcW w:type="dxa" w:w="2142"/>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绿色果叶背景相近</w:t>
                  </w:r>
                </w:p>
              </w:tc>
              <w:tc>
                <w:tcPr>
                  <w:tcW w:type="dxa" w:w="249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可见前景监督及软区域上下文判别</w:t>
                  </w:r>
                </w:p>
              </w:tc>
              <w:tc>
                <w:tcPr>
                  <w:tcW w:type="dxa" w:w="3807"/>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无上下文与有上下文对照；固定精度下召回及误报分型</w:t>
                  </w:r>
                </w:p>
              </w:tc>
            </w:tr>
            <w:tr>
              <w:trPr>
                <w:cantSplit/>
                <w:cantSplit/>
              </w:trPr>
              <w:tc>
                <w:tcPr>
                  <w:tcW w:type="dxa" w:w="2142"/>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同果遮挡片段与异果接触易混淆</w:t>
                  </w:r>
                </w:p>
              </w:tc>
              <w:tc>
                <w:tcPr>
                  <w:tcW w:type="dxa" w:w="249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可见边界、邻果负区域分别监督</w:t>
                  </w:r>
                </w:p>
              </w:tc>
              <w:tc>
                <w:tcPr>
                  <w:tcW w:type="dxa" w:w="3807"/>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基础损失、仅边界、仅邻果、有效组合；分裂/合并与边界质量</w:t>
                  </w:r>
                </w:p>
              </w:tc>
            </w:tr>
            <w:tr>
              <w:trPr>
                <w:cantSplit/>
                <w:cantSplit/>
              </w:trPr>
              <w:tc>
                <w:tcPr>
                  <w:tcW w:type="dxa" w:w="2142"/>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center"/>
                  </w:pPr>
                  <w:r>
                    <w:rPr>
                      <w:rFonts w:ascii="Times New Roman" w:hAnsi="Times New Roman" w:eastAsia="宋体"/>
                      <w:b w:val="0"/>
                      <w:i w:val="0"/>
                      <w:color w:val="000000"/>
                      <w:sz w:val="21"/>
                    </w:rPr>
                    <w:t>果梗细小、邻果干扰、连接区不可见</w:t>
                  </w:r>
                </w:p>
              </w:tc>
              <w:tc>
                <w:tcPr>
                  <w:tcW w:type="dxa" w:w="2498"/>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外扩ROI、实例软掩膜、热图及可定位性</w:t>
                  </w:r>
                </w:p>
              </w:tc>
              <w:tc>
                <w:tcPr>
                  <w:tcW w:type="dxa" w:w="3807"/>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RGB与掩膜提示；真值与预测ROI；点误差、覆盖率及错误接受</w:t>
                  </w:r>
                </w:p>
              </w:tc>
            </w:tr>
          </w:tbl>
          <w:p/>
        </w:tc>
      </w:tr>
      <w:tr>
        <w:trPr/>
        <w:tc>
          <w:tcPr>
            <w:tcW w:w="10343" w:type="dxa"/>
            <w:gridSpan w:val="2"/>
            <w:tcBorders>
              <w:bottom w:val="nil" w:sz="4" w:space="0" w:color="auto"/>
              <w:top w:val="nil"/>
            </w:tcBorders>
          </w:tcPr>
          <w:p/>
          <w:p/>
          <w:p>
            <w:pPr>
              <w:keepNext/>
              <w:keepLines/>
              <w:spacing w:line="312" w:lineRule="auto" w:before="160" w:after="100"/>
              <w:ind w:firstLine="0"/>
              <w:jc w:val="left"/>
            </w:pPr>
            <w:r>
              <w:rPr>
                <w:rFonts w:ascii="Times New Roman" w:hAnsi="Times New Roman" w:eastAsia="宋体"/>
                <w:b/>
                <w:i w:val="0"/>
                <w:color w:val="000000"/>
                <w:sz w:val="24"/>
              </w:rPr>
              <w:t>2 数据基础与标注方案</w:t>
            </w:r>
          </w:p>
          <w:p>
            <w:pPr>
              <w:keepNext/>
              <w:keepLines/>
              <w:spacing w:line="312" w:lineRule="auto" w:before="100" w:after="100"/>
              <w:ind w:firstLine="0"/>
              <w:jc w:val="left"/>
            </w:pPr>
            <w:r>
              <w:rPr>
                <w:rFonts w:ascii="Times New Roman" w:hAnsi="Times New Roman" w:eastAsia="宋体"/>
                <w:b/>
                <w:i w:val="0"/>
                <w:color w:val="000000"/>
                <w:sz w:val="24"/>
              </w:rPr>
              <w:t>2.1 现有实例数据及困难画像</w:t>
            </w:r>
          </w:p>
          <w:p>
            <w:pPr>
              <w:keepNext w:val="0"/>
              <w:widowControl/>
              <w:spacing w:line="312" w:lineRule="auto" w:after="60"/>
              <w:ind w:firstLine="480"/>
              <w:jc w:val="both"/>
            </w:pPr>
            <w:r>
              <w:rPr>
                <w:rFonts w:ascii="Times New Roman" w:hAnsi="Times New Roman" w:eastAsia="宋体"/>
                <w:b w:val="0"/>
                <w:i w:val="0"/>
                <w:color w:val="000000"/>
                <w:sz w:val="24"/>
              </w:rPr>
              <w:t>已有按采集组划分并去除明确重复实例的数据版本，共965张图像、5,890个幼果可见实例。训练、验证、测试分别包含676、193、96张图像，实例数为4,120、1,181、589，采集组数为180、77、46。现有审计规则下，采集组和完全相同图像没有跨集合。该划分用于减少相近拍摄样本造成的偏差，仍不能替代独立果园的泛化验证。</w:t>
            </w:r>
          </w:p>
        </w:tc>
      </w:tr>
      <w:tr>
        <w:trPr>
          <w:cantSplit/>
        </w:trPr>
        <w:tc>
          <w:tcPr>
            <w:tcW w:w="10343" w:type="dxa"/>
            <w:gridSpan w:val="2"/>
            <w:tcBorders>
              <w:bottom w:val="nil" w:sz="4" w:space="0" w:color="auto"/>
              <w:top w:val="nil"/>
            </w:tcBorders>
          </w:tcPr>
          <w:p>
            <w:pPr>
              <w:keepNext/>
              <w:spacing w:before="120" w:after="60"/>
              <w:ind w:firstLine="0"/>
              <w:jc w:val="center"/>
            </w:pPr>
            <w:r>
              <w:rPr>
                <w:rFonts w:ascii="Times New Roman" w:hAnsi="Times New Roman" w:eastAsia="宋体"/>
                <w:b/>
                <w:i w:val="0"/>
                <w:color w:val="000000"/>
                <w:sz w:val="21"/>
              </w:rPr>
              <w:t>表3 正式数据划分与来源</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69"/>
              <w:gridCol w:w="2069"/>
              <w:gridCol w:w="2069"/>
              <w:gridCol w:w="2069"/>
              <w:gridCol w:w="2069"/>
            </w:tblGrid>
            <w:tr>
              <w:trPr>
                <w:cantSplit/>
                <w:tblHeader/>
                <w:cantSplit/>
                <w:tblHeader/>
              </w:trPr>
              <w:tc>
                <w:tcPr>
                  <w:tcW w:type="dxa" w:w="955"/>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集合</w:t>
                  </w:r>
                </w:p>
              </w:tc>
              <w:tc>
                <w:tcPr>
                  <w:tcW w:type="dxa" w:w="955"/>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图像数</w:t>
                  </w:r>
                </w:p>
              </w:tc>
              <w:tc>
                <w:tcPr>
                  <w:tcW w:type="dxa" w:w="1085"/>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实例数</w:t>
                  </w:r>
                </w:p>
              </w:tc>
              <w:tc>
                <w:tcPr>
                  <w:tcW w:type="dxa" w:w="955"/>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采集组数</w:t>
                  </w:r>
                </w:p>
              </w:tc>
              <w:tc>
                <w:tcPr>
                  <w:tcW w:type="dxa" w:w="4496"/>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来源与用途</w:t>
                  </w:r>
                </w:p>
              </w:tc>
            </w:tr>
            <w:tr>
              <w:trPr>
                <w:cantSplit/>
                <w:cantSplit/>
              </w:trPr>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训练</w:t>
                  </w:r>
                </w:p>
              </w:tc>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676</w:t>
                  </w:r>
                </w:p>
              </w:tc>
              <w:tc>
                <w:tcPr>
                  <w:tcW w:type="dxa" w:w="108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4,120</w:t>
                  </w:r>
                </w:p>
              </w:tc>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180</w:t>
                  </w:r>
                </w:p>
              </w:tc>
              <w:tc>
                <w:tcPr>
                  <w:tcW w:type="dxa" w:w="449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644张相机图、29张视频来源图、3张生成图；用于学习</w:t>
                  </w:r>
                </w:p>
              </w:tc>
            </w:tr>
            <w:tr>
              <w:trPr>
                <w:cantSplit/>
                <w:cantSplit/>
              </w:trPr>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验证</w:t>
                  </w:r>
                </w:p>
              </w:tc>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193</w:t>
                  </w:r>
                </w:p>
              </w:tc>
              <w:tc>
                <w:tcPr>
                  <w:tcW w:type="dxa" w:w="108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1,181</w:t>
                  </w:r>
                </w:p>
              </w:tc>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77</w:t>
                  </w:r>
                </w:p>
              </w:tc>
              <w:tc>
                <w:tcPr>
                  <w:tcW w:type="dxa" w:w="449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相机来源图；模型与阈值选择</w:t>
                  </w:r>
                </w:p>
              </w:tc>
            </w:tr>
            <w:tr>
              <w:trPr>
                <w:cantSplit/>
                <w:cantSplit/>
              </w:trPr>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测试</w:t>
                  </w:r>
                </w:p>
              </w:tc>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96</w:t>
                  </w:r>
                </w:p>
              </w:tc>
              <w:tc>
                <w:tcPr>
                  <w:tcW w:type="dxa" w:w="108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589</w:t>
                  </w:r>
                </w:p>
              </w:tc>
              <w:tc>
                <w:tcPr>
                  <w:tcW w:type="dxa" w:w="95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46</w:t>
                  </w:r>
                </w:p>
              </w:tc>
              <w:tc>
                <w:tcPr>
                  <w:tcW w:type="dxa" w:w="449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相机来源图；模型冻结后评价</w:t>
                  </w:r>
                </w:p>
              </w:tc>
            </w:tr>
            <w:tr>
              <w:trPr>
                <w:cantSplit/>
                <w:cantSplit/>
              </w:trPr>
              <w:tc>
                <w:tcPr>
                  <w:tcW w:type="dxa" w:w="955"/>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center"/>
                  </w:pPr>
                  <w:r>
                    <w:rPr>
                      <w:rFonts w:ascii="Times New Roman" w:hAnsi="Times New Roman" w:eastAsia="宋体"/>
                      <w:b w:val="0"/>
                      <w:i w:val="0"/>
                      <w:color w:val="000000"/>
                      <w:sz w:val="21"/>
                    </w:rPr>
                    <w:t>合计</w:t>
                  </w:r>
                </w:p>
              </w:tc>
              <w:tc>
                <w:tcPr>
                  <w:tcW w:type="dxa" w:w="955"/>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965</w:t>
                  </w:r>
                </w:p>
              </w:tc>
              <w:tc>
                <w:tcPr>
                  <w:tcW w:type="dxa" w:w="1085"/>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5,890</w:t>
                  </w:r>
                </w:p>
              </w:tc>
              <w:tc>
                <w:tcPr>
                  <w:tcW w:type="dxa" w:w="955"/>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303</w:t>
                  </w:r>
                </w:p>
              </w:tc>
              <w:tc>
                <w:tcPr>
                  <w:tcW w:type="dxa" w:w="4496"/>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单类未成熟柑橘可见实例</w:t>
                  </w:r>
                </w:p>
              </w:tc>
            </w:tr>
          </w:tbl>
          <w:p/>
        </w:tc>
      </w:tr>
      <w:tr>
        <w:trPr/>
        <w:tc>
          <w:tcPr>
            <w:tcW w:w="10343" w:type="dxa"/>
            <w:gridSpan w:val="2"/>
            <w:tcBorders>
              <w:bottom w:val="nil" w:sz="4" w:space="0" w:color="auto"/>
              <w:top w:val="nil"/>
            </w:tcBorders>
          </w:tcPr>
          <w:p/>
          <w:p/>
          <w:p>
            <w:pPr>
              <w:keepNext w:val="0"/>
              <w:widowControl/>
              <w:spacing w:line="312" w:lineRule="auto" w:after="60"/>
              <w:ind w:firstLine="480"/>
              <w:jc w:val="both"/>
            </w:pPr>
            <w:r>
              <w:rPr>
                <w:rFonts w:ascii="Times New Roman" w:hAnsi="Times New Roman" w:eastAsia="宋体"/>
                <w:b w:val="0"/>
                <w:i w:val="0"/>
                <w:color w:val="000000"/>
                <w:sz w:val="24"/>
              </w:rPr>
              <w:t>在长边等效缩放至640像素的口径下，2,853个实例的外接框短边不足32像素，占48.44%；1,170个不足16像素，占19.86%。800张多实例图中，最大与最小实例面积比的中位数约10.53，对应线性尺度比约3.25。图10显示小果像素不足和单图尺度差异具有实际数据依据。</w:t>
            </w:r>
          </w:p>
          <w:p>
            <w:pPr>
              <w:keepNext/>
              <w:keepLines/>
              <w:spacing w:before="120" w:after="40" w:line="240" w:lineRule="auto"/>
              <w:ind w:firstLine="0"/>
              <w:jc w:val="center"/>
            </w:pPr>
            <w:r>
              <w:drawing>
                <wp:inline xmlns:a="http://schemas.openxmlformats.org/drawingml/2006/main" xmlns:pic="http://schemas.openxmlformats.org/drawingml/2006/picture">
                  <wp:extent cx="5184000" cy="2304000"/>
                  <wp:docPr id="2133873096" name="Picture 2133873096"/>
                  <wp:cNvGraphicFramePr>
                    <a:graphicFrameLocks noChangeAspect="1"/>
                  </wp:cNvGraphicFramePr>
                  <a:graphic>
                    <a:graphicData uri="http://schemas.openxmlformats.org/drawingml/2006/picture">
                      <pic:pic>
                        <pic:nvPicPr>
                          <pic:cNvPr id="0" name="fig03_profile.png"/>
                          <pic:cNvPicPr/>
                        </pic:nvPicPr>
                        <pic:blipFill>
                          <a:blip r:embed="rId93"/>
                          <a:stretch>
                            <a:fillRect/>
                          </a:stretch>
                        </pic:blipFill>
                        <pic:spPr>
                          <a:xfrm>
                            <a:off x="0" y="0"/>
                            <a:ext cx="5184000" cy="2304000"/>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图10 正式标签的尺度 形状与划分统计 本研究依据已有标注绘制</w:t>
            </w:r>
          </w:p>
          <w:p>
            <w:pPr>
              <w:keepNext w:val="0"/>
              <w:widowControl/>
              <w:spacing w:line="312" w:lineRule="auto" w:after="60"/>
              <w:ind w:firstLine="480"/>
              <w:jc w:val="both"/>
            </w:pPr>
            <w:r>
              <w:rPr>
                <w:rFonts w:ascii="Times New Roman" w:hAnsi="Times New Roman" w:eastAsia="宋体"/>
                <w:b w:val="0"/>
                <w:i w:val="0"/>
                <w:color w:val="000000"/>
                <w:sz w:val="24"/>
              </w:rPr>
              <w:t>可见面积与凸包面积之比称为solidity，约24.16%的实例低于0.90，提示一部分轮廓存在较大凹陷。低值也可能来自贴边截断或标注误差，不能直接当作遮挡比例。图11示意条带遮挡与邻果接触的不同要求；后续将用几何初筛配合人工复核建立子集，而不是仅以一个阈值认定遮挡成因。</w:t>
            </w:r>
          </w:p>
          <w:p>
            <w:pPr>
              <w:keepNext/>
              <w:keepLines/>
              <w:spacing w:before="120" w:after="40" w:line="240" w:lineRule="auto"/>
              <w:ind w:firstLine="0"/>
              <w:jc w:val="center"/>
            </w:pPr>
            <w:r>
              <w:drawing>
                <wp:inline xmlns:a="http://schemas.openxmlformats.org/drawingml/2006/main" xmlns:pic="http://schemas.openxmlformats.org/drawingml/2006/picture">
                  <wp:extent cx="5184000" cy="2448000"/>
                  <wp:docPr id="2133873097" name="Picture 2133873097"/>
                  <wp:cNvGraphicFramePr>
                    <a:graphicFrameLocks noChangeAspect="1"/>
                  </wp:cNvGraphicFramePr>
                  <a:graphic>
                    <a:graphicData uri="http://schemas.openxmlformats.org/drawingml/2006/picture">
                      <pic:pic>
                        <pic:nvPicPr>
                          <pic:cNvPr id="0" name="fig04_topology.png"/>
                          <pic:cNvPicPr/>
                        </pic:nvPicPr>
                        <pic:blipFill>
                          <a:blip r:embed="rId94"/>
                          <a:stretch>
                            <a:fillRect/>
                          </a:stretch>
                        </pic:blipFill>
                        <pic:spPr>
                          <a:xfrm>
                            <a:off x="0" y="0"/>
                            <a:ext cx="5184000" cy="2448000"/>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图11 条带遮挡与邻果接触的实例身份冲突 本研究绘制 为任务示意</w:t>
            </w:r>
          </w:p>
          <w:p>
            <w:pPr>
              <w:keepNext/>
              <w:keepLines/>
              <w:spacing w:line="312" w:lineRule="auto" w:before="100" w:after="100"/>
              <w:ind w:firstLine="0"/>
              <w:jc w:val="left"/>
            </w:pPr>
            <w:r>
              <w:rPr>
                <w:rFonts w:ascii="Times New Roman" w:hAnsi="Times New Roman" w:eastAsia="宋体"/>
                <w:b/>
                <w:i w:val="0"/>
                <w:color w:val="000000"/>
                <w:sz w:val="24"/>
              </w:rPr>
              <w:t>2.2 实例标签与困难子集核查</w:t>
            </w:r>
          </w:p>
          <w:p>
            <w:pPr>
              <w:keepNext w:val="0"/>
              <w:widowControl/>
              <w:spacing w:line="312" w:lineRule="auto" w:after="60"/>
              <w:ind w:firstLine="480"/>
              <w:jc w:val="both"/>
            </w:pPr>
            <w:r>
              <w:rPr>
                <w:rFonts w:ascii="Times New Roman" w:hAnsi="Times New Roman" w:eastAsia="宋体"/>
                <w:b w:val="0"/>
                <w:i w:val="0"/>
                <w:color w:val="000000"/>
                <w:sz w:val="24"/>
              </w:rPr>
              <w:t>正式训练前，核查极小果、贴边截断、深凹轮廓及密集邻果的标注，固定YOLO多边形与评价掩膜的坐标转换。对于被叶片分隔的同一果实，检查数据格式是否支持共同实例身份，不用连接背景像素的方法补成凸形。标签修订形成新版本，并由所有比较方法共同使用。训练中3张生成图保留来源记录，另做去除这3张图的敏感性对照。</w:t>
            </w:r>
          </w:p>
          <w:p>
            <w:pPr>
              <w:keepNext w:val="0"/>
              <w:widowControl/>
              <w:spacing w:line="312" w:lineRule="auto" w:after="60"/>
              <w:ind w:firstLine="480"/>
              <w:jc w:val="both"/>
            </w:pPr>
            <w:r>
              <w:rPr>
                <w:rFonts w:ascii="Times New Roman" w:hAnsi="Times New Roman" w:eastAsia="宋体"/>
                <w:b w:val="0"/>
                <w:i w:val="0"/>
                <w:color w:val="000000"/>
                <w:sz w:val="24"/>
              </w:rPr>
              <w:t>困难子集拟包含小尺度、人工确认的凹陷遮挡、邻果接触和贴边截断。邻果间隙以原图轮廓最短距离除以平均等效直径进行归一化；存在真实背景缝时检查是否被填充，没有背景缝时检查实例归属，不人为要求模型造出一条背景线。阈值从训练分布与复核样本中确定，冻结后应用于验证和测试，并报告每类图像、实例或实例对数量。</w:t>
            </w:r>
          </w:p>
          <w:p>
            <w:pPr>
              <w:keepNext/>
              <w:keepLines/>
              <w:spacing w:line="312" w:lineRule="auto" w:before="100" w:after="100"/>
              <w:ind w:firstLine="0"/>
              <w:jc w:val="left"/>
            </w:pPr>
            <w:r>
              <w:rPr>
                <w:rFonts w:ascii="Times New Roman" w:hAnsi="Times New Roman" w:eastAsia="宋体"/>
                <w:b/>
                <w:i w:val="0"/>
                <w:color w:val="000000"/>
                <w:sz w:val="24"/>
              </w:rPr>
              <w:t>2.3 果梗连接点与状态标注</w:t>
            </w:r>
          </w:p>
          <w:p>
            <w:pPr>
              <w:keepNext w:val="0"/>
              <w:widowControl/>
              <w:spacing w:line="312" w:lineRule="auto" w:after="60"/>
              <w:ind w:firstLine="480"/>
              <w:jc w:val="both"/>
            </w:pPr>
            <w:r>
              <w:rPr>
                <w:rFonts w:ascii="Times New Roman" w:hAnsi="Times New Roman" w:eastAsia="宋体"/>
                <w:b w:val="0"/>
                <w:i w:val="0"/>
                <w:color w:val="000000"/>
                <w:sz w:val="24"/>
              </w:rPr>
              <w:t>现有原始标注只有幼果多边形，尚无正式果梗连接点数据。第一步拟从训练侧选50—100张图像进行双人独立试标，检查点位定义、局部ROI覆盖和可辨认比例，再确定正式补标规模。试标以真实图像证据为依据，不按网络需要推测隐藏位置。</w:t>
            </w:r>
          </w:p>
          <w:p>
            <w:pPr>
              <w:keepNext w:val="0"/>
              <w:widowControl/>
              <w:spacing w:line="312" w:lineRule="auto" w:after="60"/>
              <w:ind w:firstLine="480"/>
              <w:jc w:val="both"/>
            </w:pPr>
            <w:r>
              <w:rPr>
                <w:rFonts w:ascii="Times New Roman" w:hAnsi="Times New Roman" w:eastAsia="宋体"/>
                <w:b w:val="0"/>
                <w:i w:val="0"/>
                <w:color w:val="000000"/>
                <w:sz w:val="24"/>
              </w:rPr>
              <w:t>标注分为清晰可见、局部遮挡但可定位、不可判定三类。局部遮挡可定位指剩余连接证据足以直接确定点位，不以推断隐藏中心为依据。前两类在规范明确且复核一致时给代表点，第三类只记录状态与原因；连接区完全遮挡、严重模糊或存在多个合理解释时，不赋予猜测坐标。图18给出规则示意。双人差异同时以原图像素和目标框对角线归一化距离报告，分歧样本用于改进规范。</w:t>
            </w:r>
          </w:p>
          <w:p>
            <w:pPr>
              <w:keepNext w:val="0"/>
              <w:widowControl/>
              <w:spacing w:line="312" w:lineRule="auto" w:after="60"/>
              <w:ind w:firstLine="480"/>
              <w:jc w:val="both"/>
            </w:pPr>
            <w:r>
              <w:rPr>
                <w:rFonts w:ascii="Times New Roman" w:hAnsi="Times New Roman" w:eastAsia="宋体"/>
                <w:b w:val="0"/>
                <w:i w:val="0"/>
                <w:color w:val="000000"/>
                <w:sz w:val="24"/>
              </w:rPr>
              <w:t>点位记录继承果实实例ID、原图文件和采集组，正式补标沿用独立划分。若试标发现现有图像中过多连接区不可辨，将补采近距离RGB图像，并记录品种、物候、日期和批次。补采完成前不写已有点位准确率；不可判定实例仍用于状态及输出覆盖率评价。</w:t>
            </w:r>
          </w:p>
          <w:p>
            <w:pPr>
              <w:keepNext/>
              <w:keepLines/>
              <w:spacing w:line="312" w:lineRule="auto" w:before="160" w:after="100"/>
              <w:ind w:firstLine="0"/>
              <w:jc w:val="left"/>
            </w:pPr>
            <w:r>
              <w:rPr>
                <w:rFonts w:ascii="Times New Roman" w:hAnsi="Times New Roman" w:eastAsia="宋体"/>
                <w:b/>
                <w:i w:val="0"/>
                <w:color w:val="000000"/>
                <w:sz w:val="24"/>
              </w:rPr>
              <w:t>3 轻量幼果实例分割方法</w:t>
            </w:r>
          </w:p>
          <w:p>
            <w:pPr>
              <w:keepNext/>
              <w:keepLines/>
              <w:spacing w:line="312" w:lineRule="auto" w:before="100" w:after="100"/>
              <w:ind w:firstLine="0"/>
              <w:jc w:val="left"/>
            </w:pPr>
            <w:r>
              <w:rPr>
                <w:rFonts w:ascii="Times New Roman" w:hAnsi="Times New Roman" w:eastAsia="宋体"/>
                <w:b/>
                <w:i w:val="0"/>
                <w:color w:val="000000"/>
                <w:sz w:val="24"/>
              </w:rPr>
              <w:t>3.1 基线与相关网络结构</w:t>
            </w:r>
          </w:p>
          <w:p>
            <w:pPr>
              <w:keepNext w:val="0"/>
              <w:widowControl/>
              <w:spacing w:line="312" w:lineRule="auto" w:after="60"/>
              <w:ind w:firstLine="480"/>
              <w:jc w:val="both"/>
            </w:pPr>
            <w:r>
              <w:rPr>
                <w:rFonts w:ascii="Times New Roman" w:hAnsi="Times New Roman" w:eastAsia="宋体"/>
                <w:b w:val="0"/>
                <w:i w:val="0"/>
                <w:color w:val="000000"/>
                <w:sz w:val="24"/>
              </w:rPr>
              <w:t>分割以YOLO11n-seg为主消融基线，先与RTMDet-Ins-tiny进行50 epoch同协议筛选</w:t>
            </w:r>
            <w:r>
              <w:rPr>
                <w:rFonts w:ascii="Times New Roman" w:hAnsi="Times New Roman" w:eastAsia="宋体"/>
                <w:b w:val="0"/>
                <w:i w:val="0"/>
                <w:color w:val="000000"/>
                <w:sz w:val="19"/>
                <w:vertAlign w:val="superscript"/>
              </w:rPr>
              <w:t>[36,45]</w:t>
            </w:r>
            <w:r>
              <w:rPr>
                <w:rFonts w:ascii="Times New Roman" w:hAnsi="Times New Roman" w:eastAsia="宋体"/>
                <w:b w:val="0"/>
                <w:i w:val="0"/>
                <w:color w:val="000000"/>
                <w:sz w:val="24"/>
              </w:rPr>
              <w:t>。已有橙果改进YOLO11n-Seg的结构见图12</w:t>
            </w:r>
            <w:r>
              <w:rPr>
                <w:rFonts w:ascii="Times New Roman" w:hAnsi="Times New Roman" w:eastAsia="宋体"/>
                <w:b w:val="0"/>
                <w:i w:val="0"/>
                <w:color w:val="000000"/>
                <w:sz w:val="19"/>
                <w:vertAlign w:val="superscript"/>
              </w:rPr>
              <w:t>[14]</w:t>
            </w:r>
            <w:r>
              <w:rPr>
                <w:rFonts w:ascii="Times New Roman" w:hAnsi="Times New Roman" w:eastAsia="宋体"/>
                <w:b w:val="0"/>
                <w:i w:val="0"/>
                <w:color w:val="000000"/>
                <w:sz w:val="24"/>
              </w:rPr>
              <w:t>，它说明RGB实例分割可以提取单果区域。本研究保留成熟框架的训练与输出接口，改动围绕数据中已经量化的困难逐项开展，不同时改动主干、检测头、掩膜表示和所有损失。</w:t>
            </w:r>
          </w:p>
          <w:p>
            <w:pPr>
              <w:keepNext/>
              <w:keepLines/>
              <w:spacing w:before="120" w:after="40" w:line="240" w:lineRule="auto"/>
              <w:ind w:firstLine="0"/>
              <w:jc w:val="center"/>
            </w:pPr>
            <w:r>
              <w:drawing>
                <wp:inline xmlns:a="http://schemas.openxmlformats.org/drawingml/2006/main" xmlns:pic="http://schemas.openxmlformats.org/drawingml/2006/picture">
                  <wp:extent cx="5184000" cy="3167010"/>
                  <wp:docPr id="2133873098" name="Picture 2133873098"/>
                  <wp:cNvGraphicFramePr>
                    <a:graphicFrameLocks noChangeAspect="1"/>
                  </wp:cNvGraphicFramePr>
                  <a:graphic>
                    <a:graphicData uri="http://schemas.openxmlformats.org/drawingml/2006/picture">
                      <pic:pic>
                        <pic:nvPicPr>
                          <pic:cNvPr id="0" name="paper_orange_yolo11_network_fig12.png"/>
                          <pic:cNvPicPr/>
                        </pic:nvPicPr>
                        <pic:blipFill>
                          <a:blip r:embed="rId95"/>
                          <a:stretch>
                            <a:fillRect/>
                          </a:stretch>
                        </pic:blipFill>
                        <pic:spPr>
                          <a:xfrm>
                            <a:off x="0" y="0"/>
                            <a:ext cx="5184000" cy="3167010"/>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图12 橙果改进YOLO11n-Seg总体网络 引自文献[14]原图12 CC BY 4.0</w:t>
            </w:r>
          </w:p>
          <w:p>
            <w:pPr>
              <w:keepNext/>
              <w:keepLines/>
              <w:spacing w:line="312" w:lineRule="auto" w:before="100" w:after="100"/>
              <w:ind w:firstLine="0"/>
              <w:jc w:val="left"/>
            </w:pPr>
            <w:r>
              <w:rPr>
                <w:rFonts w:ascii="Times New Roman" w:hAnsi="Times New Roman" w:eastAsia="宋体"/>
                <w:b/>
                <w:i w:val="0"/>
                <w:color w:val="000000"/>
                <w:sz w:val="24"/>
              </w:rPr>
              <w:t>3.2 细尺度输入与有限处理预算</w:t>
            </w:r>
          </w:p>
          <w:p>
            <w:pPr>
              <w:keepNext w:val="0"/>
              <w:widowControl/>
              <w:spacing w:line="312" w:lineRule="auto" w:after="60"/>
              <w:ind w:firstLine="480"/>
              <w:jc w:val="both"/>
            </w:pPr>
            <w:r>
              <w:rPr>
                <w:rFonts w:ascii="Times New Roman" w:hAnsi="Times New Roman" w:eastAsia="宋体"/>
                <w:b w:val="0"/>
                <w:i w:val="0"/>
                <w:color w:val="000000"/>
                <w:sz w:val="24"/>
              </w:rPr>
              <w:t>先比较整图640输入与训练侧整图、局部视图混合，使局部小果在训练输入中保有更多像素。局部图从所属训练图生成，继承采集组；边缘截断实例按冻结规则处理。推理以固定切片建立可复核对照，所有预测回映到完整原图，经一致的去重与掩膜恢复再评价。切片数量不充当新增独立样本数量。</w:t>
            </w:r>
          </w:p>
          <w:p>
            <w:pPr>
              <w:keepNext w:val="0"/>
              <w:widowControl/>
              <w:spacing w:line="312" w:lineRule="auto" w:after="60"/>
              <w:ind w:firstLine="480"/>
              <w:jc w:val="both"/>
            </w:pPr>
            <w:r>
              <w:rPr>
                <w:rFonts w:ascii="Times New Roman" w:hAnsi="Times New Roman" w:eastAsia="宋体"/>
                <w:b w:val="0"/>
                <w:i w:val="0"/>
                <w:color w:val="000000"/>
                <w:sz w:val="24"/>
              </w:rPr>
              <w:t>随后再研究细视图数量与覆盖范围的取舍，比较不同预算下的小果召回、背景误报及整图时延。区域选择不能只依赖全局已检测到的果实，否则会把全局漏检的小果永久排除；若选择性方案漏失候选，则保留均匀覆盖作为对照与备选。输入放大、掩膜融合和质量校准各自可能影响结果，需要拆开控制，不能把完整切片管线的收益都归于某个网络层。</w:t>
            </w:r>
          </w:p>
          <w:p>
            <w:pPr>
              <w:keepNext/>
              <w:keepLines/>
              <w:spacing w:line="312" w:lineRule="auto" w:before="100" w:after="100"/>
              <w:ind w:firstLine="0"/>
              <w:jc w:val="left"/>
            </w:pPr>
            <w:r>
              <w:rPr>
                <w:rFonts w:ascii="Times New Roman" w:hAnsi="Times New Roman" w:eastAsia="宋体"/>
                <w:b/>
                <w:i w:val="0"/>
                <w:color w:val="000000"/>
                <w:sz w:val="24"/>
              </w:rPr>
              <w:t>3.3 绿色背景判别与细节保护</w:t>
            </w:r>
          </w:p>
          <w:p>
            <w:pPr>
              <w:keepNext w:val="0"/>
              <w:widowControl/>
              <w:spacing w:line="312" w:lineRule="auto" w:after="60"/>
              <w:ind w:firstLine="480"/>
              <w:jc w:val="both"/>
            </w:pPr>
            <w:r>
              <w:rPr>
                <w:rFonts w:ascii="Times New Roman" w:hAnsi="Times New Roman" w:eastAsia="宋体"/>
                <w:b w:val="0"/>
                <w:i w:val="0"/>
                <w:color w:val="000000"/>
                <w:sz w:val="24"/>
              </w:rPr>
              <w:t>近色背景的关键在于局部纹理和场景关系需要共同参与判别。拟保留浅层细节路径，用训练实例掩膜的可见前景并集监督一个轻量前景预测，再依据预测概率软汇聚果实和背景区域的特征，形成上下文。前景并集只辅助类别判断，独立实例身份仍由实例分割分支学习。图13给出这一候选机制及其监督位置。</w:t>
            </w:r>
          </w:p>
          <w:p>
            <w:pPr>
              <w:keepNext/>
              <w:keepLines/>
              <w:spacing w:before="120" w:after="40" w:line="240" w:lineRule="auto"/>
              <w:ind w:firstLine="0"/>
              <w:jc w:val="center"/>
            </w:pPr>
            <w:r>
              <w:drawing>
                <wp:inline xmlns:a="http://schemas.openxmlformats.org/drawingml/2006/main" xmlns:pic="http://schemas.openxmlformats.org/drawingml/2006/picture">
                  <wp:extent cx="5084025" cy="3311999"/>
                  <wp:docPr id="2133873099" name="Picture 2133873099"/>
                  <wp:cNvGraphicFramePr>
                    <a:graphicFrameLocks noChangeAspect="1"/>
                  </wp:cNvGraphicFramePr>
                  <a:graphic>
                    <a:graphicData uri="http://schemas.openxmlformats.org/drawingml/2006/picture">
                      <pic:pic>
                        <pic:nvPicPr>
                          <pic:cNvPr id="0" name="segmentation_mechanism.png"/>
                          <pic:cNvPicPr/>
                        </pic:nvPicPr>
                        <pic:blipFill>
                          <a:blip r:embed="rId96"/>
                          <a:stretch>
                            <a:fillRect/>
                          </a:stretch>
                        </pic:blipFill>
                        <pic:spPr>
                          <a:xfrm>
                            <a:off x="0" y="0"/>
                            <a:ext cx="5084025" cy="3311999"/>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图13 拟研究的细尺度输入 区域上下文与细节保护机制 本研究绘制 待独立消融</w:t>
            </w:r>
          </w:p>
          <w:p>
            <w:pPr>
              <w:keepNext w:val="0"/>
              <w:widowControl/>
              <w:spacing w:line="312" w:lineRule="auto" w:after="60"/>
              <w:ind w:firstLine="480"/>
              <w:jc w:val="both"/>
            </w:pPr>
            <w:r>
              <w:rPr>
                <w:rFonts w:ascii="Times New Roman" w:hAnsi="Times New Roman" w:eastAsia="宋体"/>
                <w:b w:val="0"/>
                <w:i w:val="0"/>
                <w:color w:val="000000"/>
                <w:sz w:val="24"/>
              </w:rPr>
              <w:t>设特征为F，预测前景概率为q，则前景上下文为Cf=Σ(qF)/(Σq+ε)，背景上下文为Cb=Σ((1−q)F)/(Σ(1−q)+ε)。ε避免区域为空时出现数值异常。拟用轻量残差R(F,Cf,Cb)修正判别特征，并以从零开始的限幅增益α控制初期扰动，保留原始细节路径；增益限幅并不等于特征幅值受限，也不构成性能保证。推理时q来自网络预测，不输入验证或测试真值掩膜。</w:t>
            </w:r>
          </w:p>
          <w:p>
            <w:pPr>
              <w:keepNext w:val="0"/>
              <w:widowControl/>
              <w:spacing w:line="312" w:lineRule="auto" w:after="60"/>
              <w:ind w:firstLine="480"/>
              <w:jc w:val="both"/>
            </w:pPr>
            <w:r>
              <w:rPr>
                <w:rFonts w:ascii="Times New Roman" w:hAnsi="Times New Roman" w:eastAsia="宋体"/>
                <w:b w:val="0"/>
                <w:i w:val="0"/>
                <w:color w:val="000000"/>
                <w:sz w:val="24"/>
              </w:rPr>
              <w:t>考虑到粗上下文可能抹平窄缝和凹边界，拟加入轻量边界预测：训练由真实可见掩膜构造监督，推理只用网络预测边界。仅增加边界监督与进一步按预测边界减少上下文修正分别对照。前景辅助监督、区域汇聚和残差也逐项检验，并设置相近参数与计算量的普通卷积残差对照，区分区域信息与额外容量的作用。背景错误样本人工分为叶、枝、其他背景和疑似漏标果，避免把全部背景错误都称为叶片误检。</w:t>
            </w:r>
          </w:p>
          <w:p>
            <w:pPr>
              <w:keepNext/>
              <w:keepLines/>
              <w:spacing w:line="312" w:lineRule="auto" w:before="100" w:after="100"/>
              <w:ind w:firstLine="0"/>
              <w:jc w:val="left"/>
            </w:pPr>
            <w:r>
              <w:rPr>
                <w:rFonts w:ascii="Times New Roman" w:hAnsi="Times New Roman" w:eastAsia="宋体"/>
                <w:b/>
                <w:i w:val="0"/>
                <w:color w:val="000000"/>
                <w:sz w:val="24"/>
              </w:rPr>
              <w:t>3.4 可见边界与邻果区域监督</w:t>
            </w:r>
          </w:p>
          <w:p>
            <w:pPr>
              <w:keepNext w:val="0"/>
              <w:widowControl/>
              <w:spacing w:line="312" w:lineRule="auto" w:after="60"/>
              <w:ind w:firstLine="480"/>
              <w:jc w:val="both"/>
            </w:pPr>
            <w:r>
              <w:rPr>
                <w:rFonts w:ascii="Times New Roman" w:hAnsi="Times New Roman" w:eastAsia="宋体"/>
                <w:b w:val="0"/>
                <w:i w:val="0"/>
                <w:color w:val="000000"/>
                <w:sz w:val="24"/>
              </w:rPr>
              <w:t>2025年的BorderMask通过多尺度边界感知和检测、掩膜交互加强实例分割，图14为原网络</w:t>
            </w:r>
            <w:r>
              <w:rPr>
                <w:rFonts w:ascii="Times New Roman" w:hAnsi="Times New Roman" w:eastAsia="宋体"/>
                <w:b w:val="0"/>
                <w:i w:val="0"/>
                <w:color w:val="000000"/>
                <w:sz w:val="19"/>
                <w:vertAlign w:val="superscript"/>
              </w:rPr>
              <w:t>[46]</w:t>
            </w:r>
            <w:r>
              <w:rPr>
                <w:rFonts w:ascii="Times New Roman" w:hAnsi="Times New Roman" w:eastAsia="宋体"/>
                <w:b w:val="0"/>
                <w:i w:val="0"/>
                <w:color w:val="000000"/>
                <w:sz w:val="24"/>
              </w:rPr>
              <w:t>。本研究借鉴边界信息进入学习过程的思路，但不直接复制其较重的ROI结构。幼果可见凹边界和邻果边界具有不同含义，应当分别验证。</w:t>
            </w:r>
          </w:p>
          <w:p>
            <w:pPr>
              <w:keepNext/>
              <w:keepLines/>
              <w:spacing w:before="120" w:after="40" w:line="240" w:lineRule="auto"/>
              <w:ind w:firstLine="0"/>
              <w:jc w:val="center"/>
            </w:pPr>
            <w:r>
              <w:drawing>
                <wp:inline xmlns:a="http://schemas.openxmlformats.org/drawingml/2006/main" xmlns:pic="http://schemas.openxmlformats.org/drawingml/2006/picture">
                  <wp:extent cx="5184000" cy="2326582"/>
                  <wp:docPr id="2133873100" name="Picture 2133873100"/>
                  <wp:cNvGraphicFramePr>
                    <a:graphicFrameLocks noChangeAspect="1"/>
                  </wp:cNvGraphicFramePr>
                  <a:graphic>
                    <a:graphicData uri="http://schemas.openxmlformats.org/drawingml/2006/picture">
                      <pic:pic>
                        <pic:nvPicPr>
                          <pic:cNvPr id="0" name="paper_bordermask_network_fig1.png"/>
                          <pic:cNvPicPr/>
                        </pic:nvPicPr>
                        <pic:blipFill>
                          <a:blip r:embed="rId97"/>
                          <a:stretch>
                            <a:fillRect/>
                          </a:stretch>
                        </pic:blipFill>
                        <pic:spPr>
                          <a:xfrm>
                            <a:off x="0" y="0"/>
                            <a:ext cx="5184000" cy="2326582"/>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图14 BorderMask边界感知实例分割网络 引自文献[46]原图1 CC BY-NC-ND 4.0 原图内容未改</w:t>
            </w:r>
          </w:p>
          <w:p>
            <w:pPr>
              <w:keepNext w:val="0"/>
              <w:widowControl/>
              <w:spacing w:line="312" w:lineRule="auto" w:after="60"/>
              <w:ind w:firstLine="480"/>
              <w:jc w:val="both"/>
            </w:pPr>
            <w:r>
              <w:rPr>
                <w:rFonts w:ascii="Times New Roman" w:hAnsi="Times New Roman" w:eastAsia="宋体"/>
                <w:b w:val="0"/>
                <w:i w:val="0"/>
                <w:color w:val="000000"/>
                <w:sz w:val="24"/>
              </w:rPr>
              <w:t>在基础实例掩膜损失上，拟分别增加可见边界带监督和邻果负区域监督。前者依据各实例真实可见掩膜构造边界带，保留叶枝遮挡形成的缺口；后者把目标周围其他果实的可见像素作为当前实例的负区域，减少跨果扩张。总损失写作L=L基础+λbL边界+λnL邻果，两个权重在训练及验证阶段选择。对像素过少、边界带几乎覆盖全果的极小实例，保留基础损失并单列分析，避免额外边界权重放大栅格噪声。</w:t>
            </w:r>
          </w:p>
          <w:p>
            <w:pPr>
              <w:keepNext w:val="0"/>
              <w:widowControl/>
              <w:spacing w:line="312" w:lineRule="auto" w:after="60"/>
              <w:ind w:firstLine="480"/>
              <w:jc w:val="both"/>
            </w:pPr>
            <w:r>
              <w:rPr>
                <w:rFonts w:ascii="Times New Roman" w:hAnsi="Times New Roman" w:eastAsia="宋体"/>
                <w:b w:val="0"/>
                <w:i w:val="0"/>
                <w:color w:val="000000"/>
                <w:sz w:val="24"/>
              </w:rPr>
              <w:t>这些约束不能保证拓扑一定正确。拟比较基础损失、仅边界、仅邻果及经筛选的组合，同时报告Boundary F1、不同IoU下的Mask AP、同果分裂和异果合并。若边界更清楚却使同果片段被分开，或合并减少但小果漏检增加，将调整权重或删除无效项，而不是只挑一个改善的指标。</w:t>
            </w:r>
          </w:p>
          <w:p>
            <w:pPr>
              <w:keepNext/>
              <w:keepLines/>
              <w:spacing w:line="312" w:lineRule="auto" w:before="160" w:after="100"/>
              <w:ind w:firstLine="0"/>
              <w:jc w:val="left"/>
            </w:pPr>
            <w:r>
              <w:rPr>
                <w:rFonts w:ascii="Times New Roman" w:hAnsi="Times New Roman" w:eastAsia="宋体"/>
                <w:b/>
                <w:i w:val="0"/>
                <w:color w:val="000000"/>
                <w:sz w:val="24"/>
              </w:rPr>
              <w:t>4 实例条件下的果梗识别方法</w:t>
            </w:r>
          </w:p>
          <w:p>
            <w:pPr>
              <w:keepNext/>
              <w:keepLines/>
              <w:spacing w:line="312" w:lineRule="auto" w:before="100" w:after="100"/>
              <w:ind w:firstLine="0"/>
              <w:jc w:val="left"/>
            </w:pPr>
            <w:r>
              <w:rPr>
                <w:rFonts w:ascii="Times New Roman" w:hAnsi="Times New Roman" w:eastAsia="宋体"/>
                <w:b/>
                <w:i w:val="0"/>
                <w:color w:val="000000"/>
                <w:sz w:val="24"/>
              </w:rPr>
              <w:t>4.1 从全图分割到单果局部识别</w:t>
            </w:r>
          </w:p>
          <w:p>
            <w:pPr>
              <w:keepNext w:val="0"/>
              <w:widowControl/>
              <w:spacing w:line="312" w:lineRule="auto" w:after="60"/>
              <w:ind w:firstLine="480"/>
              <w:jc w:val="both"/>
            </w:pPr>
            <w:r>
              <w:rPr>
                <w:rFonts w:ascii="Times New Roman" w:hAnsi="Times New Roman" w:eastAsia="宋体"/>
                <w:b w:val="0"/>
                <w:i w:val="0"/>
                <w:color w:val="000000"/>
                <w:sz w:val="24"/>
              </w:rPr>
              <w:t>文献</w:t>
            </w:r>
            <w:r>
              <w:rPr>
                <w:rFonts w:ascii="Times New Roman" w:hAnsi="Times New Roman" w:eastAsia="宋体"/>
                <w:b w:val="0"/>
                <w:i w:val="0"/>
                <w:color w:val="000000"/>
                <w:sz w:val="19"/>
                <w:vertAlign w:val="superscript"/>
              </w:rPr>
              <w:t>[17]</w:t>
            </w:r>
            <w:r>
              <w:rPr>
                <w:rFonts w:ascii="Times New Roman" w:hAnsi="Times New Roman" w:eastAsia="宋体"/>
                <w:b w:val="0"/>
                <w:i w:val="0"/>
                <w:color w:val="000000"/>
                <w:sz w:val="24"/>
              </w:rPr>
              <w:t>的改进YOLOv8n-seg网络见图15，利用果实与果梗分割配合几何匹配求采摘点；文献</w:t>
            </w:r>
            <w:r>
              <w:rPr>
                <w:rFonts w:ascii="Times New Roman" w:hAnsi="Times New Roman" w:eastAsia="宋体"/>
                <w:b w:val="0"/>
                <w:i w:val="0"/>
                <w:color w:val="000000"/>
                <w:sz w:val="19"/>
                <w:vertAlign w:val="superscript"/>
              </w:rPr>
              <w:t>[19]</w:t>
            </w:r>
            <w:r>
              <w:rPr>
                <w:rFonts w:ascii="Times New Roman" w:hAnsi="Times New Roman" w:eastAsia="宋体"/>
                <w:b w:val="0"/>
                <w:i w:val="0"/>
                <w:color w:val="000000"/>
                <w:sz w:val="24"/>
              </w:rPr>
              <w:t>的ROI热图网络见图16，以局部表示定位串番茄切割点。两项工作分别提供“实例与细梗表示”和“ROI热图求点”的参考。本课题把对象改为指定幼柑橘的连接点，重点检查实例条件和不可判定状态，而不把ROI加热图本身称为新方法。</w:t>
            </w:r>
          </w:p>
          <w:p>
            <w:pPr>
              <w:keepNext/>
              <w:keepLines/>
              <w:spacing w:before="120" w:after="40" w:line="240" w:lineRule="auto"/>
              <w:ind w:firstLine="0"/>
              <w:jc w:val="center"/>
            </w:pPr>
            <w:r>
              <w:drawing>
                <wp:inline xmlns:a="http://schemas.openxmlformats.org/drawingml/2006/main" xmlns:pic="http://schemas.openxmlformats.org/drawingml/2006/picture">
                  <wp:extent cx="5184000" cy="4145621"/>
                  <wp:docPr id="2133873101" name="Picture 2133873101"/>
                  <wp:cNvGraphicFramePr>
                    <a:graphicFrameLocks noChangeAspect="1"/>
                  </wp:cNvGraphicFramePr>
                  <a:graphic>
                    <a:graphicData uri="http://schemas.openxmlformats.org/drawingml/2006/picture">
                      <pic:pic>
                        <pic:nvPicPr>
                          <pic:cNvPr id="0" name="paper_citrus_stem_network_fig3.png"/>
                          <pic:cNvPicPr/>
                        </pic:nvPicPr>
                        <pic:blipFill>
                          <a:blip r:embed="rId98"/>
                          <a:stretch>
                            <a:fillRect/>
                          </a:stretch>
                        </pic:blipFill>
                        <pic:spPr>
                          <a:xfrm>
                            <a:off x="0" y="0"/>
                            <a:ext cx="5184000" cy="4145621"/>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图15 柑橘果实与果梗分割网络 引自文献[17]原图3 CC BY 4.0</w:t>
            </w:r>
          </w:p>
          <w:p>
            <w:pPr>
              <w:keepNext w:val="0"/>
              <w:widowControl/>
              <w:spacing w:line="312" w:lineRule="auto" w:after="60"/>
              <w:ind w:firstLine="480"/>
              <w:jc w:val="both"/>
            </w:pPr>
            <w:r>
              <w:rPr>
                <w:rFonts w:ascii="Times New Roman" w:hAnsi="Times New Roman" w:eastAsia="宋体"/>
                <w:b w:val="0"/>
                <w:i w:val="0"/>
                <w:color w:val="000000"/>
                <w:sz w:val="24"/>
              </w:rPr>
              <w:t>图15把果体与细梗分割纳入同一框架，再由几何关系匹配目标果梗。本课题则先保留幼果的独立实例身份，再放大局部区域学习连接点，检验能否减少整图缩放造成的细梗信息损失。图16所示热图解码为局部点位基线提供参照，仍需用柑橘标注重新训练。</w:t>
            </w:r>
          </w:p>
          <w:p>
            <w:pPr>
              <w:keepNext/>
              <w:keepLines/>
              <w:spacing w:before="120" w:after="40" w:line="240" w:lineRule="auto"/>
              <w:ind w:firstLine="0"/>
              <w:jc w:val="center"/>
            </w:pPr>
            <w:r>
              <w:drawing>
                <wp:inline xmlns:a="http://schemas.openxmlformats.org/drawingml/2006/main" xmlns:pic="http://schemas.openxmlformats.org/drawingml/2006/picture">
                  <wp:extent cx="5184000" cy="3950191"/>
                  <wp:docPr id="2133873102" name="Picture 2133873102"/>
                  <wp:cNvGraphicFramePr>
                    <a:graphicFrameLocks noChangeAspect="1"/>
                  </wp:cNvGraphicFramePr>
                  <a:graphic>
                    <a:graphicData uri="http://schemas.openxmlformats.org/drawingml/2006/picture">
                      <pic:pic>
                        <pic:nvPicPr>
                          <pic:cNvPr id="0" name="paper_tsp_roi_heatmap_fig5.png"/>
                          <pic:cNvPicPr/>
                        </pic:nvPicPr>
                        <pic:blipFill>
                          <a:blip r:embed="rId99"/>
                          <a:stretch>
                            <a:fillRect/>
                          </a:stretch>
                        </pic:blipFill>
                        <pic:spPr>
                          <a:xfrm>
                            <a:off x="0" y="0"/>
                            <a:ext cx="5184000" cy="3950191"/>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图16 TSP-Net的局部热图定位网络 引自文献[19]原图5 CC BY 4.0 原任务为串番茄切割点</w:t>
            </w:r>
          </w:p>
          <w:p>
            <w:pPr>
              <w:keepNext w:val="0"/>
              <w:widowControl/>
              <w:spacing w:line="312" w:lineRule="auto" w:after="60"/>
              <w:ind w:firstLine="480"/>
              <w:jc w:val="both"/>
            </w:pPr>
            <w:r>
              <w:rPr>
                <w:rFonts w:ascii="Times New Roman" w:hAnsi="Times New Roman" w:eastAsia="宋体"/>
                <w:b w:val="0"/>
                <w:i w:val="0"/>
                <w:color w:val="000000"/>
                <w:sz w:val="24"/>
              </w:rPr>
              <w:t>第一阶段得到果实框和概率掩膜后，按验证集选择的比例向外扩展ROI，保留果体之外的枝梗和邻域。裁剪、缩放及填充参数随实例保存，供点位回映原图。ROI中保留原始RGB，并把当前果实的软掩膜作为条件输入，告诉网络此时关注哪颗果。不能把掩膜外像素全部清零，因为真正的果梗大部分位于果体之外。</w:t>
            </w:r>
          </w:p>
          <w:p>
            <w:pPr>
              <w:keepNext/>
              <w:keepLines/>
              <w:spacing w:before="120" w:after="40" w:line="240" w:lineRule="auto"/>
              <w:ind w:firstLine="0"/>
              <w:jc w:val="center"/>
            </w:pPr>
            <w:r>
              <w:drawing>
                <wp:inline xmlns:a="http://schemas.openxmlformats.org/drawingml/2006/main" xmlns:pic="http://schemas.openxmlformats.org/drawingml/2006/picture">
                  <wp:extent cx="5184000" cy="2736000"/>
                  <wp:docPr id="2133873103" name="Picture 2133873103"/>
                  <wp:cNvGraphicFramePr>
                    <a:graphicFrameLocks noChangeAspect="1"/>
                  </wp:cNvGraphicFramePr>
                  <a:graphic>
                    <a:graphicData uri="http://schemas.openxmlformats.org/drawingml/2006/picture">
                      <pic:pic>
                        <pic:nvPicPr>
                          <pic:cNvPr id="0" name="fig06_localization.png"/>
                          <pic:cNvPicPr/>
                        </pic:nvPicPr>
                        <pic:blipFill>
                          <a:blip r:embed="rId100"/>
                          <a:stretch>
                            <a:fillRect/>
                          </a:stretch>
                        </pic:blipFill>
                        <pic:spPr>
                          <a:xfrm>
                            <a:off x="0" y="0"/>
                            <a:ext cx="5184000" cy="2736000"/>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图17 实例条件果梗连接点定位网络与输出 本研究绘制 为拟研究方案</w:t>
            </w:r>
          </w:p>
          <w:p>
            <w:pPr>
              <w:keepNext/>
              <w:keepLines/>
              <w:spacing w:line="312" w:lineRule="auto" w:before="100" w:after="100"/>
              <w:ind w:firstLine="0"/>
              <w:jc w:val="left"/>
            </w:pPr>
            <w:r>
              <w:rPr>
                <w:rFonts w:ascii="Times New Roman" w:hAnsi="Times New Roman" w:eastAsia="宋体"/>
                <w:b/>
                <w:i w:val="0"/>
                <w:color w:val="000000"/>
                <w:sz w:val="24"/>
              </w:rPr>
              <w:t>4.2 连接点热图与可定位性学习</w:t>
            </w:r>
          </w:p>
          <w:p>
            <w:pPr>
              <w:keepNext w:val="0"/>
              <w:widowControl/>
              <w:spacing w:line="312" w:lineRule="auto" w:after="60"/>
              <w:ind w:firstLine="480"/>
              <w:jc w:val="both"/>
            </w:pPr>
            <w:r>
              <w:rPr>
                <w:rFonts w:ascii="Times New Roman" w:hAnsi="Times New Roman" w:eastAsia="宋体"/>
                <w:b w:val="0"/>
                <w:i w:val="0"/>
                <w:color w:val="000000"/>
                <w:sz w:val="24"/>
              </w:rPr>
              <w:t>先建立纯RGB外扩ROI热图基线，再增加目标软掩膜和可定位性头。连接点用高斯热图监督，解码规则在验证阶段固定，坐标经ROI变换回到原图。高分辨率编码器或轻量坐标分类方法作为必要对照</w:t>
            </w:r>
            <w:r>
              <w:rPr>
                <w:rFonts w:ascii="Times New Roman" w:hAnsi="Times New Roman" w:eastAsia="宋体"/>
                <w:b w:val="0"/>
                <w:i w:val="0"/>
                <w:color w:val="000000"/>
                <w:sz w:val="19"/>
                <w:vertAlign w:val="superscript"/>
              </w:rPr>
              <w:t>[41-44]</w:t>
            </w:r>
            <w:r>
              <w:rPr>
                <w:rFonts w:ascii="Times New Roman" w:hAnsi="Times New Roman" w:eastAsia="宋体"/>
                <w:b w:val="0"/>
                <w:i w:val="0"/>
                <w:color w:val="000000"/>
                <w:sz w:val="24"/>
              </w:rPr>
              <w:t>，各方法使用相同点位数据与ROI条件，记录参数、运算量和局部耗时。</w:t>
            </w:r>
          </w:p>
          <w:p>
            <w:pPr>
              <w:keepNext w:val="0"/>
              <w:widowControl/>
              <w:spacing w:line="312" w:lineRule="auto" w:after="60"/>
              <w:ind w:firstLine="480"/>
              <w:jc w:val="both"/>
            </w:pPr>
            <w:r>
              <w:rPr>
                <w:rFonts w:ascii="Times New Roman" w:hAnsi="Times New Roman" w:eastAsia="宋体"/>
                <w:b w:val="0"/>
                <w:i w:val="0"/>
                <w:color w:val="000000"/>
                <w:sz w:val="24"/>
              </w:rPr>
              <w:t>可定位性头判断连接区是否有可信坐标。坐标损失只对有点位真值的实例计算，状态损失对状态已判定的实例计算，形式为L=L热图+λsL状态。不可判定实例对坐标项的权重为零。图18给出标注含义，清晰与局部遮挡可定位两类分别评价，不用猜测点“补齐”训练数据。</w:t>
            </w:r>
          </w:p>
          <w:p>
            <w:pPr>
              <w:keepNext/>
              <w:keepLines/>
              <w:spacing w:before="120" w:after="40" w:line="240" w:lineRule="auto"/>
              <w:ind w:firstLine="0"/>
              <w:jc w:val="center"/>
            </w:pPr>
            <w:r>
              <w:drawing>
                <wp:inline xmlns:a="http://schemas.openxmlformats.org/drawingml/2006/main" xmlns:pic="http://schemas.openxmlformats.org/drawingml/2006/picture">
                  <wp:extent cx="5184000" cy="2144482"/>
                  <wp:docPr id="2133873104" name="Picture 2133873104"/>
                  <wp:cNvGraphicFramePr>
                    <a:graphicFrameLocks noChangeAspect="1"/>
                  </wp:cNvGraphicFramePr>
                  <a:graphic>
                    <a:graphicData uri="http://schemas.openxmlformats.org/drawingml/2006/picture">
                      <pic:pic>
                        <pic:nvPicPr>
                          <pic:cNvPr id="0" name="stem_annotation_definition.png"/>
                          <pic:cNvPicPr/>
                        </pic:nvPicPr>
                        <pic:blipFill>
                          <a:blip r:embed="rId101"/>
                          <a:stretch>
                            <a:fillRect/>
                          </a:stretch>
                        </pic:blipFill>
                        <pic:spPr>
                          <a:xfrm>
                            <a:off x="0" y="0"/>
                            <a:ext cx="5184000" cy="2144482"/>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图18 果梗连接点与三类可辨认状态的标注规则 本研究绘制 非实测标注结果</w:t>
            </w:r>
          </w:p>
          <w:p>
            <w:pPr>
              <w:keepNext w:val="0"/>
              <w:widowControl/>
              <w:spacing w:line="312" w:lineRule="auto" w:after="60"/>
              <w:ind w:firstLine="480"/>
              <w:jc w:val="both"/>
            </w:pPr>
            <w:r>
              <w:rPr>
                <w:rFonts w:ascii="Times New Roman" w:hAnsi="Times New Roman" w:eastAsia="宋体"/>
                <w:b w:val="0"/>
                <w:i w:val="0"/>
                <w:color w:val="000000"/>
                <w:sz w:val="24"/>
              </w:rPr>
              <w:t>训练侧可用按采集组交叉预测形成的掩膜，或对训练真值加入有限边界扰动，使网络接触上游误差；验证与测试使用冻结的真实预测。对照包含纯RGB、硬掩膜清零、软掩膜提示以及不同外扩比例。若软提示仅在真值掩膜下有优势，在真实预测下失效，就不能称为实际级联改进。</w:t>
            </w:r>
          </w:p>
          <w:p>
            <w:pPr>
              <w:keepNext/>
              <w:keepLines/>
              <w:spacing w:line="312" w:lineRule="auto" w:before="100" w:after="100"/>
              <w:ind w:firstLine="0"/>
              <w:jc w:val="left"/>
            </w:pPr>
            <w:r>
              <w:rPr>
                <w:rFonts w:ascii="Times New Roman" w:hAnsi="Times New Roman" w:eastAsia="宋体"/>
                <w:b/>
                <w:i w:val="0"/>
                <w:color w:val="000000"/>
                <w:sz w:val="24"/>
              </w:rPr>
              <w:t>4.3 输出规则与拒识评价</w:t>
            </w:r>
          </w:p>
          <w:p>
            <w:pPr>
              <w:keepNext w:val="0"/>
              <w:widowControl/>
              <w:spacing w:line="312" w:lineRule="auto" w:after="60"/>
              <w:ind w:firstLine="480"/>
              <w:jc w:val="both"/>
            </w:pPr>
            <w:r>
              <w:rPr>
                <w:rFonts w:ascii="Times New Roman" w:hAnsi="Times New Roman" w:eastAsia="宋体"/>
                <w:b w:val="0"/>
                <w:i w:val="0"/>
                <w:color w:val="000000"/>
                <w:sz w:val="24"/>
              </w:rPr>
              <w:t>对被接受的实例输出编号、二维连接点及可定位分数；证据不足时保留实例编号，给出不可判定状态。阈值在验证集校准，测试时固定。评价同时报告输出覆盖率、被接受点位的误差和不可判定实例的错误接受率，并绘制风险随覆盖率变化的关系。这样可以判断误差下降是否只是因为不再输出困难样本。</w:t>
            </w:r>
          </w:p>
          <w:p>
            <w:pPr>
              <w:keepNext/>
              <w:keepLines/>
              <w:spacing w:line="312" w:lineRule="auto" w:before="160" w:after="100"/>
              <w:ind w:firstLine="0"/>
              <w:jc w:val="left"/>
            </w:pPr>
            <w:r>
              <w:rPr>
                <w:rFonts w:ascii="Times New Roman" w:hAnsi="Times New Roman" w:eastAsia="宋体"/>
                <w:b/>
                <w:i w:val="0"/>
                <w:color w:val="000000"/>
                <w:sz w:val="24"/>
              </w:rPr>
              <w:t>5 前期工作与预实验可行性</w:t>
            </w:r>
          </w:p>
          <w:p>
            <w:pPr>
              <w:keepNext/>
              <w:keepLines/>
              <w:spacing w:line="312" w:lineRule="auto" w:before="100" w:after="100"/>
              <w:ind w:firstLine="0"/>
              <w:jc w:val="left"/>
            </w:pPr>
            <w:r>
              <w:rPr>
                <w:rFonts w:ascii="Times New Roman" w:hAnsi="Times New Roman" w:eastAsia="宋体"/>
                <w:b/>
                <w:i w:val="0"/>
                <w:color w:val="000000"/>
                <w:sz w:val="24"/>
              </w:rPr>
              <w:t>5.1 数据和实验链路基础</w:t>
            </w:r>
          </w:p>
          <w:p>
            <w:pPr>
              <w:keepNext w:val="0"/>
              <w:widowControl/>
              <w:spacing w:line="312" w:lineRule="auto" w:after="60"/>
              <w:ind w:firstLine="480"/>
              <w:jc w:val="both"/>
            </w:pPr>
            <w:r>
              <w:rPr>
                <w:rFonts w:ascii="Times New Roman" w:hAnsi="Times New Roman" w:eastAsia="宋体"/>
                <w:b w:val="0"/>
                <w:i w:val="0"/>
                <w:color w:val="000000"/>
                <w:sz w:val="24"/>
              </w:rPr>
              <w:t>前期已形成幼果实例数据整理、模型训练、掩膜回映及结果汇总程序，并保留多个候选方法的探索记录。正式数据划分和标签统计说明小果、凹轮廓及尺度跨度确实存在；已有模块构建、前向反向和小样本训练检查说明实验链能够执行。链路检查支持后续实验具备实现基础，不代表新方法已经收敛或达到最终精度。</w:t>
            </w:r>
          </w:p>
          <w:p>
            <w:pPr>
              <w:keepNext/>
              <w:keepLines/>
              <w:spacing w:line="312" w:lineRule="auto" w:before="100" w:after="100"/>
              <w:ind w:firstLine="0"/>
              <w:jc w:val="left"/>
            </w:pPr>
            <w:r>
              <w:rPr>
                <w:rFonts w:ascii="Times New Roman" w:hAnsi="Times New Roman" w:eastAsia="宋体"/>
                <w:b/>
                <w:i w:val="0"/>
                <w:color w:val="000000"/>
                <w:sz w:val="24"/>
              </w:rPr>
              <w:t>5.2 同权重整图与细尺度管线的配对预实验</w:t>
            </w:r>
          </w:p>
          <w:p>
            <w:pPr>
              <w:keepNext w:val="0"/>
              <w:widowControl/>
              <w:spacing w:line="312" w:lineRule="auto" w:after="60"/>
              <w:ind w:firstLine="480"/>
              <w:jc w:val="both"/>
            </w:pPr>
            <w:r>
              <w:rPr>
                <w:rFonts w:ascii="Times New Roman" w:hAnsi="Times New Roman" w:eastAsia="宋体"/>
                <w:b w:val="0"/>
                <w:i w:val="0"/>
                <w:color w:val="000000"/>
                <w:sz w:val="24"/>
              </w:rPr>
              <w:t>最有解释力的前期对照，是同一V12_01权重在同一193张历史验证图上的整图与细尺度管线比较。两种模式使用统一640掩膜评价栅格，细尺度模式增加9个局部视图并采用trustedmask汇总。表4与图19直接由存档配对记录提取，避免把不同权重或不同评价栅格的结果混在一起。</w:t>
            </w:r>
          </w:p>
        </w:tc>
      </w:tr>
      <w:tr>
        <w:trPr>
          <w:cantSplit/>
        </w:trPr>
        <w:tc>
          <w:tcPr>
            <w:tcW w:w="10343" w:type="dxa"/>
            <w:gridSpan w:val="2"/>
            <w:tcBorders>
              <w:bottom w:val="nil" w:sz="4" w:space="0" w:color="auto"/>
              <w:top w:val="nil"/>
            </w:tcBorders>
          </w:tcPr>
          <w:p>
            <w:pPr>
              <w:keepNext/>
              <w:spacing w:before="120" w:after="60"/>
              <w:ind w:firstLine="0"/>
              <w:jc w:val="center"/>
            </w:pPr>
            <w:r>
              <w:rPr>
                <w:rFonts w:ascii="Times New Roman" w:hAnsi="Times New Roman" w:eastAsia="宋体"/>
                <w:b/>
                <w:i w:val="0"/>
                <w:color w:val="000000"/>
                <w:sz w:val="21"/>
              </w:rPr>
              <w:t>表4 同权重输入与汇总管线的探索性配对结果</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69"/>
              <w:gridCol w:w="2069"/>
              <w:gridCol w:w="2069"/>
              <w:gridCol w:w="2069"/>
              <w:gridCol w:w="2069"/>
            </w:tblGrid>
            <w:tr>
              <w:trPr>
                <w:cantSplit/>
                <w:tblHeader/>
                <w:cantSplit/>
                <w:tblHeader/>
              </w:trPr>
              <w:tc>
                <w:tcPr>
                  <w:tcW w:type="dxa" w:w="2649"/>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模式</w:t>
                  </w:r>
                </w:p>
              </w:tc>
              <w:tc>
                <w:tcPr>
                  <w:tcW w:type="dxa" w:w="2018"/>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Mask AP50–95 %</w:t>
                  </w:r>
                </w:p>
              </w:tc>
              <w:tc>
                <w:tcPr>
                  <w:tcW w:type="dxa" w:w="1640"/>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极小实例匹配 /161</w:t>
                  </w:r>
                </w:p>
              </w:tc>
              <w:tc>
                <w:tcPr>
                  <w:tcW w:type="dxa" w:w="1006"/>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背景错误数</w:t>
                  </w:r>
                </w:p>
              </w:tc>
              <w:tc>
                <w:tcPr>
                  <w:tcW w:type="dxa" w:w="1135"/>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中位时间 ms</w:t>
                  </w:r>
                </w:p>
              </w:tc>
            </w:tr>
            <w:tr>
              <w:trPr>
                <w:cantSplit/>
                <w:cantSplit/>
              </w:trPr>
              <w:tc>
                <w:tcPr>
                  <w:tcW w:type="dxa" w:w="2649"/>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整图 global</w:t>
                  </w:r>
                </w:p>
              </w:tc>
              <w:tc>
                <w:tcPr>
                  <w:tcW w:type="dxa" w:w="201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68.637</w:t>
                  </w:r>
                </w:p>
              </w:tc>
              <w:tc>
                <w:tcPr>
                  <w:tcW w:type="dxa" w:w="1640"/>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37</w:t>
                  </w:r>
                </w:p>
              </w:tc>
              <w:tc>
                <w:tcPr>
                  <w:tcW w:type="dxa" w:w="100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130</w:t>
                  </w:r>
                </w:p>
              </w:tc>
              <w:tc>
                <w:tcPr>
                  <w:tcW w:type="dxa" w:w="1135"/>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78.7</w:t>
                  </w:r>
                </w:p>
              </w:tc>
            </w:tr>
            <w:tr>
              <w:trPr>
                <w:cantSplit/>
                <w:cantSplit/>
              </w:trPr>
              <w:tc>
                <w:tcPr>
                  <w:tcW w:type="dxa" w:w="2649"/>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center"/>
                  </w:pPr>
                  <w:r>
                    <w:rPr>
                      <w:rFonts w:ascii="Times New Roman" w:hAnsi="Times New Roman" w:eastAsia="宋体"/>
                      <w:b w:val="0"/>
                      <w:i w:val="0"/>
                      <w:color w:val="000000"/>
                      <w:sz w:val="21"/>
                    </w:rPr>
                    <w:t>整图加9细视图 trustedmask</w:t>
                  </w:r>
                </w:p>
              </w:tc>
              <w:tc>
                <w:tcPr>
                  <w:tcW w:type="dxa" w:w="2018"/>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77.478</w:t>
                  </w:r>
                </w:p>
              </w:tc>
              <w:tc>
                <w:tcPr>
                  <w:tcW w:type="dxa" w:w="1640"/>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98</w:t>
                  </w:r>
                </w:p>
              </w:tc>
              <w:tc>
                <w:tcPr>
                  <w:tcW w:type="dxa" w:w="1006"/>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385</w:t>
                  </w:r>
                </w:p>
              </w:tc>
              <w:tc>
                <w:tcPr>
                  <w:tcW w:type="dxa" w:w="1135"/>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296.5</w:t>
                  </w:r>
                </w:p>
              </w:tc>
            </w:tr>
          </w:tbl>
          <w:p/>
        </w:tc>
      </w:tr>
      <w:tr>
        <w:trPr/>
        <w:tc>
          <w:tcPr>
            <w:tcW w:w="10343" w:type="dxa"/>
            <w:gridSpan w:val="2"/>
            <w:tcBorders>
              <w:bottom w:val="nil" w:sz="4" w:space="0" w:color="auto"/>
              <w:top w:val="nil"/>
            </w:tcBorders>
          </w:tcPr>
          <w:p/>
          <w:p/>
          <w:p>
            <w:pPr>
              <w:keepNext/>
              <w:keepLines/>
              <w:spacing w:before="120" w:after="40" w:line="240" w:lineRule="auto"/>
              <w:ind w:firstLine="0"/>
              <w:jc w:val="center"/>
            </w:pPr>
            <w:r>
              <w:drawing>
                <wp:inline xmlns:a="http://schemas.openxmlformats.org/drawingml/2006/main" xmlns:pic="http://schemas.openxmlformats.org/drawingml/2006/picture">
                  <wp:extent cx="5184000" cy="2526326"/>
                  <wp:docPr id="2133873105" name="Picture 2133873105"/>
                  <wp:cNvGraphicFramePr>
                    <a:graphicFrameLocks noChangeAspect="1"/>
                  </wp:cNvGraphicFramePr>
                  <a:graphic>
                    <a:graphicData uri="http://schemas.openxmlformats.org/drawingml/2006/picture">
                      <pic:pic>
                        <pic:nvPicPr>
                          <pic:cNvPr id="0" name="paired_preliminary.png"/>
                          <pic:cNvPicPr/>
                        </pic:nvPicPr>
                        <pic:blipFill>
                          <a:blip r:embed="rId102"/>
                          <a:stretch>
                            <a:fillRect/>
                          </a:stretch>
                        </pic:blipFill>
                        <pic:spPr>
                          <a:xfrm>
                            <a:off x="0" y="0"/>
                            <a:ext cx="5184000" cy="2526326"/>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图19 同权重探索中的分割精度 极小匹配与时间代价 本研究依据存档配对记录绘制</w:t>
            </w:r>
          </w:p>
          <w:p>
            <w:pPr>
              <w:keepNext w:val="0"/>
              <w:widowControl/>
              <w:spacing w:line="312" w:lineRule="auto" w:after="60"/>
              <w:ind w:firstLine="480"/>
              <w:jc w:val="both"/>
            </w:pPr>
            <w:r>
              <w:rPr>
                <w:rFonts w:ascii="Times New Roman" w:hAnsi="Times New Roman" w:eastAsia="宋体"/>
                <w:b w:val="0"/>
                <w:i w:val="0"/>
                <w:color w:val="000000"/>
                <w:sz w:val="24"/>
              </w:rPr>
              <w:t>该对照表明，增加细尺度处理后，极小实例匹配由37个增至98个，说明输入及汇总管线具有改善小果输出的探索价值；耗时同时增至约3.77倍，背景错误也增加。因而后续重点不是无限增加切片，而是在保留小果的同时控制处理预算和误报。这里的极小实例按640等效可见掩膜面积小于256像素²定义，匹配诊断采用置信度0.25及掩膜IoU 0.5；它与表3之后的框短边口径不同，也不是极小目标AP。</w:t>
            </w:r>
          </w:p>
          <w:p>
            <w:pPr>
              <w:keepNext w:val="0"/>
              <w:widowControl/>
              <w:spacing w:line="312" w:lineRule="auto" w:after="60"/>
              <w:ind w:firstLine="480"/>
              <w:jc w:val="both"/>
            </w:pPr>
            <w:r>
              <w:rPr>
                <w:rFonts w:ascii="Times New Roman" w:hAnsi="Times New Roman" w:eastAsia="宋体"/>
                <w:b w:val="0"/>
                <w:i w:val="0"/>
                <w:color w:val="000000"/>
                <w:sz w:val="24"/>
              </w:rPr>
              <w:t>预实验采用历史划分和单一seed，历史成员存在采集组交叉且与正式划分不同，因此这些数值仅用于方向探索，不作为正式测试成绩。AP使用完整预测排序计算，诊断匹配数使用固定工作点；计时来自存档RTX 3090条件。完整管线还包含预测合并与质量校准，不能将8.841个百分点的差异全部归因于像素放大，更不能当作本报告拟提出模块的收益。正式结论将从清洁初始化在分组独立数据上复验。</w:t>
            </w:r>
          </w:p>
          <w:p>
            <w:pPr>
              <w:keepNext/>
              <w:keepLines/>
              <w:spacing w:line="312" w:lineRule="auto" w:before="100" w:after="100"/>
              <w:ind w:firstLine="0"/>
              <w:jc w:val="left"/>
            </w:pPr>
            <w:r>
              <w:rPr>
                <w:rFonts w:ascii="Times New Roman" w:hAnsi="Times New Roman" w:eastAsia="宋体"/>
                <w:b/>
                <w:i w:val="0"/>
                <w:color w:val="000000"/>
                <w:sz w:val="24"/>
              </w:rPr>
              <w:t>5.3 预实验如何约束后续方案</w:t>
            </w:r>
          </w:p>
          <w:p>
            <w:pPr>
              <w:keepNext w:val="0"/>
              <w:widowControl/>
              <w:spacing w:line="312" w:lineRule="auto" w:after="60"/>
              <w:ind w:firstLine="480"/>
              <w:jc w:val="both"/>
            </w:pPr>
            <w:r>
              <w:rPr>
                <w:rFonts w:ascii="Times New Roman" w:hAnsi="Times New Roman" w:eastAsia="宋体"/>
                <w:b w:val="0"/>
                <w:i w:val="0"/>
                <w:color w:val="000000"/>
                <w:sz w:val="24"/>
              </w:rPr>
              <w:t>前期探索还表明，上下文使用方式会改变背景错误与小果召回的取舍，单纯增加P2检测头或第二套原型尚未出现稳定收益。因此，后续先拆开输入、判别与边界三个作用，优先检验最小改动，不把此前最好的验证集峰值当作全部改进已成立的证明。</w:t>
            </w:r>
          </w:p>
          <w:p>
            <w:pPr>
              <w:keepNext w:val="0"/>
              <w:widowControl/>
              <w:spacing w:line="312" w:lineRule="auto" w:after="60"/>
              <w:ind w:firstLine="480"/>
              <w:jc w:val="both"/>
            </w:pPr>
            <w:r>
              <w:rPr>
                <w:rFonts w:ascii="Times New Roman" w:hAnsi="Times New Roman" w:eastAsia="宋体"/>
                <w:b w:val="0"/>
                <w:i w:val="0"/>
                <w:color w:val="000000"/>
                <w:sz w:val="24"/>
              </w:rPr>
              <w:t>连接点阶段尚无实测精度。其可行性依据是现有实例输出能建立ROI，以及已有柑橘果梗和ROI热图文献证明这条技术路径可以实施</w:t>
            </w:r>
            <w:r>
              <w:rPr>
                <w:rFonts w:ascii="Times New Roman" w:hAnsi="Times New Roman" w:eastAsia="宋体"/>
                <w:b w:val="0"/>
                <w:i w:val="0"/>
                <w:color w:val="000000"/>
                <w:sz w:val="19"/>
                <w:vertAlign w:val="superscript"/>
              </w:rPr>
              <w:t>[15-17,19]</w:t>
            </w:r>
            <w:r>
              <w:rPr>
                <w:rFonts w:ascii="Times New Roman" w:hAnsi="Times New Roman" w:eastAsia="宋体"/>
                <w:b w:val="0"/>
                <w:i w:val="0"/>
                <w:color w:val="000000"/>
                <w:sz w:val="24"/>
              </w:rPr>
              <w:t>；本课题特有的掩膜提示和不可判定处理仍须验证。首个检查点是双人试标：若定义不一致或可辨认比例过低，先修改规则和补采，再启动网络比较。至此，问题有数据依据、方法有文献与实现依据、关键收益有明确待验实验，符合开题阶段的证据范围。</w:t>
            </w:r>
          </w:p>
          <w:p>
            <w:pPr>
              <w:keepNext/>
              <w:keepLines/>
              <w:spacing w:line="312" w:lineRule="auto" w:before="160" w:after="100"/>
              <w:ind w:firstLine="0"/>
              <w:jc w:val="left"/>
            </w:pPr>
            <w:r>
              <w:rPr>
                <w:rFonts w:ascii="Times New Roman" w:hAnsi="Times New Roman" w:eastAsia="宋体"/>
                <w:b/>
                <w:i w:val="0"/>
                <w:color w:val="000000"/>
                <w:sz w:val="24"/>
              </w:rPr>
              <w:t>6 实验设计与评价</w:t>
            </w:r>
          </w:p>
          <w:p>
            <w:pPr>
              <w:keepNext/>
              <w:keepLines/>
              <w:spacing w:line="312" w:lineRule="auto" w:before="100" w:after="100"/>
              <w:ind w:firstLine="0"/>
              <w:jc w:val="left"/>
            </w:pPr>
            <w:r>
              <w:rPr>
                <w:rFonts w:ascii="Times New Roman" w:hAnsi="Times New Roman" w:eastAsia="宋体"/>
                <w:b/>
                <w:i w:val="0"/>
                <w:color w:val="000000"/>
                <w:sz w:val="24"/>
              </w:rPr>
              <w:t>6.1 同协议基线及消融</w:t>
            </w:r>
          </w:p>
          <w:p>
            <w:pPr>
              <w:keepNext w:val="0"/>
              <w:widowControl/>
              <w:spacing w:line="312" w:lineRule="auto" w:after="60"/>
              <w:ind w:firstLine="480"/>
              <w:jc w:val="both"/>
            </w:pPr>
            <w:r>
              <w:rPr>
                <w:rFonts w:ascii="Times New Roman" w:hAnsi="Times New Roman" w:eastAsia="宋体"/>
                <w:b w:val="0"/>
                <w:i w:val="0"/>
                <w:color w:val="000000"/>
                <w:sz w:val="24"/>
              </w:rPr>
              <w:t>正式比较固定图像成员、标签版本、640主输入、掩膜恢复和评价器。结构消融固定同一预训练初始化映射、增强、优化器、学习率、训练精度模式和输入预算，记录实际生效参数；若改动使可迁移层比例不同，增加匹配的从头训练对照。跨框架基线另表列出各自的预训练和预算。先进行1—3 epoch烟测，再做50 epoch受控筛选；主基线和选定最终方法分别用42、43、44三个seed完成正式训练，报告均值与标准差。选择模型与阈值只使用训练和验证，测试集在方案冻结后评价。</w:t>
            </w:r>
          </w:p>
          <w:p>
            <w:pPr>
              <w:keepNext w:val="0"/>
              <w:widowControl/>
              <w:spacing w:line="312" w:lineRule="auto" w:after="60"/>
              <w:ind w:firstLine="480"/>
              <w:jc w:val="both"/>
            </w:pPr>
            <w:r>
              <w:rPr>
                <w:rFonts w:ascii="Times New Roman" w:hAnsi="Times New Roman" w:eastAsia="宋体"/>
                <w:b w:val="0"/>
                <w:i w:val="0"/>
                <w:color w:val="000000"/>
                <w:sz w:val="24"/>
              </w:rPr>
              <w:t>最少跨系列比较包括YOLOv8n-seg、YOLO11n-seg、YOLO26n-seg、RTMDet-Ins-tiny、Mask R-CNN R50-FPN和RF-DETR Seg Nano</w:t>
            </w:r>
            <w:r>
              <w:rPr>
                <w:rFonts w:ascii="Times New Roman" w:hAnsi="Times New Roman" w:eastAsia="宋体"/>
                <w:b w:val="0"/>
                <w:i w:val="0"/>
                <w:color w:val="000000"/>
                <w:sz w:val="19"/>
                <w:vertAlign w:val="superscript"/>
              </w:rPr>
              <w:t>[27,36,40,45]</w:t>
            </w:r>
            <w:r>
              <w:rPr>
                <w:rFonts w:ascii="Times New Roman" w:hAnsi="Times New Roman" w:eastAsia="宋体"/>
                <w:b w:val="0"/>
                <w:i w:val="0"/>
                <w:color w:val="000000"/>
                <w:sz w:val="24"/>
              </w:rPr>
              <w:t>。进一步比较可加入SOLOv2-Light R18-FPN</w:t>
            </w:r>
            <w:r>
              <w:rPr>
                <w:rFonts w:ascii="Times New Roman" w:hAnsi="Times New Roman" w:eastAsia="宋体"/>
                <w:b w:val="0"/>
                <w:i w:val="0"/>
                <w:color w:val="000000"/>
                <w:sz w:val="19"/>
                <w:vertAlign w:val="superscript"/>
              </w:rPr>
              <w:t>[30]</w:t>
            </w:r>
            <w:r>
              <w:rPr>
                <w:rFonts w:ascii="Times New Roman" w:hAnsi="Times New Roman" w:eastAsia="宋体"/>
                <w:b w:val="0"/>
                <w:i w:val="0"/>
                <w:color w:val="000000"/>
                <w:sz w:val="24"/>
              </w:rPr>
              <w:t>。辅助基线用U-Net预测合并前景，再由标记控制分水岭拆分实例</w:t>
            </w:r>
            <w:r>
              <w:rPr>
                <w:rFonts w:ascii="Times New Roman" w:hAnsi="Times New Roman" w:eastAsia="宋体"/>
                <w:b w:val="0"/>
                <w:i w:val="0"/>
                <w:color w:val="000000"/>
                <w:sz w:val="19"/>
                <w:vertAlign w:val="superscript"/>
              </w:rPr>
              <w:t>[26]</w:t>
            </w:r>
            <w:r>
              <w:rPr>
                <w:rFonts w:ascii="Times New Roman" w:hAnsi="Times New Roman" w:eastAsia="宋体"/>
                <w:b w:val="0"/>
                <w:i w:val="0"/>
                <w:color w:val="000000"/>
                <w:sz w:val="24"/>
              </w:rPr>
              <w:t>，在验证集选择分水岭参数；U-Net单独属于语义分割，不能直接称为实例方法。不同预训练与训练预算逐项列明，输入切片策略额外单列。</w:t>
            </w:r>
          </w:p>
        </w:tc>
      </w:tr>
      <w:tr>
        <w:trPr>
          <w:cantSplit/>
        </w:trPr>
        <w:tc>
          <w:tcPr>
            <w:tcW w:w="10343" w:type="dxa"/>
            <w:gridSpan w:val="2"/>
            <w:tcBorders>
              <w:bottom w:val="nil" w:sz="4" w:space="0" w:color="auto"/>
              <w:top w:val="nil"/>
            </w:tcBorders>
          </w:tcPr>
          <w:p>
            <w:pPr>
              <w:keepNext/>
              <w:spacing w:before="120" w:after="60"/>
              <w:ind w:firstLine="0"/>
              <w:jc w:val="center"/>
            </w:pPr>
            <w:r>
              <w:rPr>
                <w:rFonts w:ascii="Times New Roman" w:hAnsi="Times New Roman" w:eastAsia="宋体"/>
                <w:b/>
                <w:i w:val="0"/>
                <w:color w:val="000000"/>
                <w:sz w:val="21"/>
              </w:rPr>
              <w:t>表5 主要鉴别实验与保留条件</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48"/>
              <w:gridCol w:w="3448"/>
              <w:gridCol w:w="3448"/>
            </w:tblGrid>
            <w:tr>
              <w:trPr>
                <w:cantSplit/>
                <w:tblHeader/>
                <w:cantSplit/>
                <w:tblHeader/>
              </w:trPr>
              <w:tc>
                <w:tcPr>
                  <w:tcW w:type="dxa" w:w="1014"/>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实验</w:t>
                  </w:r>
                </w:p>
              </w:tc>
              <w:tc>
                <w:tcPr>
                  <w:tcW w:type="dxa" w:w="3716"/>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固定条件与变化项</w:t>
                  </w:r>
                </w:p>
              </w:tc>
              <w:tc>
                <w:tcPr>
                  <w:tcW w:type="dxa" w:w="3716"/>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判断依据</w:t>
                  </w:r>
                </w:p>
              </w:tc>
            </w:tr>
            <w:tr>
              <w:trPr>
                <w:cantSplit/>
                <w:cantSplit/>
              </w:trPr>
              <w:tc>
                <w:tcPr>
                  <w:tcW w:type="dxa" w:w="1014"/>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输入尺度</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同权重和评价；整图、固定细视图；再独立训练混合输入</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小果AP、匹配、误报及完整原图耗时</w:t>
                  </w:r>
                </w:p>
              </w:tc>
            </w:tr>
            <w:tr>
              <w:trPr>
                <w:cantSplit/>
                <w:cantSplit/>
              </w:trPr>
              <w:tc>
                <w:tcPr>
                  <w:tcW w:type="dxa" w:w="1014"/>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区域上下文</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同输入与基础网络；辅助监督、软汇聚、残差逐项加入</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固定精度下召回、背景分型、三seed稳定性</w:t>
                  </w:r>
                </w:p>
              </w:tc>
            </w:tr>
            <w:tr>
              <w:trPr>
                <w:cantSplit/>
                <w:cantSplit/>
              </w:trPr>
              <w:tc>
                <w:tcPr>
                  <w:tcW w:type="dxa" w:w="1014"/>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可见边界</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相同标签；仅边界、仅邻果及有效组合</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高IoU AP、Boundary F1、分裂与合并</w:t>
                  </w:r>
                </w:p>
              </w:tc>
            </w:tr>
            <w:tr>
              <w:trPr>
                <w:cantSplit/>
                <w:cantSplit/>
              </w:trPr>
              <w:tc>
                <w:tcPr>
                  <w:tcW w:type="dxa" w:w="1014"/>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果梗条件</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相同ROI与标签；RGB、硬掩膜、软掩膜</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归一化点误差、实例错配和相同覆盖率风险</w:t>
                  </w:r>
                </w:p>
              </w:tc>
            </w:tr>
            <w:tr>
              <w:trPr>
                <w:cantSplit/>
                <w:cantSplit/>
              </w:trPr>
              <w:tc>
                <w:tcPr>
                  <w:tcW w:type="dxa" w:w="1014"/>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center"/>
                  </w:pPr>
                  <w:r>
                    <w:rPr>
                      <w:rFonts w:ascii="Times New Roman" w:hAnsi="Times New Roman" w:eastAsia="宋体"/>
                      <w:b w:val="0"/>
                      <w:i w:val="0"/>
                      <w:color w:val="000000"/>
                      <w:sz w:val="21"/>
                    </w:rPr>
                    <w:t>完整级联</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同一定位器；真值输入与真实分割预测输入</w:t>
                  </w:r>
                </w:p>
              </w:tc>
              <w:tc>
                <w:tcPr>
                  <w:tcW w:type="dxa" w:w="3716"/>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前级漏检、ROI偏移、错配及最终有效点比例</w:t>
                  </w:r>
                </w:p>
              </w:tc>
            </w:tr>
          </w:tbl>
          <w:p/>
        </w:tc>
      </w:tr>
      <w:tr>
        <w:trPr/>
        <w:tc>
          <w:tcPr>
            <w:tcW w:w="10343" w:type="dxa"/>
            <w:gridSpan w:val="2"/>
            <w:tcBorders>
              <w:bottom w:val="nil" w:sz="4" w:space="0" w:color="auto"/>
              <w:top w:val="nil"/>
            </w:tcBorders>
          </w:tcPr>
          <w:p/>
          <w:p/>
          <w:p>
            <w:pPr>
              <w:keepNext/>
              <w:keepLines/>
              <w:spacing w:line="312" w:lineRule="auto" w:before="100" w:after="100"/>
              <w:ind w:firstLine="0"/>
              <w:jc w:val="left"/>
            </w:pPr>
            <w:r>
              <w:rPr>
                <w:rFonts w:ascii="Times New Roman" w:hAnsi="Times New Roman" w:eastAsia="宋体"/>
                <w:b/>
                <w:i w:val="0"/>
                <w:color w:val="000000"/>
                <w:sz w:val="24"/>
              </w:rPr>
              <w:t>6.2 分割精度 难例与效率</w:t>
            </w:r>
          </w:p>
          <w:p>
            <w:pPr>
              <w:keepNext w:val="0"/>
              <w:widowControl/>
              <w:spacing w:line="312" w:lineRule="auto" w:after="60"/>
              <w:ind w:firstLine="480"/>
              <w:jc w:val="both"/>
            </w:pPr>
            <w:r>
              <w:rPr>
                <w:rFonts w:ascii="Times New Roman" w:hAnsi="Times New Roman" w:eastAsia="宋体"/>
                <w:b w:val="0"/>
                <w:i w:val="0"/>
                <w:color w:val="000000"/>
                <w:sz w:val="24"/>
              </w:rPr>
              <w:t>分割报告Mask AP50–95、AP50、precision、recall与尺度AP，并分别给出凹陷遮挡、邻果接触和贴边实例的表现。区域指标与Boundary F1共同解释轮廓质量；一对多分裂、多对一合并按固定覆盖规则统计，临界样本复核。语义辅助方法另报Dice、mIoU，不用这些语义指标替代实例AP。</w:t>
            </w:r>
          </w:p>
          <w:p>
            <w:pPr>
              <w:keepNext w:val="0"/>
              <w:widowControl/>
              <w:spacing w:line="312" w:lineRule="auto" w:after="60"/>
              <w:ind w:firstLine="480"/>
              <w:jc w:val="both"/>
            </w:pPr>
            <w:r>
              <w:rPr>
                <w:rFonts w:ascii="Times New Roman" w:hAnsi="Times New Roman" w:eastAsia="宋体"/>
                <w:b w:val="0"/>
                <w:i w:val="0"/>
                <w:color w:val="000000"/>
                <w:sz w:val="24"/>
              </w:rPr>
              <w:t>效率报告参数量、GFLOPs、峰值显存与实测延迟。测试固定硬件、batch、输入、推理精度和预热方式，包含预处理、网络、掩膜恢复及切片合并，报告中位数及P95时间。多次测量使用一致流程；不同设备的文献FPS仅作背景，不与本课题直接排名。若暂未取得边缘设备结果，则结论限定为所测硬件下的精度与成本。</w:t>
            </w:r>
          </w:p>
          <w:p>
            <w:pPr>
              <w:keepNext/>
              <w:keepLines/>
              <w:spacing w:line="312" w:lineRule="auto" w:before="100" w:after="100"/>
              <w:ind w:firstLine="0"/>
              <w:jc w:val="left"/>
            </w:pPr>
            <w:r>
              <w:rPr>
                <w:rFonts w:ascii="Times New Roman" w:hAnsi="Times New Roman" w:eastAsia="宋体"/>
                <w:b/>
                <w:i w:val="0"/>
                <w:color w:val="000000"/>
                <w:sz w:val="24"/>
              </w:rPr>
              <w:t>6.3 点位与上下游误差传播</w:t>
            </w:r>
          </w:p>
          <w:p>
            <w:pPr>
              <w:keepNext w:val="0"/>
              <w:widowControl/>
              <w:spacing w:line="312" w:lineRule="auto" w:after="60"/>
              <w:ind w:firstLine="480"/>
              <w:jc w:val="both"/>
            </w:pPr>
            <w:r>
              <w:rPr>
                <w:rFonts w:ascii="Times New Roman" w:hAnsi="Times New Roman" w:eastAsia="宋体"/>
                <w:b w:val="0"/>
                <w:i w:val="0"/>
                <w:color w:val="000000"/>
                <w:sz w:val="24"/>
              </w:rPr>
              <w:t>点位误差同时以原图像素和目标真值框对角线归一化距离表示，给出均值、中位数、P95以及若干固定阈值下的PCK。清晰和局部遮挡可定位子集分开，阈值在试标与验证阶段确定。连接区本身的标注分歧也同时列出，避免把标注不确定性全部解释为网络误差。</w:t>
            </w:r>
          </w:p>
          <w:p>
            <w:pPr>
              <w:keepNext w:val="0"/>
              <w:widowControl/>
              <w:spacing w:line="312" w:lineRule="auto" w:after="60"/>
              <w:ind w:firstLine="480"/>
              <w:jc w:val="both"/>
            </w:pPr>
            <w:r>
              <w:rPr>
                <w:rFonts w:ascii="Times New Roman" w:hAnsi="Times New Roman" w:eastAsia="宋体"/>
                <w:b w:val="0"/>
                <w:i w:val="0"/>
                <w:color w:val="000000"/>
                <w:sz w:val="24"/>
              </w:rPr>
              <w:t>图20所示两种输入条件分别评价：真值ROI与掩膜用于估计局部定位能力，真实预测ROI与掩膜用于检验完整流程。第二种条件保留上游漏检、分裂、合并、点位错配和拒识失败，不仅统计成功裁剪的样本。可靠点覆盖率以全部真值果实为分母，只有实例对应正确且点位达到固定误差阈值的输出计入分子；另报可定位真值实例的定位成功率及不可判定实例的错误接受率，使两篇研究有共同评价依据。</w:t>
            </w:r>
          </w:p>
          <w:p>
            <w:pPr>
              <w:keepNext/>
              <w:keepLines/>
              <w:spacing w:before="120" w:after="40" w:line="240" w:lineRule="auto"/>
              <w:ind w:firstLine="0"/>
              <w:jc w:val="center"/>
            </w:pPr>
            <w:r>
              <w:drawing>
                <wp:inline xmlns:a="http://schemas.openxmlformats.org/drawingml/2006/main" xmlns:pic="http://schemas.openxmlformats.org/drawingml/2006/picture">
                  <wp:extent cx="5184000" cy="2736000"/>
                  <wp:docPr id="2133873106" name="Picture 2133873106"/>
                  <wp:cNvGraphicFramePr>
                    <a:graphicFrameLocks noChangeAspect="1"/>
                  </wp:cNvGraphicFramePr>
                  <a:graphic>
                    <a:graphicData uri="http://schemas.openxmlformats.org/drawingml/2006/picture">
                      <pic:pic>
                        <pic:nvPicPr>
                          <pic:cNvPr id="0" name="fig07_evaluation.png"/>
                          <pic:cNvPicPr/>
                        </pic:nvPicPr>
                        <pic:blipFill>
                          <a:blip r:embed="rId103"/>
                          <a:stretch>
                            <a:fillRect/>
                          </a:stretch>
                        </pic:blipFill>
                        <pic:spPr>
                          <a:xfrm>
                            <a:off x="0" y="0"/>
                            <a:ext cx="5184000" cy="2736000"/>
                          </a:xfrm>
                          <a:prstGeom prst="rect"/>
                        </pic:spPr>
                      </pic:pic>
                    </a:graphicData>
                  </a:graphic>
                </wp:inline>
              </w:drawing>
            </w:r>
          </w:p>
          <w:p>
            <w:pPr>
              <w:keepLines/>
              <w:spacing w:after="140" w:line="276" w:lineRule="auto"/>
              <w:ind w:firstLine="0"/>
              <w:jc w:val="center"/>
            </w:pPr>
            <w:r>
              <w:rPr>
                <w:rFonts w:ascii="Times New Roman" w:hAnsi="Times New Roman" w:eastAsia="宋体"/>
                <w:b w:val="0"/>
                <w:i w:val="0"/>
                <w:color w:val="000000"/>
                <w:sz w:val="21"/>
              </w:rPr>
              <w:t>图20 真值输入与预测输入的分层评价 本研究绘制 用于量化分割误差传递</w:t>
            </w:r>
          </w:p>
          <w:p>
            <w:pPr>
              <w:keepNext/>
              <w:keepLines/>
              <w:spacing w:line="312" w:lineRule="auto" w:before="160" w:after="100"/>
              <w:ind w:firstLine="0"/>
              <w:jc w:val="left"/>
            </w:pPr>
            <w:r>
              <w:rPr>
                <w:rFonts w:ascii="Times New Roman" w:hAnsi="Times New Roman" w:eastAsia="宋体"/>
                <w:b/>
                <w:i w:val="0"/>
                <w:color w:val="000000"/>
                <w:sz w:val="24"/>
              </w:rPr>
              <w:t>7 拟研究的改进点与预期成果</w:t>
            </w:r>
          </w:p>
          <w:p>
            <w:pPr>
              <w:keepNext w:val="0"/>
              <w:widowControl/>
              <w:spacing w:line="312" w:lineRule="auto" w:after="60"/>
              <w:ind w:firstLine="480"/>
              <w:jc w:val="both"/>
            </w:pPr>
            <w:r>
              <w:rPr>
                <w:rFonts w:ascii="Times New Roman" w:hAnsi="Times New Roman" w:eastAsia="宋体"/>
                <w:b w:val="0"/>
                <w:i w:val="0"/>
                <w:color w:val="000000"/>
                <w:sz w:val="24"/>
              </w:rPr>
              <w:t>拟研究的第一项改进，是在有限计算预算下协调小果细节与绿色背景判别：通过整图和局部输入、软区域上下文及保留原始细节的修正机制，检查小果收益能否同时满足误报和时间约束。第二项改进，是针对可见凹边界与邻果接触建立分开的监督和错误统计，使方法的作用能够落实到同果分裂、异果合并与真实轮廓，而非只表现为一个总AP变化。</w:t>
            </w:r>
          </w:p>
          <w:p>
            <w:pPr>
              <w:keepNext w:val="0"/>
              <w:widowControl/>
              <w:spacing w:line="312" w:lineRule="auto" w:after="60"/>
              <w:ind w:firstLine="480"/>
              <w:jc w:val="both"/>
            </w:pPr>
            <w:r>
              <w:rPr>
                <w:rFonts w:ascii="Times New Roman" w:hAnsi="Times New Roman" w:eastAsia="宋体"/>
                <w:b w:val="0"/>
                <w:i w:val="0"/>
                <w:color w:val="000000"/>
                <w:sz w:val="24"/>
              </w:rPr>
              <w:t>第三项改进，是以目标实例为条件识别果梗连接处，在保留果体外RGB的局部网络中加入软掩膜提示与可定位性，并通过真实预测输入检验错误传播。上述设计均是待验证的研究假设；若简单基线已经足够或额外机制没有稳定作用，将保留更简单的方案。</w:t>
            </w:r>
          </w:p>
          <w:p>
            <w:pPr>
              <w:keepNext w:val="0"/>
              <w:widowControl/>
              <w:spacing w:line="312" w:lineRule="auto" w:after="60"/>
              <w:ind w:firstLine="480"/>
              <w:jc w:val="both"/>
            </w:pPr>
            <w:r>
              <w:rPr>
                <w:rFonts w:ascii="Times New Roman" w:hAnsi="Times New Roman" w:eastAsia="宋体"/>
                <w:b w:val="0"/>
                <w:i w:val="0"/>
                <w:color w:val="000000"/>
                <w:sz w:val="24"/>
              </w:rPr>
              <w:t>预期完成规范的幼果实例数据说明、连接点标注与可定位状态规范，形成可复核的分割和定位程序、对照与消融结果及失败案例。两项研究分别整理为实例分割和实例条件果梗识别论文稿，最后汇入学位论文。论文投稿及录用根据实验质量和导师意见确定，不在开题阶段预作保证。</w:t>
            </w:r>
          </w:p>
          <w:p>
            <w:pPr>
              <w:keepNext/>
              <w:keepLines/>
              <w:spacing w:line="312" w:lineRule="auto" w:before="160" w:after="100"/>
              <w:ind w:firstLine="0"/>
              <w:jc w:val="left"/>
            </w:pPr>
            <w:r>
              <w:rPr>
                <w:rFonts w:ascii="Times New Roman" w:hAnsi="Times New Roman" w:eastAsia="宋体"/>
                <w:b/>
                <w:i w:val="0"/>
                <w:color w:val="000000"/>
                <w:sz w:val="24"/>
              </w:rPr>
              <w:t>8 仪器条件与经费预算</w:t>
            </w:r>
          </w:p>
          <w:p>
            <w:pPr>
              <w:keepNext w:val="0"/>
              <w:widowControl/>
              <w:spacing w:line="312" w:lineRule="auto" w:after="60"/>
              <w:ind w:firstLine="480"/>
              <w:jc w:val="both"/>
            </w:pPr>
            <w:r>
              <w:rPr>
                <w:rFonts w:ascii="Times New Roman" w:hAnsi="Times New Roman" w:eastAsia="宋体"/>
                <w:b w:val="0"/>
                <w:i w:val="0"/>
                <w:color w:val="000000"/>
                <w:sz w:val="24"/>
              </w:rPr>
              <w:t>研究以现有RGB图像和拍摄设备、PyTorch训练环境及可使用的GPU服务器为基础，优先复用已有条件。存档预实验采用RTX 3090，正式运行记录实际硬件和软件版本。补采需要普通RGB相机或手机、稳定支架及采集记录工具，重点保证连接区清晰和批次可追溯。当前两项视觉研究不以购买完整套袋机器人为前提。</w:t>
            </w:r>
          </w:p>
        </w:tc>
      </w:tr>
      <w:tr>
        <w:trPr>
          <w:cantSplit/>
        </w:trPr>
        <w:tc>
          <w:tcPr>
            <w:tcW w:w="10343" w:type="dxa"/>
            <w:gridSpan w:val="2"/>
            <w:tcBorders>
              <w:bottom w:val="nil" w:sz="4" w:space="0" w:color="auto"/>
              <w:top w:val="nil"/>
            </w:tcBorders>
          </w:tcPr>
          <w:p>
            <w:pPr>
              <w:keepNext/>
              <w:spacing w:before="120" w:after="60"/>
              <w:ind w:firstLine="0"/>
              <w:jc w:val="center"/>
            </w:pPr>
            <w:r>
              <w:rPr>
                <w:rFonts w:ascii="Times New Roman" w:hAnsi="Times New Roman" w:eastAsia="宋体"/>
                <w:b/>
                <w:i w:val="0"/>
                <w:color w:val="000000"/>
                <w:sz w:val="21"/>
              </w:rPr>
              <w:t>表6 增量经费估算</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48"/>
              <w:gridCol w:w="3448"/>
              <w:gridCol w:w="3448"/>
            </w:tblGrid>
            <w:tr>
              <w:trPr>
                <w:cantSplit/>
                <w:tblHeader/>
                <w:cantSplit/>
                <w:tblHeader/>
              </w:trPr>
              <w:tc>
                <w:tcPr>
                  <w:tcW w:type="dxa" w:w="2668"/>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项目</w:t>
                  </w:r>
                </w:p>
              </w:tc>
              <w:tc>
                <w:tcPr>
                  <w:tcW w:type="dxa" w:w="1778"/>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预计金额 元</w:t>
                  </w:r>
                </w:p>
              </w:tc>
              <w:tc>
                <w:tcPr>
                  <w:tcW w:type="dxa" w:w="4001"/>
                  <w:vAlign w:val="center"/>
                  <w:shd w:val="clear" w:fill="F1F1F1"/>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用途</w:t>
                  </w:r>
                </w:p>
              </w:tc>
            </w:tr>
            <w:tr>
              <w:trPr>
                <w:cantSplit/>
                <w:cantSplit/>
              </w:trPr>
              <w:tc>
                <w:tcPr>
                  <w:tcW w:type="dxa" w:w="266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果园补采与交通</w:t>
                  </w:r>
                </w:p>
              </w:tc>
              <w:tc>
                <w:tcPr>
                  <w:tcW w:type="dxa" w:w="177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1,500</w:t>
                  </w:r>
                </w:p>
              </w:tc>
              <w:tc>
                <w:tcPr>
                  <w:tcW w:type="dxa" w:w="4001"/>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补采作业时期及局部清晰RGB图像</w:t>
                  </w:r>
                </w:p>
              </w:tc>
            </w:tr>
            <w:tr>
              <w:trPr>
                <w:cantSplit/>
                <w:cantSplit/>
              </w:trPr>
              <w:tc>
                <w:tcPr>
                  <w:tcW w:type="dxa" w:w="266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支架 标尺与采集耗材</w:t>
                  </w:r>
                </w:p>
              </w:tc>
              <w:tc>
                <w:tcPr>
                  <w:tcW w:type="dxa" w:w="177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500</w:t>
                  </w:r>
                </w:p>
              </w:tc>
              <w:tc>
                <w:tcPr>
                  <w:tcW w:type="dxa" w:w="4001"/>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拍摄稳定与场景记录</w:t>
                  </w:r>
                </w:p>
              </w:tc>
            </w:tr>
            <w:tr>
              <w:trPr>
                <w:cantSplit/>
                <w:cantSplit/>
              </w:trPr>
              <w:tc>
                <w:tcPr>
                  <w:tcW w:type="dxa" w:w="266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数据备份及存储</w:t>
                  </w:r>
                </w:p>
              </w:tc>
              <w:tc>
                <w:tcPr>
                  <w:tcW w:type="dxa" w:w="177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600</w:t>
                  </w:r>
                </w:p>
              </w:tc>
              <w:tc>
                <w:tcPr>
                  <w:tcW w:type="dxa" w:w="4001"/>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图像、标签版本与实验结果备份</w:t>
                  </w:r>
                </w:p>
              </w:tc>
            </w:tr>
            <w:tr>
              <w:trPr>
                <w:cantSplit/>
                <w:cantSplit/>
              </w:trPr>
              <w:tc>
                <w:tcPr>
                  <w:tcW w:type="dxa" w:w="266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算力补充</w:t>
                  </w:r>
                </w:p>
              </w:tc>
              <w:tc>
                <w:tcPr>
                  <w:tcW w:type="dxa" w:w="177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2,000</w:t>
                  </w:r>
                </w:p>
              </w:tc>
              <w:tc>
                <w:tcPr>
                  <w:tcW w:type="dxa" w:w="4001"/>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共享服务器不足时的机时估算</w:t>
                  </w:r>
                </w:p>
              </w:tc>
            </w:tr>
            <w:tr>
              <w:trPr>
                <w:cantSplit/>
                <w:cantSplit/>
              </w:trPr>
              <w:tc>
                <w:tcPr>
                  <w:tcW w:type="dxa" w:w="266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打印及研究耗材</w:t>
                  </w:r>
                </w:p>
              </w:tc>
              <w:tc>
                <w:tcPr>
                  <w:tcW w:type="dxa" w:w="1778"/>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400</w:t>
                  </w:r>
                </w:p>
              </w:tc>
              <w:tc>
                <w:tcPr>
                  <w:tcW w:type="dxa" w:w="4001"/>
                  <w:vAlign w:val="center"/>
                  <w:tcMar>
                    <w:top w:w="65" w:type="dxa"/>
                    <w:bottom w:w="65" w:type="dxa"/>
                    <w:left w:w="65" w:type="dxa"/>
                    <w:right w:w="65" w:type="dxa"/>
                  </w:tcMa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标注规范、阶段材料与论文整理</w:t>
                  </w:r>
                </w:p>
              </w:tc>
            </w:tr>
            <w:tr>
              <w:trPr>
                <w:cantSplit/>
                <w:cantSplit/>
              </w:trPr>
              <w:tc>
                <w:tcPr>
                  <w:tcW w:type="dxa" w:w="2668"/>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center"/>
                  </w:pPr>
                  <w:r>
                    <w:rPr>
                      <w:rFonts w:ascii="Times New Roman" w:hAnsi="Times New Roman" w:eastAsia="宋体"/>
                      <w:b w:val="0"/>
                      <w:i w:val="0"/>
                      <w:color w:val="000000"/>
                      <w:sz w:val="21"/>
                    </w:rPr>
                    <w:t>合计</w:t>
                  </w:r>
                </w:p>
              </w:tc>
              <w:tc>
                <w:tcPr>
                  <w:tcW w:type="dxa" w:w="1778"/>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5,000</w:t>
                  </w:r>
                </w:p>
              </w:tc>
              <w:tc>
                <w:tcPr>
                  <w:tcW w:type="dxa" w:w="4001"/>
                  <w:vAlign w:val="center"/>
                  <w:tcMar>
                    <w:top w:w="65" w:type="dxa"/>
                    <w:bottom w:w="65" w:type="dxa"/>
                    <w:left w:w="65" w:type="dxa"/>
                    <w:right w:w="65" w:type="dxa"/>
                  </w:tcMa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方案阶段估算 按实际资源条件调整</w:t>
                  </w:r>
                </w:p>
              </w:tc>
            </w:tr>
          </w:tbl>
          <w:p/>
        </w:tc>
      </w:tr>
      <w:tr>
        <w:trPr/>
        <w:tc>
          <w:tcPr>
            <w:tcW w:w="10343" w:type="dxa"/>
            <w:gridSpan w:val="2"/>
            <w:tcBorders>
              <w:bottom w:val="single" w:sz="4" w:space="0" w:color="000000"/>
              <w:top w:val="nil"/>
            </w:tcBorders>
          </w:tcPr>
          <w:p/>
          <w:p/>
          <w:p>
            <w:pPr>
              <w:keepNext/>
              <w:keepLines/>
              <w:spacing w:line="312" w:lineRule="auto" w:before="160" w:after="100"/>
              <w:ind w:firstLine="0"/>
              <w:jc w:val="left"/>
            </w:pPr>
            <w:r>
              <w:rPr>
                <w:rFonts w:ascii="Times New Roman" w:hAnsi="Times New Roman" w:eastAsia="宋体"/>
                <w:b/>
                <w:i w:val="0"/>
                <w:color w:val="000000"/>
                <w:sz w:val="24"/>
              </w:rPr>
              <w:t>9 可能出现的问题及应变措施</w:t>
            </w:r>
          </w:p>
          <w:p>
            <w:pPr>
              <w:keepNext w:val="0"/>
              <w:widowControl/>
              <w:spacing w:line="312" w:lineRule="auto" w:after="60"/>
              <w:ind w:firstLine="480"/>
              <w:jc w:val="both"/>
            </w:pPr>
            <w:r>
              <w:rPr>
                <w:rFonts w:ascii="Times New Roman" w:hAnsi="Times New Roman" w:eastAsia="宋体"/>
                <w:b w:val="0"/>
                <w:i w:val="0"/>
                <w:color w:val="000000"/>
                <w:sz w:val="24"/>
              </w:rPr>
              <w:t>若现有图像与目标套袋时期不匹配，补采并单列批次；无法补采时，明确研究适用范围，不凭绿色外观宣称覆盖所有套袋场景。若极小果或凹边界的标注存在争议，先复核原图和格式转换，再冻结统一标签，避免通过删除难例提高成绩。</w:t>
            </w:r>
          </w:p>
          <w:p>
            <w:pPr>
              <w:keepNext w:val="0"/>
              <w:widowControl/>
              <w:spacing w:line="312" w:lineRule="auto" w:after="60"/>
              <w:ind w:firstLine="480"/>
              <w:jc w:val="both"/>
            </w:pPr>
            <w:r>
              <w:rPr>
                <w:rFonts w:ascii="Times New Roman" w:hAnsi="Times New Roman" w:eastAsia="宋体"/>
                <w:b w:val="0"/>
                <w:i w:val="0"/>
                <w:color w:val="000000"/>
                <w:sz w:val="24"/>
              </w:rPr>
              <w:t>若细尺度处理过慢或背景误报增多，缩减视图预算、检查预测合并与校准，并保留整图对照。若上下文或边界项收益落在种子波动内，删除无效机制；若边界增强使分裂增加，调整可靠区域与损失权重，不用补圆和凸包恢复替代可见分割。</w:t>
            </w:r>
          </w:p>
          <w:p>
            <w:pPr>
              <w:keepNext w:val="0"/>
              <w:widowControl/>
              <w:spacing w:line="312" w:lineRule="auto" w:after="60"/>
              <w:ind w:firstLine="480"/>
              <w:jc w:val="both"/>
            </w:pPr>
            <w:r>
              <w:rPr>
                <w:rFonts w:ascii="Times New Roman" w:hAnsi="Times New Roman" w:eastAsia="宋体"/>
                <w:b w:val="0"/>
                <w:i w:val="0"/>
                <w:color w:val="000000"/>
                <w:sz w:val="24"/>
              </w:rPr>
              <w:t>若连接点试标一致性不足，先明确代表点规则并复标；若大量连接区确实不可辨，补采局部清晰图像，同时保留不可判定样本用于状态评价。若定位仅在真值ROI下有效，分析漏检、ROI外扩和实例错配，并在训练侧模拟有限上游误差。拒识必须与覆盖率共同报告，不能用减少输出掩盖失败。</w:t>
            </w:r>
          </w:p>
          <w:p>
            <w:pPr>
              <w:keepNext w:val="0"/>
              <w:widowControl/>
              <w:spacing w:line="312" w:lineRule="auto" w:after="60"/>
              <w:ind w:firstLine="480"/>
              <w:jc w:val="both"/>
            </w:pPr>
            <w:r>
              <w:rPr>
                <w:rFonts w:ascii="Times New Roman" w:hAnsi="Times New Roman" w:eastAsia="宋体"/>
                <w:b w:val="0"/>
                <w:i w:val="0"/>
                <w:color w:val="000000"/>
                <w:sz w:val="24"/>
              </w:rPr>
              <w:t>若数据集中于单地区、单批次，条件允许时补充独立批次测试；没有外部数据时限定泛化结论。正式比较从清洁初始化开始，统一数据成员与评价协议，三seed用于反映训练波动，必要时按采集组重采样估计样本不确定性。把问题、改动与结果共同留档，保证阶段结论能够追溯。</w:t>
            </w:r>
          </w:p>
        </w:tc>
      </w:tr>
      <w:tr w:rsidR="00D617A1" w14:paraId="6C6CC63E" w14:textId="77777777" w:rsidTr="00CC71C7">
        <w:trPr>
          <w:trHeight/>
          <w:jc w:val="center"/>
          <w:cantSplit/>
        </w:trPr>
        <w:tc>
          <w:tcPr>
            <w:tcW w:w="10343" w:type="dxa"/>
            <w:gridSpan w:val="2"/>
          </w:tcPr>
          <w:p w14:paraId="2DFD419C" w14:textId="77777777" w:rsidR="00D617A1" w:rsidRDefault="00000000">
            <w:pPr>
              <w:spacing w:beforeLines="50" w:before="156" w:line="360" w:lineRule="auto"/>
              <w:ind w:firstLine="482"/>
              <w:rPr>
                <w:rFonts w:ascii="楷体_GB2312" w:eastAsia="楷体_GB2312"/>
                <w:b/>
                <w:sz w:val="24"/>
                <w:szCs w:val="24"/>
              </w:rPr>
            </w:pPr>
            <w:r>
              <w:rPr>
                <w:rFonts w:ascii="楷体_GB2312" w:eastAsia="楷体_GB2312" w:hint="eastAsia"/>
                <w:b/>
                <w:sz w:val="24"/>
                <w:szCs w:val="24"/>
              </w:rPr>
              <w:t>课题与教研室及导师的科研工作有无关系，与已毕业的研究生课题联系：</w:t>
            </w:r>
          </w:p>
          <w:p>
            <w:pPr>
              <w:keepNext w:val="0"/>
              <w:widowControl/>
              <w:spacing w:line="312" w:lineRule="auto" w:after="60"/>
              <w:ind w:firstLine="480"/>
              <w:jc w:val="both"/>
            </w:pPr>
            <w:r>
              <w:rPr>
                <w:rFonts w:ascii="Times New Roman" w:hAnsi="Times New Roman" w:eastAsia="宋体"/>
                <w:b w:val="0"/>
                <w:i w:val="0"/>
                <w:color w:val="000000"/>
                <w:sz w:val="24"/>
              </w:rPr>
              <w:t>本课题属于导师指导下机器视觉与农产品感知研究方向，沿用已有的图像采集、深度网络训练和结果分析经验。与课题组已有农产品表面检测研究相比，本课题转向自然冠层中的未成熟柑橘，以RGB图像研究可见实例和指定果实的果梗连接信息，需建立独立的标签定义和评价协议。拟在导师指导下完成两项衔接研究及学位论文。</w:t>
            </w:r>
          </w:p>
        </w:tc>
      </w:tr>
      <w:tr w:rsidR="00D617A1" w14:paraId="0A8BBC69" w14:textId="77777777" w:rsidTr="00CC71C7">
        <w:trPr>
          <w:trHeight/>
          <w:jc w:val="center"/>
          <w:cantSplit/>
        </w:trPr>
        <w:tc>
          <w:tcPr>
            <w:tcW w:w="1261" w:type="dxa"/>
            <w:vAlign w:val="center"/>
          </w:tcPr>
          <w:p w14:paraId="23FE1EF4"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论</w:t>
            </w:r>
          </w:p>
          <w:p w14:paraId="66F635CE" w14:textId="77777777" w:rsidR="00D617A1" w:rsidRDefault="00D617A1">
            <w:pPr>
              <w:widowControl/>
              <w:ind w:firstLine="480"/>
              <w:jc w:val="center"/>
              <w:rPr>
                <w:rFonts w:ascii="楷体_GB2312" w:eastAsia="楷体_GB2312"/>
                <w:sz w:val="24"/>
                <w:szCs w:val="24"/>
              </w:rPr>
            </w:pPr>
          </w:p>
          <w:p w14:paraId="0E7AFE66" w14:textId="77777777" w:rsidR="00D617A1" w:rsidRDefault="00D617A1">
            <w:pPr>
              <w:widowControl/>
              <w:ind w:firstLine="480"/>
              <w:jc w:val="center"/>
              <w:rPr>
                <w:rFonts w:ascii="楷体_GB2312" w:eastAsia="楷体_GB2312"/>
                <w:sz w:val="24"/>
                <w:szCs w:val="24"/>
              </w:rPr>
            </w:pPr>
          </w:p>
          <w:p w14:paraId="1F7E4B60"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文</w:t>
            </w:r>
          </w:p>
          <w:p w14:paraId="4B1E5DD1" w14:textId="77777777" w:rsidR="00D617A1" w:rsidRDefault="00D617A1">
            <w:pPr>
              <w:widowControl/>
              <w:ind w:firstLine="480"/>
              <w:jc w:val="center"/>
              <w:rPr>
                <w:rFonts w:ascii="楷体_GB2312" w:eastAsia="楷体_GB2312"/>
                <w:sz w:val="24"/>
                <w:szCs w:val="24"/>
              </w:rPr>
            </w:pPr>
          </w:p>
          <w:p w14:paraId="670200C0" w14:textId="77777777" w:rsidR="00D617A1" w:rsidRDefault="00D617A1">
            <w:pPr>
              <w:widowControl/>
              <w:ind w:firstLine="480"/>
              <w:jc w:val="center"/>
              <w:rPr>
                <w:rFonts w:ascii="楷体_GB2312" w:eastAsia="楷体_GB2312"/>
                <w:sz w:val="24"/>
                <w:szCs w:val="24"/>
              </w:rPr>
            </w:pPr>
          </w:p>
          <w:p w14:paraId="52E3C02F"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工</w:t>
            </w:r>
          </w:p>
          <w:p w14:paraId="06509D46" w14:textId="77777777" w:rsidR="00D617A1" w:rsidRDefault="00D617A1">
            <w:pPr>
              <w:widowControl/>
              <w:ind w:firstLine="480"/>
              <w:jc w:val="center"/>
              <w:rPr>
                <w:rFonts w:ascii="楷体_GB2312" w:eastAsia="楷体_GB2312"/>
                <w:sz w:val="24"/>
                <w:szCs w:val="24"/>
              </w:rPr>
            </w:pPr>
          </w:p>
          <w:p w14:paraId="5DAE43DF" w14:textId="77777777" w:rsidR="00D617A1" w:rsidRDefault="00D617A1">
            <w:pPr>
              <w:widowControl/>
              <w:ind w:firstLine="480"/>
              <w:jc w:val="center"/>
              <w:rPr>
                <w:rFonts w:ascii="楷体_GB2312" w:eastAsia="楷体_GB2312"/>
                <w:sz w:val="24"/>
                <w:szCs w:val="24"/>
              </w:rPr>
            </w:pPr>
          </w:p>
          <w:p w14:paraId="016E99C2"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作</w:t>
            </w:r>
          </w:p>
          <w:p w14:paraId="0B0D4F7E" w14:textId="77777777" w:rsidR="00D617A1" w:rsidRDefault="00D617A1">
            <w:pPr>
              <w:widowControl/>
              <w:ind w:firstLine="480"/>
              <w:jc w:val="center"/>
              <w:rPr>
                <w:rFonts w:ascii="楷体_GB2312" w:eastAsia="楷体_GB2312"/>
                <w:sz w:val="24"/>
                <w:szCs w:val="24"/>
              </w:rPr>
            </w:pPr>
          </w:p>
          <w:p w14:paraId="18AF481A" w14:textId="77777777" w:rsidR="00D617A1" w:rsidRDefault="00D617A1">
            <w:pPr>
              <w:widowControl/>
              <w:ind w:firstLine="480"/>
              <w:jc w:val="center"/>
              <w:rPr>
                <w:rFonts w:ascii="楷体_GB2312" w:eastAsia="楷体_GB2312"/>
                <w:sz w:val="24"/>
                <w:szCs w:val="24"/>
              </w:rPr>
            </w:pPr>
          </w:p>
          <w:p w14:paraId="176DDCAF"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计</w:t>
            </w:r>
          </w:p>
          <w:p w14:paraId="6CB7EF7D" w14:textId="77777777" w:rsidR="00D617A1" w:rsidRDefault="00D617A1">
            <w:pPr>
              <w:widowControl/>
              <w:ind w:firstLine="480"/>
              <w:jc w:val="center"/>
              <w:rPr>
                <w:rFonts w:ascii="楷体_GB2312" w:eastAsia="楷体_GB2312"/>
                <w:sz w:val="24"/>
                <w:szCs w:val="24"/>
              </w:rPr>
            </w:pPr>
          </w:p>
          <w:p w14:paraId="676B82A9" w14:textId="77777777" w:rsidR="00D617A1" w:rsidRDefault="00D617A1">
            <w:pPr>
              <w:widowControl/>
              <w:ind w:firstLine="480"/>
              <w:jc w:val="center"/>
              <w:rPr>
                <w:rFonts w:ascii="楷体_GB2312" w:eastAsia="楷体_GB2312"/>
                <w:sz w:val="24"/>
                <w:szCs w:val="24"/>
              </w:rPr>
            </w:pPr>
          </w:p>
          <w:p w14:paraId="22807360"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划</w:t>
            </w:r>
          </w:p>
        </w:tc>
        <w:tc>
          <w:tcPr>
            <w:tcW w:w="9082" w:type="dxa"/>
          </w:tcPr>
          <w:p w14:paraId="34D6E585" w14:textId="77777777" w:rsidR="00D617A1" w:rsidRDefault="00000000">
            <w:pPr>
              <w:widowControl/>
              <w:spacing w:beforeLines="50" w:before="156" w:line="360" w:lineRule="auto"/>
              <w:ind w:firstLine="482"/>
              <w:jc w:val="left"/>
              <w:rPr>
                <w:rFonts w:ascii="楷体_GB2312" w:eastAsia="楷体_GB2312"/>
                <w:b/>
                <w:sz w:val="24"/>
                <w:szCs w:val="24"/>
              </w:rPr>
            </w:pPr>
            <w:r>
              <w:rPr>
                <w:rFonts w:ascii="楷体_GB2312" w:eastAsia="楷体_GB2312" w:hint="eastAsia"/>
                <w:b/>
                <w:sz w:val="24"/>
                <w:szCs w:val="24"/>
              </w:rPr>
              <w:t>阶段工作内容及预计完成的指标：</w:t>
            </w:r>
          </w:p>
          <w:p>
            <w:pPr>
              <w:keepNext w:val="0"/>
              <w:widowControl/>
              <w:spacing w:line="312" w:lineRule="auto" w:after="60"/>
              <w:ind w:firstLine="480"/>
              <w:jc w:val="both"/>
            </w:pPr>
            <w:r>
              <w:rPr>
                <w:rFonts w:ascii="Times New Roman" w:hAnsi="Times New Roman" w:eastAsia="宋体"/>
                <w:b w:val="0"/>
                <w:i w:val="0"/>
                <w:color w:val="000000"/>
                <w:sz w:val="24"/>
              </w:rPr>
              <w:t>计划以2026年秋季开题后的工作为起点，按2028年上半年完成论文拟定；具体开题、中期和答辩时间以学院培养安排为准。</w:t>
            </w:r>
          </w:p>
          <w:p>
            <w:pPr>
              <w:keepNext/>
              <w:spacing w:before="120" w:after="60"/>
              <w:ind w:firstLine="0"/>
              <w:jc w:val="center"/>
            </w:pPr>
            <w:r>
              <w:rPr>
                <w:rFonts w:ascii="Times New Roman" w:hAnsi="Times New Roman" w:eastAsia="宋体"/>
                <w:b/>
                <w:i w:val="0"/>
                <w:color w:val="000000"/>
                <w:sz w:val="21"/>
              </w:rPr>
              <w:t>表7 阶段工作安排与检查点</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27"/>
              <w:gridCol w:w="3027"/>
              <w:gridCol w:w="3027"/>
            </w:tblGrid>
            <w:tr>
              <w:trPr>
                <w:cantSplit/>
                <w:tblHeader/>
              </w:trPr>
              <w:tc>
                <w:tcPr>
                  <w:tcW w:type="dxa" w:w="1841"/>
                  <w:vAlign w:val="center"/>
                  <w:shd w:val="clear" w:fill="F1F1F1"/>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时间</w:t>
                  </w:r>
                </w:p>
              </w:tc>
              <w:tc>
                <w:tcPr>
                  <w:tcW w:type="dxa" w:w="3790"/>
                  <w:vAlign w:val="center"/>
                  <w:shd w:val="clear" w:fill="F1F1F1"/>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阶段工作</w:t>
                  </w:r>
                </w:p>
              </w:tc>
              <w:tc>
                <w:tcPr>
                  <w:tcW w:type="dxa" w:w="2816"/>
                  <w:vAlign w:val="center"/>
                  <w:shd w:val="clear" w:fill="F1F1F1"/>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i w:val="0"/>
                      <w:color w:val="000000"/>
                      <w:sz w:val="21"/>
                    </w:rPr>
                    <w:t>可核查产出</w:t>
                  </w:r>
                </w:p>
              </w:tc>
            </w:tr>
            <w:tr>
              <w:trPr>
                <w:cantSplit/>
              </w:trPr>
              <w:tc>
                <w:tcPr>
                  <w:tcW w:type="dxa" w:w="1841"/>
                  <w:vAlign w:val="cente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2026.10—2026.12</w:t>
                  </w:r>
                </w:p>
              </w:tc>
              <w:tc>
                <w:tcPr>
                  <w:tcW w:type="dxa" w:w="3790"/>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文献补充、数据协议核查、50—100张双人连接点试标、基线烟测</w:t>
                  </w:r>
                </w:p>
              </w:tc>
              <w:tc>
                <w:tcPr>
                  <w:tcW w:type="dxa" w:w="2816"/>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修订开题报告；冻结图像清单；试标分歧及可辨认比例</w:t>
                  </w:r>
                </w:p>
              </w:tc>
            </w:tr>
            <w:tr>
              <w:trPr>
                <w:cantSplit/>
              </w:trPr>
              <w:tc>
                <w:tcPr>
                  <w:tcW w:type="dxa" w:w="1841"/>
                  <w:vAlign w:val="cente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2027.01—2027.03</w:t>
                  </w:r>
                </w:p>
              </w:tc>
              <w:tc>
                <w:tcPr>
                  <w:tcW w:type="dxa" w:w="3790"/>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基线50 epoch筛选；输入、上下文和边界逐项消融；扩充点位标注</w:t>
                  </w:r>
                </w:p>
              </w:tc>
              <w:tc>
                <w:tcPr>
                  <w:tcW w:type="dxa" w:w="2816"/>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受控筛选表；确定分割主线；正式点位与状态规范</w:t>
                  </w:r>
                </w:p>
              </w:tc>
            </w:tr>
            <w:tr>
              <w:trPr>
                <w:cantSplit/>
              </w:trPr>
              <w:tc>
                <w:tcPr>
                  <w:tcW w:type="dxa" w:w="1841"/>
                  <w:vAlign w:val="cente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2027.04—2027.06</w:t>
                  </w:r>
                </w:p>
              </w:tc>
              <w:tc>
                <w:tcPr>
                  <w:tcW w:type="dxa" w:w="3790"/>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最终分割三seed、跨系列及难例效率比较</w:t>
                  </w:r>
                </w:p>
              </w:tc>
              <w:tc>
                <w:tcPr>
                  <w:tcW w:type="dxa" w:w="2816"/>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分割论文稿；真实实例输出接口与失败案例</w:t>
                  </w:r>
                </w:p>
              </w:tc>
            </w:tr>
            <w:tr>
              <w:trPr>
                <w:cantSplit/>
              </w:trPr>
              <w:tc>
                <w:tcPr>
                  <w:tcW w:type="dxa" w:w="1841"/>
                  <w:vAlign w:val="cente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2027.07—2027.09</w:t>
                  </w:r>
                </w:p>
              </w:tc>
              <w:tc>
                <w:tcPr>
                  <w:tcW w:type="dxa" w:w="3790"/>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ROI热图基线、实例提示和可定位性实验</w:t>
                  </w:r>
                </w:p>
              </w:tc>
              <w:tc>
                <w:tcPr>
                  <w:tcW w:type="dxa" w:w="2816"/>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点位对照与消融；真值/预测ROI分层结果</w:t>
                  </w:r>
                </w:p>
              </w:tc>
            </w:tr>
            <w:tr>
              <w:trPr>
                <w:cantSplit/>
              </w:trPr>
              <w:tc>
                <w:tcPr>
                  <w:tcW w:type="dxa" w:w="1841"/>
                  <w:vAlign w:val="center"/>
                  <w:tcMar>
                    <w:top w:w="65" w:type="dxa"/>
                    <w:bottom w:w="65" w:type="dxa"/>
                    <w:left w:w="65" w:type="dxa"/>
                    <w:right w:w="65" w:type="dxa"/>
                  </w:tcMar>
                </w:tcPr>
                <w:p>
                  <w:pPr>
                    <w:keepNext/>
                    <w:keepLines/>
                    <w:spacing w:after="0" w:line="276" w:lineRule="auto"/>
                    <w:ind w:firstLine="0"/>
                    <w:jc w:val="center"/>
                  </w:pPr>
                  <w:r>
                    <w:rPr>
                      <w:rFonts w:ascii="Times New Roman" w:hAnsi="Times New Roman" w:eastAsia="宋体"/>
                      <w:b w:val="0"/>
                      <w:i w:val="0"/>
                      <w:color w:val="000000"/>
                      <w:sz w:val="21"/>
                    </w:rPr>
                    <w:t>2027.10—2027.12</w:t>
                  </w:r>
                </w:p>
              </w:tc>
              <w:tc>
                <w:tcPr>
                  <w:tcW w:type="dxa" w:w="3790"/>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完整级联、错误传播及可行的独立批次测试</w:t>
                  </w:r>
                </w:p>
              </w:tc>
              <w:tc>
                <w:tcPr>
                  <w:tcW w:type="dxa" w:w="2816"/>
                  <w:vAlign w:val="center"/>
                  <w:tcMar>
                    <w:top w:w="65" w:type="dxa"/>
                    <w:bottom w:w="65" w:type="dxa"/>
                    <w:left w:w="65" w:type="dxa"/>
                    <w:right w:w="65" w:type="dxa"/>
                  </w:tcMar>
                </w:tcPr>
                <w:p>
                  <w:pPr>
                    <w:keepNext/>
                    <w:keepLines/>
                    <w:spacing w:after="0" w:line="276" w:lineRule="auto"/>
                    <w:ind w:firstLine="0"/>
                    <w:jc w:val="left"/>
                  </w:pPr>
                  <w:r>
                    <w:rPr>
                      <w:rFonts w:ascii="Times New Roman" w:hAnsi="Times New Roman" w:eastAsia="宋体"/>
                      <w:b w:val="0"/>
                      <w:i w:val="0"/>
                      <w:color w:val="000000"/>
                      <w:sz w:val="21"/>
                    </w:rPr>
                    <w:t>果梗识别论文稿；完整感知链评价及复现记录</w:t>
                  </w:r>
                </w:p>
              </w:tc>
            </w:tr>
            <w:tr>
              <w:trPr>
                <w:cantSplit/>
              </w:trPr>
              <w:tc>
                <w:tcPr>
                  <w:tcW w:type="dxa" w:w="1841"/>
                  <w:vAlign w:val="center"/>
                  <w:tcMar>
                    <w:top w:w="65" w:type="dxa"/>
                    <w:bottom w:w="65" w:type="dxa"/>
                    <w:left w:w="65" w:type="dxa"/>
                    <w:right w:w="65" w:type="dxa"/>
                  </w:tcMar>
                </w:tcPr>
                <w:p>
                  <w:pPr>
                    <w:keepNext w:val="0"/>
                    <w:keepLines/>
                    <w:spacing w:after="0" w:line="276" w:lineRule="auto"/>
                    <w:ind w:firstLine="0"/>
                    <w:jc w:val="center"/>
                  </w:pPr>
                  <w:r>
                    <w:rPr>
                      <w:rFonts w:ascii="Times New Roman" w:hAnsi="Times New Roman" w:eastAsia="宋体"/>
                      <w:b w:val="0"/>
                      <w:i w:val="0"/>
                      <w:color w:val="000000"/>
                      <w:sz w:val="21"/>
                    </w:rPr>
                    <w:t>2028.01—2028.06</w:t>
                  </w:r>
                </w:p>
              </w:tc>
              <w:tc>
                <w:tcPr>
                  <w:tcW w:type="dxa" w:w="3790"/>
                  <w:vAlign w:val="cente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补充必要实验、撰写修改学位论文并整理答辩材料</w:t>
                  </w:r>
                </w:p>
              </w:tc>
              <w:tc>
                <w:tcPr>
                  <w:tcW w:type="dxa" w:w="2816"/>
                  <w:vAlign w:val="center"/>
                  <w:tcMar>
                    <w:top w:w="65" w:type="dxa"/>
                    <w:bottom w:w="65" w:type="dxa"/>
                    <w:left w:w="65" w:type="dxa"/>
                    <w:right w:w="65" w:type="dxa"/>
                  </w:tcMar>
                </w:tcPr>
                <w:p>
                  <w:pPr>
                    <w:keepNext w:val="0"/>
                    <w:keepLines/>
                    <w:spacing w:after="0" w:line="276" w:lineRule="auto"/>
                    <w:ind w:firstLine="0"/>
                    <w:jc w:val="left"/>
                  </w:pPr>
                  <w:r>
                    <w:rPr>
                      <w:rFonts w:ascii="Times New Roman" w:hAnsi="Times New Roman" w:eastAsia="宋体"/>
                      <w:b w:val="0"/>
                      <w:i w:val="0"/>
                      <w:color w:val="000000"/>
                      <w:sz w:val="21"/>
                    </w:rPr>
                    <w:t>学位论文；答辩材料；数据标签与程序归档</w:t>
                  </w:r>
                </w:p>
              </w:tc>
            </w:tr>
          </w:tbl>
          <w:p/>
          <w:p/>
          <w:p>
            <w:pPr>
              <w:keepNext w:val="0"/>
              <w:widowControl/>
              <w:spacing w:line="312" w:lineRule="auto" w:after="60"/>
              <w:ind w:firstLine="480"/>
              <w:jc w:val="both"/>
            </w:pPr>
            <w:r>
              <w:rPr>
                <w:rFonts w:ascii="Times New Roman" w:hAnsi="Times New Roman" w:eastAsia="宋体"/>
                <w:b w:val="0"/>
                <w:i w:val="0"/>
                <w:color w:val="000000"/>
                <w:sz w:val="24"/>
              </w:rPr>
              <w:t>各阶段保留调整空间，但先后依赖保持清楚：试标规范稳定后扩充点位；烟测通过后启动正式训练；分割主线冻结后评价真实ROI级联。阶段记录同时保存有效结果与失败原因，支持后续方法取舍和论文论证。</w:t>
            </w:r>
          </w:p>
        </w:tc>
      </w:tr>
      <w:tr>
        <w:trPr>
          <w:cantSplit/>
        </w:trPr>
        <w:tc>
          <w:tcPr>
            <w:tcW w:w="1261" w:type="dxa"/>
            <w:vAlign w:val="center"/>
          </w:tcPr>
          <w:p w14:paraId="2DC7C1FE" w14:textId="77777777" w:rsidR="00D617A1" w:rsidRDefault="00000000">
            <w:pPr>
              <w:keepNext w:val="0"/>
              <w:ind w:firstLine="480"/>
              <w:jc w:val="center"/>
              <w:rPr>
                <w:rFonts w:ascii="楷体_GB2312" w:eastAsia="楷体_GB2312"/>
                <w:sz w:val="24"/>
                <w:szCs w:val="24"/>
              </w:rPr>
            </w:pPr>
            <w:r>
              <w:rPr>
                <w:rFonts w:ascii="楷体_GB2312" w:eastAsia="楷体_GB2312" w:hint="eastAsia"/>
                <w:sz w:val="24"/>
                <w:szCs w:val="24"/>
              </w:rPr>
              <w:t>审</w:t>
            </w:r>
          </w:p>
          <w:p w14:paraId="6369E970" w14:textId="77777777" w:rsidR="00D617A1" w:rsidRDefault="00D617A1">
            <w:pPr>
              <w:keepNext w:val="0"/>
              <w:ind w:firstLine="480"/>
              <w:jc w:val="center"/>
              <w:rPr>
                <w:rFonts w:ascii="楷体_GB2312" w:eastAsia="楷体_GB2312"/>
                <w:sz w:val="24"/>
                <w:szCs w:val="24"/>
              </w:rPr>
            </w:pPr>
          </w:p>
          <w:p w14:paraId="712D686B" w14:textId="77777777" w:rsidR="00D617A1" w:rsidRDefault="00D617A1">
            <w:pPr>
              <w:keepNext w:val="0"/>
              <w:ind w:firstLine="480"/>
              <w:jc w:val="center"/>
              <w:rPr>
                <w:rFonts w:ascii="楷体_GB2312" w:eastAsia="楷体_GB2312"/>
                <w:sz w:val="24"/>
                <w:szCs w:val="24"/>
              </w:rPr>
            </w:pPr>
          </w:p>
          <w:p w14:paraId="760BBEF0" w14:textId="77777777" w:rsidR="00D617A1" w:rsidRDefault="00000000">
            <w:pPr>
              <w:keepNext w:val="0"/>
              <w:ind w:firstLine="480"/>
              <w:jc w:val="center"/>
              <w:rPr>
                <w:rFonts w:ascii="楷体_GB2312" w:eastAsia="楷体_GB2312"/>
                <w:sz w:val="24"/>
                <w:szCs w:val="24"/>
              </w:rPr>
            </w:pPr>
            <w:r>
              <w:rPr>
                <w:rFonts w:ascii="楷体_GB2312" w:eastAsia="楷体_GB2312" w:hint="eastAsia"/>
                <w:sz w:val="24"/>
                <w:szCs w:val="24"/>
              </w:rPr>
              <w:t>查</w:t>
            </w:r>
          </w:p>
          <w:p w14:paraId="3BA8F6F2" w14:textId="77777777" w:rsidR="00D617A1" w:rsidRDefault="00D617A1">
            <w:pPr>
              <w:keepNext w:val="0"/>
              <w:ind w:firstLine="480"/>
              <w:jc w:val="center"/>
              <w:rPr>
                <w:rFonts w:ascii="楷体_GB2312" w:eastAsia="楷体_GB2312"/>
                <w:sz w:val="24"/>
                <w:szCs w:val="24"/>
              </w:rPr>
            </w:pPr>
          </w:p>
          <w:p w14:paraId="5C168232" w14:textId="77777777" w:rsidR="00D617A1" w:rsidRDefault="00D617A1">
            <w:pPr>
              <w:keepNext w:val="0"/>
              <w:ind w:firstLine="480"/>
              <w:jc w:val="center"/>
              <w:rPr>
                <w:rFonts w:ascii="楷体_GB2312" w:eastAsia="楷体_GB2312"/>
                <w:sz w:val="24"/>
                <w:szCs w:val="24"/>
              </w:rPr>
            </w:pPr>
          </w:p>
          <w:p w14:paraId="668DA1A9" w14:textId="77777777" w:rsidR="00D617A1" w:rsidRDefault="00000000">
            <w:pPr>
              <w:keepNext w:val="0"/>
              <w:ind w:firstLine="480"/>
              <w:jc w:val="center"/>
              <w:rPr>
                <w:rFonts w:ascii="楷体_GB2312" w:eastAsia="楷体_GB2312"/>
                <w:sz w:val="24"/>
                <w:szCs w:val="24"/>
              </w:rPr>
            </w:pPr>
            <w:r>
              <w:rPr>
                <w:rFonts w:ascii="楷体_GB2312" w:eastAsia="楷体_GB2312" w:hint="eastAsia"/>
                <w:sz w:val="24"/>
                <w:szCs w:val="24"/>
              </w:rPr>
              <w:t>意</w:t>
            </w:r>
          </w:p>
          <w:p w14:paraId="627FC701" w14:textId="77777777" w:rsidR="00D617A1" w:rsidRDefault="00D617A1">
            <w:pPr>
              <w:keepNext w:val="0"/>
              <w:ind w:firstLine="480"/>
              <w:jc w:val="center"/>
              <w:rPr>
                <w:rFonts w:ascii="楷体_GB2312" w:eastAsia="楷体_GB2312"/>
                <w:sz w:val="24"/>
                <w:szCs w:val="24"/>
              </w:rPr>
            </w:pPr>
          </w:p>
          <w:p w14:paraId="5B025FCE" w14:textId="77777777" w:rsidR="00D617A1" w:rsidRDefault="00D617A1">
            <w:pPr>
              <w:keepNext w:val="0"/>
              <w:ind w:firstLine="480"/>
              <w:jc w:val="center"/>
              <w:rPr>
                <w:rFonts w:ascii="楷体_GB2312" w:eastAsia="楷体_GB2312"/>
                <w:sz w:val="24"/>
                <w:szCs w:val="24"/>
              </w:rPr>
            </w:pPr>
          </w:p>
          <w:p w14:paraId="05225800" w14:textId="77777777" w:rsidR="00D617A1" w:rsidRDefault="00000000">
            <w:pPr>
              <w:keepNext w:val="0"/>
              <w:ind w:firstLine="480"/>
              <w:jc w:val="center"/>
              <w:rPr>
                <w:rFonts w:ascii="楷体_GB2312" w:eastAsia="楷体_GB2312"/>
              </w:rPr>
            </w:pPr>
            <w:r>
              <w:rPr>
                <w:rFonts w:ascii="楷体_GB2312" w:eastAsia="楷体_GB2312" w:hint="eastAsia"/>
                <w:sz w:val="24"/>
                <w:szCs w:val="24"/>
              </w:rPr>
              <w:t>见</w:t>
            </w:r>
          </w:p>
        </w:tc>
        <w:tc>
          <w:tcPr>
            <w:tcW w:w="9082" w:type="dxa"/>
          </w:tcPr>
          <w:tbl>
            <w:tblPr>
              <w:tblW w:w="0" w:type="auto"/>
              <w:tblBorders>
                <w:top w:val="nil"/>
                <w:left w:val="nil"/>
                <w:bottom w:val="nil"/>
                <w:right w:val="nil"/>
                <w:insideV w:val="nil"/>
                <w:insideH w:val="single" w:sz="4" w:color="000000"/>
              </w:tblBorders>
            </w:tblPr>
            <w:tblGrid>
              <w:gridCol w:w="8780"/>
            </w:tblGrid>
            <w:tr>
              <w:trPr>
                <w:cantSplit/>
                <w:trHeight w:val="2639"/>
                <w:jc w:val="center"/>
                <w:cantSplit/>
              </w:trPr>
              <w:tc>
                <w:tcPr>
                  <w:tcW w:w="9082" w:type="dxa"/>
                  <w:tcBorders>
                    <w:top w:val="nil"/>
                    <w:bottom w:val="nil"/>
                    <w:left w:val="nil"/>
                    <w:right w:val="nil"/>
                  </w:tcBorders>
                </w:tcPr>
                <w:p w14:paraId="1196BCA3" w14:textId="77777777" w:rsidR="00D617A1" w:rsidRDefault="00000000">
                  <w:pPr>
                    <w:keepNext/>
                    <w:widowControl/>
                    <w:spacing w:beforeLines="50" w:before="156" w:line="360" w:lineRule="auto"/>
                    <w:ind w:firstLine="480"/>
                    <w:jc w:val="left"/>
                    <w:rPr>
                      <w:rFonts w:ascii="楷体_GB2312" w:eastAsia="楷体_GB2312"/>
                      <w:sz w:val="24"/>
                      <w:szCs w:val="24"/>
                    </w:rPr>
                  </w:pPr>
                  <w:r>
                    <w:rPr>
                      <w:rFonts w:ascii="楷体_GB2312" w:eastAsia="楷体_GB2312" w:hint="eastAsia"/>
                      <w:sz w:val="24"/>
                      <w:szCs w:val="24"/>
                    </w:rPr>
                    <w:t>导师或指导小组意见：</w:t>
                  </w:r>
                </w:p>
                <w:p w14:paraId="5ECF7B60" w14:textId="77777777" w:rsidR="00D617A1" w:rsidRDefault="00D617A1">
                  <w:pPr>
                    <w:keepNext/>
                    <w:widowControl/>
                    <w:spacing w:line="360" w:lineRule="auto"/>
                    <w:jc w:val="left"/>
                    <w:rPr>
                      <w:rFonts w:ascii="楷体_GB2312" w:eastAsia="楷体_GB2312"/>
                    </w:rPr>
                  </w:pPr>
                </w:p>
                <w:p w14:paraId="58BCFAA0" w14:textId="77777777" w:rsidR="00D617A1" w:rsidRDefault="00D617A1">
                  <w:pPr>
                    <w:keepNext/>
                    <w:widowControl/>
                    <w:spacing w:line="360" w:lineRule="auto"/>
                    <w:jc w:val="left"/>
                    <w:rPr>
                      <w:rFonts w:ascii="楷体_GB2312" w:eastAsia="楷体_GB2312"/>
                    </w:rPr>
                  </w:pPr>
                </w:p>
                <w:p w14:paraId="64E7A36A" w14:textId="77777777" w:rsidR="00D617A1" w:rsidRDefault="00D617A1">
                  <w:pPr>
                    <w:keepNext/>
                    <w:widowControl/>
                    <w:spacing w:line="360" w:lineRule="auto"/>
                    <w:jc w:val="left"/>
                    <w:rPr>
                      <w:rFonts w:ascii="楷体_GB2312" w:eastAsia="楷体_GB2312"/>
                    </w:rPr>
                  </w:pPr>
                </w:p>
                <w:p w14:paraId="25750ACD" w14:textId="77777777" w:rsidR="00D617A1" w:rsidRDefault="00000000">
                  <w:pPr>
                    <w:keepNext/>
                    <w:widowControl/>
                    <w:spacing w:line="360" w:lineRule="auto"/>
                    <w:ind w:firstLineChars="2779" w:firstLine="5836"/>
                    <w:jc w:val="left"/>
                    <w:rPr>
                      <w:rFonts w:ascii="楷体_GB2312" w:eastAsia="楷体_GB2312"/>
                      <w:u w:val="single"/>
                    </w:rPr>
                  </w:pPr>
                  <w:r>
                    <w:rPr>
                      <w:rFonts w:ascii="楷体_GB2312" w:eastAsia="楷体_GB2312" w:hint="eastAsia"/>
                    </w:rPr>
                    <w:t>签  名：</w:t>
                  </w:r>
                  <w:r>
                    <w:rPr>
                      <w:rFonts w:ascii="楷体_GB2312" w:eastAsia="楷体_GB2312" w:hint="eastAsia"/>
                      <w:u w:val="single"/>
                    </w:rPr>
                    <w:t xml:space="preserve">         </w:t>
                  </w:r>
                </w:p>
                <w:p w14:paraId="162C2687" w14:textId="77777777" w:rsidR="00D617A1" w:rsidRDefault="00000000">
                  <w:pPr>
                    <w:keepNext/>
                    <w:widowControl/>
                    <w:spacing w:line="360" w:lineRule="auto"/>
                    <w:ind w:firstLineChars="3030" w:firstLine="6363"/>
                    <w:jc w:val="left"/>
                    <w:rPr>
                      <w:rFonts w:ascii="楷体_GB2312" w:eastAsia="楷体_GB2312"/>
                      <w:u w:val="single"/>
                    </w:rPr>
                  </w:pPr>
                  <w:r>
                    <w:rPr>
                      <w:rFonts w:ascii="楷体_GB2312" w:eastAsia="楷体_GB2312" w:hint="eastAsia"/>
                    </w:rPr>
                    <w:t>年   月   日</w:t>
                  </w:r>
                </w:p>
              </w:tc>
            </w:tr>
            <w:tr>
              <w:trPr>
                <w:cantSplit/>
                <w:trHeight w:val="2587"/>
                <w:jc w:val="center"/>
                <w:cantSplit/>
              </w:trPr>
              <w:tc>
                <w:tcPr>
                  <w:tcW w:w="9082" w:type="dxa"/>
                  <w:tcBorders>
                    <w:top w:val="nil"/>
                    <w:bottom w:val="nil"/>
                    <w:left w:val="nil"/>
                    <w:right w:val="nil"/>
                  </w:tcBorders>
                </w:tcPr>
                <w:p w14:paraId="4CFF1BDA" w14:textId="77777777" w:rsidR="00D617A1" w:rsidRDefault="00000000">
                  <w:pPr>
                    <w:keepNext/>
                    <w:widowControl/>
                    <w:spacing w:beforeLines="50" w:before="156" w:line="360" w:lineRule="auto"/>
                    <w:ind w:firstLine="480"/>
                    <w:jc w:val="left"/>
                    <w:rPr>
                      <w:rFonts w:ascii="楷体_GB2312" w:eastAsia="楷体_GB2312"/>
                      <w:sz w:val="24"/>
                      <w:szCs w:val="24"/>
                    </w:rPr>
                  </w:pPr>
                  <w:r>
                    <w:rPr>
                      <w:rFonts w:ascii="楷体_GB2312" w:eastAsia="楷体_GB2312" w:hint="eastAsia"/>
                      <w:sz w:val="24"/>
                      <w:szCs w:val="24"/>
                    </w:rPr>
                    <w:t>教研室意见：</w:t>
                  </w:r>
                </w:p>
                <w:p w14:paraId="71DC681D" w14:textId="77777777" w:rsidR="00D617A1" w:rsidRDefault="00D617A1">
                  <w:pPr>
                    <w:keepNext/>
                    <w:widowControl/>
                    <w:spacing w:line="360" w:lineRule="auto"/>
                    <w:jc w:val="left"/>
                    <w:rPr>
                      <w:rFonts w:ascii="楷体_GB2312" w:eastAsia="楷体_GB2312"/>
                    </w:rPr>
                  </w:pPr>
                </w:p>
                <w:p w14:paraId="2F930C49" w14:textId="77777777" w:rsidR="00D617A1" w:rsidRDefault="00D617A1">
                  <w:pPr>
                    <w:keepNext/>
                    <w:widowControl/>
                    <w:spacing w:line="360" w:lineRule="auto"/>
                    <w:rPr>
                      <w:rFonts w:ascii="楷体_GB2312" w:eastAsia="楷体_GB2312"/>
                    </w:rPr>
                  </w:pPr>
                </w:p>
                <w:p w14:paraId="374B07CA" w14:textId="77777777" w:rsidR="00D617A1" w:rsidRDefault="00D617A1">
                  <w:pPr>
                    <w:keepNext/>
                    <w:spacing w:line="360" w:lineRule="auto"/>
                    <w:jc w:val="left"/>
                    <w:rPr>
                      <w:rFonts w:ascii="楷体_GB2312" w:eastAsia="楷体_GB2312"/>
                    </w:rPr>
                  </w:pPr>
                </w:p>
                <w:p w14:paraId="54769DDC" w14:textId="77777777" w:rsidR="00D617A1" w:rsidRDefault="00000000">
                  <w:pPr>
                    <w:keepNext/>
                    <w:widowControl/>
                    <w:spacing w:line="360" w:lineRule="auto"/>
                    <w:ind w:firstLineChars="2779" w:firstLine="5836"/>
                    <w:jc w:val="left"/>
                    <w:rPr>
                      <w:rFonts w:ascii="楷体_GB2312" w:eastAsia="楷体_GB2312"/>
                      <w:u w:val="single"/>
                    </w:rPr>
                  </w:pPr>
                  <w:r>
                    <w:rPr>
                      <w:rFonts w:ascii="楷体_GB2312" w:eastAsia="楷体_GB2312" w:hint="eastAsia"/>
                    </w:rPr>
                    <w:t>签  名：</w:t>
                  </w:r>
                  <w:r>
                    <w:rPr>
                      <w:rFonts w:ascii="楷体_GB2312" w:eastAsia="楷体_GB2312" w:hint="eastAsia"/>
                      <w:u w:val="single"/>
                    </w:rPr>
                    <w:t xml:space="preserve">         </w:t>
                  </w:r>
                </w:p>
                <w:p w14:paraId="6592D3B7" w14:textId="77777777" w:rsidR="00D617A1" w:rsidRDefault="00000000">
                  <w:pPr>
                    <w:keepNext/>
                    <w:spacing w:line="360" w:lineRule="auto"/>
                    <w:ind w:firstLineChars="3029" w:firstLine="6361"/>
                    <w:jc w:val="left"/>
                    <w:rPr>
                      <w:rFonts w:ascii="楷体_GB2312" w:eastAsia="楷体_GB2312"/>
                    </w:rPr>
                  </w:pPr>
                  <w:r>
                    <w:rPr>
                      <w:rFonts w:ascii="楷体_GB2312" w:eastAsia="楷体_GB2312" w:hint="eastAsia"/>
                    </w:rPr>
                    <w:t>年   月   日</w:t>
                  </w:r>
                </w:p>
              </w:tc>
            </w:tr>
            <w:tr>
              <w:trPr>
                <w:cantSplit/>
                <w:trHeight w:val="2791"/>
                <w:jc w:val="center"/>
                <w:cantSplit/>
              </w:trPr>
              <w:tc>
                <w:tcPr>
                  <w:tcW w:w="9082" w:type="dxa"/>
                  <w:tcBorders>
                    <w:top w:val="nil"/>
                    <w:bottom w:val="nil"/>
                    <w:left w:val="nil"/>
                    <w:right w:val="nil"/>
                  </w:tcBorders>
                </w:tcPr>
                <w:p w14:paraId="49A76659" w14:textId="77777777" w:rsidR="00D617A1" w:rsidRDefault="00000000">
                  <w:pPr>
                    <w:keepNext w:val="0"/>
                    <w:widowControl/>
                    <w:spacing w:beforeLines="50" w:before="156" w:line="360" w:lineRule="auto"/>
                    <w:ind w:firstLine="480"/>
                    <w:jc w:val="left"/>
                    <w:rPr>
                      <w:rFonts w:ascii="楷体_GB2312" w:eastAsia="楷体_GB2312"/>
                      <w:sz w:val="24"/>
                      <w:szCs w:val="24"/>
                    </w:rPr>
                  </w:pPr>
                  <w:r>
                    <w:rPr>
                      <w:rFonts w:ascii="楷体_GB2312" w:eastAsia="楷体_GB2312" w:hint="eastAsia"/>
                      <w:sz w:val="24"/>
                      <w:szCs w:val="24"/>
                    </w:rPr>
                    <w:t>学院负责人意见：</w:t>
                  </w:r>
                </w:p>
                <w:p w14:paraId="360E4836" w14:textId="77777777" w:rsidR="00D617A1" w:rsidRDefault="00D617A1">
                  <w:pPr>
                    <w:keepNext w:val="0"/>
                    <w:widowControl/>
                    <w:spacing w:line="360" w:lineRule="auto"/>
                    <w:jc w:val="left"/>
                    <w:rPr>
                      <w:rFonts w:ascii="楷体_GB2312" w:eastAsia="楷体_GB2312"/>
                    </w:rPr>
                  </w:pPr>
                </w:p>
                <w:p w14:paraId="5CF51E53" w14:textId="77777777" w:rsidR="00D617A1" w:rsidRDefault="00D617A1">
                  <w:pPr>
                    <w:keepNext w:val="0"/>
                    <w:widowControl/>
                    <w:spacing w:line="360" w:lineRule="auto"/>
                    <w:jc w:val="left"/>
                    <w:rPr>
                      <w:rFonts w:ascii="楷体_GB2312" w:eastAsia="楷体_GB2312"/>
                    </w:rPr>
                  </w:pPr>
                </w:p>
                <w:p w14:paraId="429946C5" w14:textId="77777777" w:rsidR="00D617A1" w:rsidRDefault="00D617A1">
                  <w:pPr>
                    <w:keepNext w:val="0"/>
                    <w:widowControl/>
                    <w:spacing w:line="360" w:lineRule="auto"/>
                    <w:jc w:val="left"/>
                    <w:rPr>
                      <w:rFonts w:ascii="楷体_GB2312" w:eastAsia="楷体_GB2312"/>
                    </w:rPr>
                  </w:pPr>
                </w:p>
                <w:p w14:paraId="0D3CCDA2" w14:textId="77777777" w:rsidR="00D617A1" w:rsidRDefault="00000000">
                  <w:pPr>
                    <w:keepNext w:val="0"/>
                    <w:widowControl/>
                    <w:spacing w:line="360" w:lineRule="auto"/>
                    <w:ind w:firstLineChars="2779" w:firstLine="5836"/>
                    <w:jc w:val="left"/>
                    <w:rPr>
                      <w:rFonts w:ascii="楷体_GB2312" w:eastAsia="楷体_GB2312"/>
                      <w:u w:val="single"/>
                    </w:rPr>
                  </w:pPr>
                  <w:r>
                    <w:rPr>
                      <w:rFonts w:ascii="楷体_GB2312" w:eastAsia="楷体_GB2312" w:hint="eastAsia"/>
                    </w:rPr>
                    <w:t>签  名：</w:t>
                  </w:r>
                  <w:r>
                    <w:rPr>
                      <w:rFonts w:ascii="楷体_GB2312" w:eastAsia="楷体_GB2312" w:hint="eastAsia"/>
                      <w:u w:val="single"/>
                    </w:rPr>
                    <w:t xml:space="preserve">         </w:t>
                  </w:r>
                </w:p>
                <w:p w14:paraId="70A98010" w14:textId="77777777" w:rsidR="00D617A1" w:rsidRDefault="00000000">
                  <w:pPr>
                    <w:keepNext w:val="0"/>
                    <w:spacing w:line="360" w:lineRule="auto"/>
                    <w:ind w:firstLineChars="3029" w:firstLine="6361"/>
                    <w:jc w:val="left"/>
                    <w:rPr>
                      <w:rFonts w:ascii="楷体_GB2312" w:eastAsia="楷体_GB2312"/>
                    </w:rPr>
                  </w:pPr>
                  <w:r>
                    <w:rPr>
                      <w:rFonts w:ascii="楷体_GB2312" w:eastAsia="楷体_GB2312" w:hint="eastAsia"/>
                    </w:rPr>
                    <w:t>年   月   日</w:t>
                  </w:r>
                </w:p>
              </w:tc>
            </w:tr>
          </w:tbl>
          <w:p/>
        </w:tc>
      </w:tr>
    </w:tbl>
    <w:p w14:paraId="4F736F3D" w14:textId="77777777" w:rsidR="00D617A1" w:rsidRDefault="00D617A1"/>
    <w:sectPr w:rsidR="00D617A1">
      <w:footerReference w:type="default" r:id="rId82"/>
      <w:pgSz w:w="11907" w:h="16840"/>
      <w:pgMar w:top="1418" w:right="1418" w:bottom="1134" w:left="1418" w:header="794"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EC18A" w14:textId="77777777" w:rsidR="001A2BBF" w:rsidRDefault="001A2BBF">
      <w:pPr>
        <w:spacing w:before="720"/>
      </w:pPr>
      <w:r>
        <w:separator/>
      </w:r>
    </w:p>
    <w:p w14:paraId="179390F8" w14:textId="77777777" w:rsidR="001A2BBF" w:rsidRDefault="001A2BBF"/>
  </w:endnote>
  <w:endnote w:type="continuationSeparator" w:id="0">
    <w:p w14:paraId="48E37892" w14:textId="77777777" w:rsidR="001A2BBF" w:rsidRDefault="001A2BBF">
      <w:pPr>
        <w:spacing w:before="720"/>
      </w:pPr>
      <w:r>
        <w:continuationSeparator/>
      </w:r>
    </w:p>
    <w:p w14:paraId="59955653" w14:textId="77777777" w:rsidR="001A2BBF" w:rsidRDefault="001A2B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3012E" w14:textId="77777777" w:rsidR="00D617A1" w:rsidRDefault="00000000">
    <w:pPr>
      <w:pStyle w:val="a6"/>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1</w:t>
    </w:r>
    <w:r>
      <w:rPr>
        <w:rStyle w:val="ad"/>
      </w:rPr>
      <w:fldChar w:fldCharType="end"/>
    </w:r>
  </w:p>
  <w:p w14:paraId="49A12A16" w14:textId="77777777" w:rsidR="00D617A1" w:rsidRDefault="00D617A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9865E" w14:textId="77777777" w:rsidR="00D617A1" w:rsidRDefault="00000000">
    <w:pPr>
      <w:pStyle w:val="a6"/>
      <w:framePr w:wrap="around" w:vAnchor="text" w:hAnchor="page" w:x="5798" w:y="8"/>
      <w:spacing w:before="720"/>
      <w:ind w:firstLine="360"/>
      <w:rPr>
        <w:rStyle w:val="ad"/>
      </w:rPr>
    </w:pPr>
    <w:r>
      <w:rPr>
        <w:rStyle w:val="ad"/>
      </w:rPr>
      <w:fldChar w:fldCharType="begin"/>
    </w:r>
    <w:r>
      <w:rPr>
        <w:rStyle w:val="ad"/>
      </w:rPr>
      <w:instrText xml:space="preserve">PAGE  </w:instrText>
    </w:r>
    <w:r>
      <w:rPr>
        <w:rStyle w:val="ad"/>
      </w:rPr>
      <w:fldChar w:fldCharType="separate"/>
    </w:r>
    <w:r>
      <w:rPr>
        <w:rStyle w:val="ad"/>
      </w:rPr>
      <w:t>1</w:t>
    </w:r>
    <w:r>
      <w:rPr>
        <w:rStyle w:val="ad"/>
      </w:rPr>
      <w:fldChar w:fldCharType="end"/>
    </w:r>
  </w:p>
  <w:p w14:paraId="74E4B4B0" w14:textId="77777777" w:rsidR="00D617A1" w:rsidRDefault="00D617A1">
    <w:pPr>
      <w:pStyle w:val="a6"/>
      <w:spacing w:before="720"/>
      <w:ind w:firstLine="360"/>
    </w:pPr>
  </w:p>
  <w:p w14:paraId="22375676" w14:textId="77777777" w:rsidR="00271F7B" w:rsidRDefault="00271F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D335B" w14:textId="77777777" w:rsidR="001A2BBF" w:rsidRDefault="001A2BBF">
      <w:pPr>
        <w:spacing w:before="720"/>
      </w:pPr>
      <w:r>
        <w:separator/>
      </w:r>
    </w:p>
    <w:p w14:paraId="1488076C" w14:textId="77777777" w:rsidR="001A2BBF" w:rsidRDefault="001A2BBF"/>
  </w:footnote>
  <w:footnote w:type="continuationSeparator" w:id="0">
    <w:p w14:paraId="0507DB53" w14:textId="77777777" w:rsidR="001A2BBF" w:rsidRDefault="001A2BBF">
      <w:pPr>
        <w:spacing w:before="720"/>
      </w:pPr>
      <w:r>
        <w:continuationSeparator/>
      </w:r>
    </w:p>
    <w:p w14:paraId="1975B8A0" w14:textId="77777777" w:rsidR="001A2BBF" w:rsidRDefault="001A2BB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D558A"/>
    <w:multiLevelType w:val="multilevel"/>
    <w:tmpl w:val="1D8D558A"/>
    <w:lvl w:ilvl="0">
      <w:start w:val="1"/>
      <w:numFmt w:val="decimal"/>
      <w:lvlText w:val="%1．"/>
      <w:lvlJc w:val="left"/>
      <w:pPr>
        <w:tabs>
          <w:tab w:val="left" w:pos="360"/>
        </w:tabs>
        <w:ind w:left="360" w:hanging="360"/>
      </w:pPr>
      <w:rPr>
        <w:rFonts w:hint="eastAsia"/>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9CF230D"/>
    <w:multiLevelType w:val="multilevel"/>
    <w:tmpl w:val="29CF230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1021C60"/>
    <w:multiLevelType w:val="multilevel"/>
    <w:tmpl w:val="71021C60"/>
    <w:lvl w:ilvl="0">
      <w:start w:val="1"/>
      <w:numFmt w:val="lowerLetter"/>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76725197"/>
    <w:multiLevelType w:val="multilevel"/>
    <w:tmpl w:val="76725197"/>
    <w:lvl w:ilvl="0">
      <w:start w:val="1"/>
      <w:numFmt w:val="japaneseCounting"/>
      <w:lvlText w:val="%1、"/>
      <w:lvlJc w:val="left"/>
      <w:pPr>
        <w:ind w:left="432" w:hanging="43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36744798">
    <w:abstractNumId w:val="1"/>
  </w:num>
  <w:num w:numId="2" w16cid:durableId="1334989422">
    <w:abstractNumId w:val="3"/>
  </w:num>
  <w:num w:numId="3" w16cid:durableId="2005936987">
    <w:abstractNumId w:val="0"/>
  </w:num>
  <w:num w:numId="4" w16cid:durableId="1129323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E3OGZhODQwMWYyNTdiZDZiYzQ1NzA1NzAyODNjNWEifQ=="/>
  </w:docVars>
  <w:rsids>
    <w:rsidRoot w:val="000C6C2C"/>
    <w:rsid w:val="000015AC"/>
    <w:rsid w:val="00007EF6"/>
    <w:rsid w:val="00011BAE"/>
    <w:rsid w:val="00014079"/>
    <w:rsid w:val="000142C8"/>
    <w:rsid w:val="000142E8"/>
    <w:rsid w:val="0001466E"/>
    <w:rsid w:val="00015ADB"/>
    <w:rsid w:val="000220CA"/>
    <w:rsid w:val="000230D5"/>
    <w:rsid w:val="00023612"/>
    <w:rsid w:val="0002388C"/>
    <w:rsid w:val="000244A6"/>
    <w:rsid w:val="00025D51"/>
    <w:rsid w:val="00026382"/>
    <w:rsid w:val="00027C07"/>
    <w:rsid w:val="00027C5D"/>
    <w:rsid w:val="00030CA1"/>
    <w:rsid w:val="00032326"/>
    <w:rsid w:val="000327FD"/>
    <w:rsid w:val="00032DB2"/>
    <w:rsid w:val="00040DE7"/>
    <w:rsid w:val="000415BA"/>
    <w:rsid w:val="00041922"/>
    <w:rsid w:val="00041960"/>
    <w:rsid w:val="00043A98"/>
    <w:rsid w:val="00047865"/>
    <w:rsid w:val="000479B5"/>
    <w:rsid w:val="000512CC"/>
    <w:rsid w:val="00053E2B"/>
    <w:rsid w:val="0005401A"/>
    <w:rsid w:val="00055695"/>
    <w:rsid w:val="00060973"/>
    <w:rsid w:val="0006312C"/>
    <w:rsid w:val="00066E8D"/>
    <w:rsid w:val="00072667"/>
    <w:rsid w:val="000736DF"/>
    <w:rsid w:val="00074890"/>
    <w:rsid w:val="000768F9"/>
    <w:rsid w:val="00077625"/>
    <w:rsid w:val="0008195A"/>
    <w:rsid w:val="000820EC"/>
    <w:rsid w:val="00082621"/>
    <w:rsid w:val="000905EB"/>
    <w:rsid w:val="000926B5"/>
    <w:rsid w:val="00094BC4"/>
    <w:rsid w:val="000960B9"/>
    <w:rsid w:val="000A0939"/>
    <w:rsid w:val="000A0E5C"/>
    <w:rsid w:val="000A2942"/>
    <w:rsid w:val="000A355D"/>
    <w:rsid w:val="000A4D48"/>
    <w:rsid w:val="000A64B9"/>
    <w:rsid w:val="000B1312"/>
    <w:rsid w:val="000B183F"/>
    <w:rsid w:val="000B1851"/>
    <w:rsid w:val="000B313D"/>
    <w:rsid w:val="000B59DF"/>
    <w:rsid w:val="000B6717"/>
    <w:rsid w:val="000B7B9F"/>
    <w:rsid w:val="000C415A"/>
    <w:rsid w:val="000C6C2C"/>
    <w:rsid w:val="000C7FCA"/>
    <w:rsid w:val="000D023F"/>
    <w:rsid w:val="000D1C63"/>
    <w:rsid w:val="000D64F0"/>
    <w:rsid w:val="000D78EF"/>
    <w:rsid w:val="000E37DD"/>
    <w:rsid w:val="000E6657"/>
    <w:rsid w:val="000E677B"/>
    <w:rsid w:val="000E696E"/>
    <w:rsid w:val="000F2149"/>
    <w:rsid w:val="000F2C2B"/>
    <w:rsid w:val="000F5FCF"/>
    <w:rsid w:val="001008A4"/>
    <w:rsid w:val="00106E69"/>
    <w:rsid w:val="001078C0"/>
    <w:rsid w:val="00111441"/>
    <w:rsid w:val="001129FF"/>
    <w:rsid w:val="00115C5C"/>
    <w:rsid w:val="00117E07"/>
    <w:rsid w:val="001203D2"/>
    <w:rsid w:val="00122A99"/>
    <w:rsid w:val="00122F4A"/>
    <w:rsid w:val="00123AA4"/>
    <w:rsid w:val="00123C1C"/>
    <w:rsid w:val="0012559A"/>
    <w:rsid w:val="00126720"/>
    <w:rsid w:val="00126F75"/>
    <w:rsid w:val="00134C18"/>
    <w:rsid w:val="00135EFA"/>
    <w:rsid w:val="001402F6"/>
    <w:rsid w:val="001426B6"/>
    <w:rsid w:val="00144A33"/>
    <w:rsid w:val="00145174"/>
    <w:rsid w:val="00145339"/>
    <w:rsid w:val="00151EE8"/>
    <w:rsid w:val="00154D4F"/>
    <w:rsid w:val="001550B0"/>
    <w:rsid w:val="001621C0"/>
    <w:rsid w:val="00163942"/>
    <w:rsid w:val="0016691B"/>
    <w:rsid w:val="0016769A"/>
    <w:rsid w:val="001719CB"/>
    <w:rsid w:val="00175493"/>
    <w:rsid w:val="00177EA0"/>
    <w:rsid w:val="001824C7"/>
    <w:rsid w:val="00182770"/>
    <w:rsid w:val="001837F3"/>
    <w:rsid w:val="00185122"/>
    <w:rsid w:val="00185543"/>
    <w:rsid w:val="001862FA"/>
    <w:rsid w:val="00187F69"/>
    <w:rsid w:val="00190A8F"/>
    <w:rsid w:val="00190F36"/>
    <w:rsid w:val="00194337"/>
    <w:rsid w:val="0019467F"/>
    <w:rsid w:val="00194876"/>
    <w:rsid w:val="00195347"/>
    <w:rsid w:val="001978EA"/>
    <w:rsid w:val="001A2BBF"/>
    <w:rsid w:val="001A4B63"/>
    <w:rsid w:val="001A507A"/>
    <w:rsid w:val="001B0F3C"/>
    <w:rsid w:val="001B59F5"/>
    <w:rsid w:val="001B73C8"/>
    <w:rsid w:val="001C3062"/>
    <w:rsid w:val="001C32FE"/>
    <w:rsid w:val="001C3714"/>
    <w:rsid w:val="001D17DC"/>
    <w:rsid w:val="001D1DC0"/>
    <w:rsid w:val="001D38E2"/>
    <w:rsid w:val="001E07B6"/>
    <w:rsid w:val="001E2CC1"/>
    <w:rsid w:val="001E47C1"/>
    <w:rsid w:val="001E4F79"/>
    <w:rsid w:val="001E69EE"/>
    <w:rsid w:val="001E773A"/>
    <w:rsid w:val="001F0A77"/>
    <w:rsid w:val="001F1E23"/>
    <w:rsid w:val="001F20F3"/>
    <w:rsid w:val="001F47B6"/>
    <w:rsid w:val="001F7167"/>
    <w:rsid w:val="001F783C"/>
    <w:rsid w:val="002035AA"/>
    <w:rsid w:val="00204A1F"/>
    <w:rsid w:val="0020580D"/>
    <w:rsid w:val="0020633B"/>
    <w:rsid w:val="00212910"/>
    <w:rsid w:val="00215162"/>
    <w:rsid w:val="00220DEB"/>
    <w:rsid w:val="00220E2A"/>
    <w:rsid w:val="00221A7E"/>
    <w:rsid w:val="00225E4A"/>
    <w:rsid w:val="0022700B"/>
    <w:rsid w:val="0023151C"/>
    <w:rsid w:val="002315DB"/>
    <w:rsid w:val="002335D4"/>
    <w:rsid w:val="0024241E"/>
    <w:rsid w:val="00243198"/>
    <w:rsid w:val="0024515C"/>
    <w:rsid w:val="00246112"/>
    <w:rsid w:val="0024665D"/>
    <w:rsid w:val="00247D02"/>
    <w:rsid w:val="0025087C"/>
    <w:rsid w:val="00250D09"/>
    <w:rsid w:val="00251AB2"/>
    <w:rsid w:val="002528C3"/>
    <w:rsid w:val="0025375D"/>
    <w:rsid w:val="00256DDE"/>
    <w:rsid w:val="00257955"/>
    <w:rsid w:val="002614CC"/>
    <w:rsid w:val="0026409B"/>
    <w:rsid w:val="00264490"/>
    <w:rsid w:val="00265376"/>
    <w:rsid w:val="00265889"/>
    <w:rsid w:val="00271424"/>
    <w:rsid w:val="00271D3E"/>
    <w:rsid w:val="00271F7B"/>
    <w:rsid w:val="00272CD5"/>
    <w:rsid w:val="00273F03"/>
    <w:rsid w:val="00274398"/>
    <w:rsid w:val="0027470A"/>
    <w:rsid w:val="00274749"/>
    <w:rsid w:val="00277652"/>
    <w:rsid w:val="002811FD"/>
    <w:rsid w:val="00282368"/>
    <w:rsid w:val="0028265F"/>
    <w:rsid w:val="00283D2C"/>
    <w:rsid w:val="002843A9"/>
    <w:rsid w:val="00284481"/>
    <w:rsid w:val="00287175"/>
    <w:rsid w:val="0028731A"/>
    <w:rsid w:val="00290ADF"/>
    <w:rsid w:val="00293B6C"/>
    <w:rsid w:val="00293C63"/>
    <w:rsid w:val="0029699F"/>
    <w:rsid w:val="00297A04"/>
    <w:rsid w:val="002A1219"/>
    <w:rsid w:val="002A2BB7"/>
    <w:rsid w:val="002B0EFA"/>
    <w:rsid w:val="002B15CA"/>
    <w:rsid w:val="002B1779"/>
    <w:rsid w:val="002B3841"/>
    <w:rsid w:val="002B601A"/>
    <w:rsid w:val="002B6974"/>
    <w:rsid w:val="002C1B0A"/>
    <w:rsid w:val="002C1D90"/>
    <w:rsid w:val="002C2B58"/>
    <w:rsid w:val="002C2DDD"/>
    <w:rsid w:val="002C52AE"/>
    <w:rsid w:val="002C7506"/>
    <w:rsid w:val="002D2CFD"/>
    <w:rsid w:val="002D4F8C"/>
    <w:rsid w:val="002D590B"/>
    <w:rsid w:val="002D6271"/>
    <w:rsid w:val="002E0BCF"/>
    <w:rsid w:val="002E15F2"/>
    <w:rsid w:val="002E3072"/>
    <w:rsid w:val="002E49FA"/>
    <w:rsid w:val="002E50CF"/>
    <w:rsid w:val="002E6C67"/>
    <w:rsid w:val="002F09B7"/>
    <w:rsid w:val="002F0BD4"/>
    <w:rsid w:val="002F3508"/>
    <w:rsid w:val="002F3B59"/>
    <w:rsid w:val="002F6574"/>
    <w:rsid w:val="002F6CC7"/>
    <w:rsid w:val="0030055E"/>
    <w:rsid w:val="0030059F"/>
    <w:rsid w:val="00304737"/>
    <w:rsid w:val="0031300D"/>
    <w:rsid w:val="00314571"/>
    <w:rsid w:val="003203CB"/>
    <w:rsid w:val="00320ADC"/>
    <w:rsid w:val="00323D88"/>
    <w:rsid w:val="0032457E"/>
    <w:rsid w:val="003276B6"/>
    <w:rsid w:val="00330BD8"/>
    <w:rsid w:val="00331621"/>
    <w:rsid w:val="003336FD"/>
    <w:rsid w:val="00333B6A"/>
    <w:rsid w:val="00334B25"/>
    <w:rsid w:val="0033666C"/>
    <w:rsid w:val="0033696A"/>
    <w:rsid w:val="00337BBE"/>
    <w:rsid w:val="00347D65"/>
    <w:rsid w:val="00350CF0"/>
    <w:rsid w:val="00351C77"/>
    <w:rsid w:val="00353C4B"/>
    <w:rsid w:val="00354CA6"/>
    <w:rsid w:val="003551BC"/>
    <w:rsid w:val="00357A01"/>
    <w:rsid w:val="00357D34"/>
    <w:rsid w:val="00363100"/>
    <w:rsid w:val="00363CFB"/>
    <w:rsid w:val="00365588"/>
    <w:rsid w:val="00372DC7"/>
    <w:rsid w:val="0037395F"/>
    <w:rsid w:val="0037414E"/>
    <w:rsid w:val="00374DFF"/>
    <w:rsid w:val="003760DD"/>
    <w:rsid w:val="00376EA0"/>
    <w:rsid w:val="00377719"/>
    <w:rsid w:val="00381A43"/>
    <w:rsid w:val="003925B2"/>
    <w:rsid w:val="00392D54"/>
    <w:rsid w:val="003931D8"/>
    <w:rsid w:val="003A061A"/>
    <w:rsid w:val="003A0811"/>
    <w:rsid w:val="003A274A"/>
    <w:rsid w:val="003A31FE"/>
    <w:rsid w:val="003A3EA1"/>
    <w:rsid w:val="003B144A"/>
    <w:rsid w:val="003B4F48"/>
    <w:rsid w:val="003B5B66"/>
    <w:rsid w:val="003B5E53"/>
    <w:rsid w:val="003B5F92"/>
    <w:rsid w:val="003B632A"/>
    <w:rsid w:val="003B6FE5"/>
    <w:rsid w:val="003B72B8"/>
    <w:rsid w:val="003C1AAE"/>
    <w:rsid w:val="003C227B"/>
    <w:rsid w:val="003C2EB2"/>
    <w:rsid w:val="003C4C0D"/>
    <w:rsid w:val="003C693F"/>
    <w:rsid w:val="003C6DD4"/>
    <w:rsid w:val="003D1749"/>
    <w:rsid w:val="003D2EB2"/>
    <w:rsid w:val="003D4D9B"/>
    <w:rsid w:val="003D744A"/>
    <w:rsid w:val="003E0BCF"/>
    <w:rsid w:val="003E0E4E"/>
    <w:rsid w:val="003E124E"/>
    <w:rsid w:val="003E2237"/>
    <w:rsid w:val="003E22A1"/>
    <w:rsid w:val="003F0464"/>
    <w:rsid w:val="003F1482"/>
    <w:rsid w:val="003F2B80"/>
    <w:rsid w:val="003F43B5"/>
    <w:rsid w:val="003F4FD7"/>
    <w:rsid w:val="00401440"/>
    <w:rsid w:val="004055BE"/>
    <w:rsid w:val="00407AA7"/>
    <w:rsid w:val="004104D9"/>
    <w:rsid w:val="0042105C"/>
    <w:rsid w:val="0042230A"/>
    <w:rsid w:val="004252C5"/>
    <w:rsid w:val="00432A0B"/>
    <w:rsid w:val="00432DB0"/>
    <w:rsid w:val="00432F67"/>
    <w:rsid w:val="00436B0E"/>
    <w:rsid w:val="004370EE"/>
    <w:rsid w:val="004402C6"/>
    <w:rsid w:val="00440341"/>
    <w:rsid w:val="0044042F"/>
    <w:rsid w:val="004406E5"/>
    <w:rsid w:val="00444A7D"/>
    <w:rsid w:val="004453B8"/>
    <w:rsid w:val="00447D69"/>
    <w:rsid w:val="00450716"/>
    <w:rsid w:val="0045356B"/>
    <w:rsid w:val="0045476F"/>
    <w:rsid w:val="00456111"/>
    <w:rsid w:val="00462286"/>
    <w:rsid w:val="004628D1"/>
    <w:rsid w:val="0046342A"/>
    <w:rsid w:val="00470742"/>
    <w:rsid w:val="00470F13"/>
    <w:rsid w:val="00471DA1"/>
    <w:rsid w:val="004733F6"/>
    <w:rsid w:val="004734AD"/>
    <w:rsid w:val="004739EA"/>
    <w:rsid w:val="00473CD7"/>
    <w:rsid w:val="00473D4B"/>
    <w:rsid w:val="00477471"/>
    <w:rsid w:val="00482231"/>
    <w:rsid w:val="00483432"/>
    <w:rsid w:val="00485EBA"/>
    <w:rsid w:val="00487625"/>
    <w:rsid w:val="00490885"/>
    <w:rsid w:val="00491B7D"/>
    <w:rsid w:val="004938E2"/>
    <w:rsid w:val="00494BAC"/>
    <w:rsid w:val="0049595F"/>
    <w:rsid w:val="004A200A"/>
    <w:rsid w:val="004A5169"/>
    <w:rsid w:val="004A5BB0"/>
    <w:rsid w:val="004A756F"/>
    <w:rsid w:val="004A7F82"/>
    <w:rsid w:val="004B1BA9"/>
    <w:rsid w:val="004B2CAB"/>
    <w:rsid w:val="004B3E66"/>
    <w:rsid w:val="004B6A7B"/>
    <w:rsid w:val="004C007B"/>
    <w:rsid w:val="004C10E2"/>
    <w:rsid w:val="004C4AD9"/>
    <w:rsid w:val="004C574B"/>
    <w:rsid w:val="004D32DD"/>
    <w:rsid w:val="004D4944"/>
    <w:rsid w:val="004D7A46"/>
    <w:rsid w:val="004D7D34"/>
    <w:rsid w:val="004E0B6A"/>
    <w:rsid w:val="004E15B2"/>
    <w:rsid w:val="004E5C80"/>
    <w:rsid w:val="004E5CFF"/>
    <w:rsid w:val="004E6480"/>
    <w:rsid w:val="004F1C2A"/>
    <w:rsid w:val="004F20E7"/>
    <w:rsid w:val="004F2D2C"/>
    <w:rsid w:val="004F53D8"/>
    <w:rsid w:val="004F5A71"/>
    <w:rsid w:val="004F62B1"/>
    <w:rsid w:val="004F6887"/>
    <w:rsid w:val="005005C5"/>
    <w:rsid w:val="00500FD0"/>
    <w:rsid w:val="00501088"/>
    <w:rsid w:val="005022ED"/>
    <w:rsid w:val="005024B2"/>
    <w:rsid w:val="0050254F"/>
    <w:rsid w:val="00503DE2"/>
    <w:rsid w:val="0050458E"/>
    <w:rsid w:val="00504DD2"/>
    <w:rsid w:val="00504F2A"/>
    <w:rsid w:val="00513052"/>
    <w:rsid w:val="00515176"/>
    <w:rsid w:val="00516AD0"/>
    <w:rsid w:val="00517D1B"/>
    <w:rsid w:val="00520788"/>
    <w:rsid w:val="00521D7B"/>
    <w:rsid w:val="00523589"/>
    <w:rsid w:val="00523D0F"/>
    <w:rsid w:val="005251DE"/>
    <w:rsid w:val="00525B93"/>
    <w:rsid w:val="0052652A"/>
    <w:rsid w:val="005267A9"/>
    <w:rsid w:val="00530CFA"/>
    <w:rsid w:val="00531120"/>
    <w:rsid w:val="005317AB"/>
    <w:rsid w:val="005342F9"/>
    <w:rsid w:val="0054056E"/>
    <w:rsid w:val="00541240"/>
    <w:rsid w:val="00541B05"/>
    <w:rsid w:val="00542CCF"/>
    <w:rsid w:val="00544804"/>
    <w:rsid w:val="00546118"/>
    <w:rsid w:val="00550E6D"/>
    <w:rsid w:val="00551D9E"/>
    <w:rsid w:val="005532D5"/>
    <w:rsid w:val="0055388B"/>
    <w:rsid w:val="005569CC"/>
    <w:rsid w:val="005578E8"/>
    <w:rsid w:val="00557E23"/>
    <w:rsid w:val="00561185"/>
    <w:rsid w:val="00561230"/>
    <w:rsid w:val="00562199"/>
    <w:rsid w:val="00564182"/>
    <w:rsid w:val="005706FB"/>
    <w:rsid w:val="00570EAE"/>
    <w:rsid w:val="005738C2"/>
    <w:rsid w:val="005739FB"/>
    <w:rsid w:val="00575861"/>
    <w:rsid w:val="00576868"/>
    <w:rsid w:val="00577249"/>
    <w:rsid w:val="00577D7C"/>
    <w:rsid w:val="0058064B"/>
    <w:rsid w:val="00580937"/>
    <w:rsid w:val="005832EC"/>
    <w:rsid w:val="00583331"/>
    <w:rsid w:val="00585E29"/>
    <w:rsid w:val="0058681A"/>
    <w:rsid w:val="005879D3"/>
    <w:rsid w:val="0059313C"/>
    <w:rsid w:val="00593432"/>
    <w:rsid w:val="00596401"/>
    <w:rsid w:val="00597CEC"/>
    <w:rsid w:val="005A065B"/>
    <w:rsid w:val="005A1109"/>
    <w:rsid w:val="005A2187"/>
    <w:rsid w:val="005A3263"/>
    <w:rsid w:val="005A52FB"/>
    <w:rsid w:val="005B4378"/>
    <w:rsid w:val="005B45CB"/>
    <w:rsid w:val="005C43A4"/>
    <w:rsid w:val="005C6233"/>
    <w:rsid w:val="005D744E"/>
    <w:rsid w:val="005E1C54"/>
    <w:rsid w:val="005E44F4"/>
    <w:rsid w:val="005F0315"/>
    <w:rsid w:val="005F161C"/>
    <w:rsid w:val="005F21D5"/>
    <w:rsid w:val="005F3341"/>
    <w:rsid w:val="005F3C3F"/>
    <w:rsid w:val="00602E75"/>
    <w:rsid w:val="00605770"/>
    <w:rsid w:val="00611EB9"/>
    <w:rsid w:val="0061277D"/>
    <w:rsid w:val="00616B00"/>
    <w:rsid w:val="00616BBE"/>
    <w:rsid w:val="006203CC"/>
    <w:rsid w:val="006300F3"/>
    <w:rsid w:val="00631A91"/>
    <w:rsid w:val="00633078"/>
    <w:rsid w:val="00635ADE"/>
    <w:rsid w:val="00635BB0"/>
    <w:rsid w:val="0063606C"/>
    <w:rsid w:val="006438E9"/>
    <w:rsid w:val="00645830"/>
    <w:rsid w:val="00646047"/>
    <w:rsid w:val="00646285"/>
    <w:rsid w:val="006464D9"/>
    <w:rsid w:val="006471CD"/>
    <w:rsid w:val="00647637"/>
    <w:rsid w:val="00652500"/>
    <w:rsid w:val="00652B27"/>
    <w:rsid w:val="0066166D"/>
    <w:rsid w:val="00662777"/>
    <w:rsid w:val="0066292E"/>
    <w:rsid w:val="00667454"/>
    <w:rsid w:val="0066791C"/>
    <w:rsid w:val="00671096"/>
    <w:rsid w:val="00676741"/>
    <w:rsid w:val="00677BB5"/>
    <w:rsid w:val="00680389"/>
    <w:rsid w:val="00682911"/>
    <w:rsid w:val="0068402E"/>
    <w:rsid w:val="0068532B"/>
    <w:rsid w:val="00693525"/>
    <w:rsid w:val="00693C89"/>
    <w:rsid w:val="00695406"/>
    <w:rsid w:val="006958CB"/>
    <w:rsid w:val="006A09BC"/>
    <w:rsid w:val="006A2BA5"/>
    <w:rsid w:val="006A3407"/>
    <w:rsid w:val="006A3E8F"/>
    <w:rsid w:val="006A47A2"/>
    <w:rsid w:val="006A699A"/>
    <w:rsid w:val="006A703F"/>
    <w:rsid w:val="006A70F7"/>
    <w:rsid w:val="006B09ED"/>
    <w:rsid w:val="006B0F6A"/>
    <w:rsid w:val="006B3500"/>
    <w:rsid w:val="006B46C9"/>
    <w:rsid w:val="006B76DC"/>
    <w:rsid w:val="006C63C0"/>
    <w:rsid w:val="006D0349"/>
    <w:rsid w:val="006D035E"/>
    <w:rsid w:val="006D0B33"/>
    <w:rsid w:val="006D1C07"/>
    <w:rsid w:val="006D3051"/>
    <w:rsid w:val="006D325B"/>
    <w:rsid w:val="006D4018"/>
    <w:rsid w:val="006D72E5"/>
    <w:rsid w:val="006D759C"/>
    <w:rsid w:val="006D7839"/>
    <w:rsid w:val="006D79EF"/>
    <w:rsid w:val="006E4948"/>
    <w:rsid w:val="006E4ECF"/>
    <w:rsid w:val="006E64D3"/>
    <w:rsid w:val="006F1328"/>
    <w:rsid w:val="006F48AB"/>
    <w:rsid w:val="006F4CD6"/>
    <w:rsid w:val="006F5F24"/>
    <w:rsid w:val="006F5F34"/>
    <w:rsid w:val="006F6138"/>
    <w:rsid w:val="006F69A6"/>
    <w:rsid w:val="00701D54"/>
    <w:rsid w:val="00703F48"/>
    <w:rsid w:val="00704422"/>
    <w:rsid w:val="00713FD3"/>
    <w:rsid w:val="007208C9"/>
    <w:rsid w:val="00720B03"/>
    <w:rsid w:val="00721676"/>
    <w:rsid w:val="00730C83"/>
    <w:rsid w:val="00734200"/>
    <w:rsid w:val="00735FC7"/>
    <w:rsid w:val="00736012"/>
    <w:rsid w:val="00737FAE"/>
    <w:rsid w:val="00744ABE"/>
    <w:rsid w:val="00746A92"/>
    <w:rsid w:val="00746EDF"/>
    <w:rsid w:val="007475CA"/>
    <w:rsid w:val="007500D0"/>
    <w:rsid w:val="0075059C"/>
    <w:rsid w:val="00751527"/>
    <w:rsid w:val="0075572B"/>
    <w:rsid w:val="007576AD"/>
    <w:rsid w:val="00763768"/>
    <w:rsid w:val="0076536E"/>
    <w:rsid w:val="00766CAB"/>
    <w:rsid w:val="00767492"/>
    <w:rsid w:val="00777B4A"/>
    <w:rsid w:val="00780814"/>
    <w:rsid w:val="00781B67"/>
    <w:rsid w:val="00785B8B"/>
    <w:rsid w:val="00790A9D"/>
    <w:rsid w:val="00790ACC"/>
    <w:rsid w:val="007910C2"/>
    <w:rsid w:val="0079174F"/>
    <w:rsid w:val="00792D5C"/>
    <w:rsid w:val="00793120"/>
    <w:rsid w:val="0079576A"/>
    <w:rsid w:val="007A3C1A"/>
    <w:rsid w:val="007A416E"/>
    <w:rsid w:val="007A44B7"/>
    <w:rsid w:val="007A4BAF"/>
    <w:rsid w:val="007A4D1F"/>
    <w:rsid w:val="007A5A89"/>
    <w:rsid w:val="007A6C96"/>
    <w:rsid w:val="007A7766"/>
    <w:rsid w:val="007B0D39"/>
    <w:rsid w:val="007B329E"/>
    <w:rsid w:val="007B3AE4"/>
    <w:rsid w:val="007B4921"/>
    <w:rsid w:val="007B71F9"/>
    <w:rsid w:val="007B7553"/>
    <w:rsid w:val="007C020B"/>
    <w:rsid w:val="007C38F2"/>
    <w:rsid w:val="007C4AD4"/>
    <w:rsid w:val="007C71E6"/>
    <w:rsid w:val="007C766F"/>
    <w:rsid w:val="007C7EA5"/>
    <w:rsid w:val="007D1C61"/>
    <w:rsid w:val="007D269D"/>
    <w:rsid w:val="007D30C4"/>
    <w:rsid w:val="007D538C"/>
    <w:rsid w:val="007D5AEA"/>
    <w:rsid w:val="007D60C5"/>
    <w:rsid w:val="007D6A85"/>
    <w:rsid w:val="007D6BB0"/>
    <w:rsid w:val="007E4DCC"/>
    <w:rsid w:val="007F02D4"/>
    <w:rsid w:val="007F1A32"/>
    <w:rsid w:val="007F36AD"/>
    <w:rsid w:val="007F4500"/>
    <w:rsid w:val="007F64AB"/>
    <w:rsid w:val="007F7939"/>
    <w:rsid w:val="00800DFB"/>
    <w:rsid w:val="008028BD"/>
    <w:rsid w:val="008056E8"/>
    <w:rsid w:val="00806A9B"/>
    <w:rsid w:val="00807F4A"/>
    <w:rsid w:val="0081222C"/>
    <w:rsid w:val="00815990"/>
    <w:rsid w:val="00815D33"/>
    <w:rsid w:val="008174B9"/>
    <w:rsid w:val="00821573"/>
    <w:rsid w:val="0082379F"/>
    <w:rsid w:val="0082422C"/>
    <w:rsid w:val="00824FB1"/>
    <w:rsid w:val="008263C6"/>
    <w:rsid w:val="0082724F"/>
    <w:rsid w:val="00835FBD"/>
    <w:rsid w:val="00840F36"/>
    <w:rsid w:val="008419EF"/>
    <w:rsid w:val="00843A6F"/>
    <w:rsid w:val="008477E0"/>
    <w:rsid w:val="00852034"/>
    <w:rsid w:val="008530AE"/>
    <w:rsid w:val="00853623"/>
    <w:rsid w:val="00855CA4"/>
    <w:rsid w:val="008567FC"/>
    <w:rsid w:val="008568E1"/>
    <w:rsid w:val="00860F4B"/>
    <w:rsid w:val="00865D60"/>
    <w:rsid w:val="008661AA"/>
    <w:rsid w:val="00867986"/>
    <w:rsid w:val="0087110B"/>
    <w:rsid w:val="008717C2"/>
    <w:rsid w:val="00871853"/>
    <w:rsid w:val="0087328A"/>
    <w:rsid w:val="00877FCA"/>
    <w:rsid w:val="00881C94"/>
    <w:rsid w:val="00884602"/>
    <w:rsid w:val="008846B5"/>
    <w:rsid w:val="00885F6F"/>
    <w:rsid w:val="00886B76"/>
    <w:rsid w:val="00887D25"/>
    <w:rsid w:val="008912F7"/>
    <w:rsid w:val="008955EC"/>
    <w:rsid w:val="008971C0"/>
    <w:rsid w:val="008979FF"/>
    <w:rsid w:val="008A1801"/>
    <w:rsid w:val="008A4417"/>
    <w:rsid w:val="008A580B"/>
    <w:rsid w:val="008A79DC"/>
    <w:rsid w:val="008B2592"/>
    <w:rsid w:val="008B36BC"/>
    <w:rsid w:val="008B567A"/>
    <w:rsid w:val="008B5A52"/>
    <w:rsid w:val="008B5A67"/>
    <w:rsid w:val="008B5DFE"/>
    <w:rsid w:val="008B7009"/>
    <w:rsid w:val="008C1020"/>
    <w:rsid w:val="008C2569"/>
    <w:rsid w:val="008C3254"/>
    <w:rsid w:val="008C3336"/>
    <w:rsid w:val="008C76AB"/>
    <w:rsid w:val="008D093B"/>
    <w:rsid w:val="008D26FF"/>
    <w:rsid w:val="008D3337"/>
    <w:rsid w:val="008D5EC7"/>
    <w:rsid w:val="008D6168"/>
    <w:rsid w:val="008D7561"/>
    <w:rsid w:val="008E0B7C"/>
    <w:rsid w:val="008E1256"/>
    <w:rsid w:val="008E1576"/>
    <w:rsid w:val="008E3028"/>
    <w:rsid w:val="008E3FE4"/>
    <w:rsid w:val="008E4C75"/>
    <w:rsid w:val="008F1297"/>
    <w:rsid w:val="008F31A4"/>
    <w:rsid w:val="008F4901"/>
    <w:rsid w:val="008F4C62"/>
    <w:rsid w:val="008F5471"/>
    <w:rsid w:val="008F7D06"/>
    <w:rsid w:val="00900BD2"/>
    <w:rsid w:val="00901958"/>
    <w:rsid w:val="0090232A"/>
    <w:rsid w:val="009023BA"/>
    <w:rsid w:val="00905E42"/>
    <w:rsid w:val="009064AC"/>
    <w:rsid w:val="00911D1C"/>
    <w:rsid w:val="0091272F"/>
    <w:rsid w:val="00913B34"/>
    <w:rsid w:val="00914A58"/>
    <w:rsid w:val="0091589E"/>
    <w:rsid w:val="0091799E"/>
    <w:rsid w:val="00920321"/>
    <w:rsid w:val="00922439"/>
    <w:rsid w:val="00923BA8"/>
    <w:rsid w:val="00926EF4"/>
    <w:rsid w:val="009278C1"/>
    <w:rsid w:val="00930FFB"/>
    <w:rsid w:val="00931282"/>
    <w:rsid w:val="009347D8"/>
    <w:rsid w:val="00935271"/>
    <w:rsid w:val="00935CDF"/>
    <w:rsid w:val="00935E93"/>
    <w:rsid w:val="00937747"/>
    <w:rsid w:val="00940BDB"/>
    <w:rsid w:val="00941F0C"/>
    <w:rsid w:val="00944B9F"/>
    <w:rsid w:val="0094554B"/>
    <w:rsid w:val="00946DF6"/>
    <w:rsid w:val="00947FBE"/>
    <w:rsid w:val="009515C8"/>
    <w:rsid w:val="00952188"/>
    <w:rsid w:val="0095276E"/>
    <w:rsid w:val="00957377"/>
    <w:rsid w:val="00961E13"/>
    <w:rsid w:val="00962CAC"/>
    <w:rsid w:val="00964C60"/>
    <w:rsid w:val="009660FA"/>
    <w:rsid w:val="009671B2"/>
    <w:rsid w:val="0097005E"/>
    <w:rsid w:val="00970CDC"/>
    <w:rsid w:val="00977A99"/>
    <w:rsid w:val="00980696"/>
    <w:rsid w:val="00985DA9"/>
    <w:rsid w:val="00986338"/>
    <w:rsid w:val="00986D64"/>
    <w:rsid w:val="00986E02"/>
    <w:rsid w:val="00986F2C"/>
    <w:rsid w:val="00987364"/>
    <w:rsid w:val="009900A6"/>
    <w:rsid w:val="00994929"/>
    <w:rsid w:val="009955EE"/>
    <w:rsid w:val="00995825"/>
    <w:rsid w:val="00997133"/>
    <w:rsid w:val="009A2ABC"/>
    <w:rsid w:val="009A337E"/>
    <w:rsid w:val="009A3647"/>
    <w:rsid w:val="009A6774"/>
    <w:rsid w:val="009A6FBA"/>
    <w:rsid w:val="009A70AD"/>
    <w:rsid w:val="009B2C8E"/>
    <w:rsid w:val="009B4406"/>
    <w:rsid w:val="009B4D8E"/>
    <w:rsid w:val="009B4DBB"/>
    <w:rsid w:val="009B61AF"/>
    <w:rsid w:val="009B797A"/>
    <w:rsid w:val="009C1B0A"/>
    <w:rsid w:val="009C2316"/>
    <w:rsid w:val="009C2616"/>
    <w:rsid w:val="009C2773"/>
    <w:rsid w:val="009C55B4"/>
    <w:rsid w:val="009C5DF8"/>
    <w:rsid w:val="009D0897"/>
    <w:rsid w:val="009D4963"/>
    <w:rsid w:val="009D4C48"/>
    <w:rsid w:val="009D565F"/>
    <w:rsid w:val="009D6B71"/>
    <w:rsid w:val="009D720D"/>
    <w:rsid w:val="009D778C"/>
    <w:rsid w:val="009E247E"/>
    <w:rsid w:val="009E4030"/>
    <w:rsid w:val="009E42BF"/>
    <w:rsid w:val="009E63A3"/>
    <w:rsid w:val="009F0B48"/>
    <w:rsid w:val="009F12F3"/>
    <w:rsid w:val="009F205D"/>
    <w:rsid w:val="009F5F30"/>
    <w:rsid w:val="009F7B28"/>
    <w:rsid w:val="00A0643B"/>
    <w:rsid w:val="00A115EF"/>
    <w:rsid w:val="00A11632"/>
    <w:rsid w:val="00A11B35"/>
    <w:rsid w:val="00A129F2"/>
    <w:rsid w:val="00A1435E"/>
    <w:rsid w:val="00A147B9"/>
    <w:rsid w:val="00A16288"/>
    <w:rsid w:val="00A16D83"/>
    <w:rsid w:val="00A17DD9"/>
    <w:rsid w:val="00A26A01"/>
    <w:rsid w:val="00A27697"/>
    <w:rsid w:val="00A305FA"/>
    <w:rsid w:val="00A34612"/>
    <w:rsid w:val="00A35A25"/>
    <w:rsid w:val="00A3758B"/>
    <w:rsid w:val="00A402AB"/>
    <w:rsid w:val="00A4039F"/>
    <w:rsid w:val="00A41273"/>
    <w:rsid w:val="00A42B7D"/>
    <w:rsid w:val="00A441CE"/>
    <w:rsid w:val="00A4446F"/>
    <w:rsid w:val="00A44B00"/>
    <w:rsid w:val="00A46921"/>
    <w:rsid w:val="00A47247"/>
    <w:rsid w:val="00A47BB9"/>
    <w:rsid w:val="00A47E9C"/>
    <w:rsid w:val="00A62DA5"/>
    <w:rsid w:val="00A66DDE"/>
    <w:rsid w:val="00A6704B"/>
    <w:rsid w:val="00A70278"/>
    <w:rsid w:val="00A70AF6"/>
    <w:rsid w:val="00A72E86"/>
    <w:rsid w:val="00A76A32"/>
    <w:rsid w:val="00A81548"/>
    <w:rsid w:val="00A85C8A"/>
    <w:rsid w:val="00A86BCF"/>
    <w:rsid w:val="00A879BB"/>
    <w:rsid w:val="00A90453"/>
    <w:rsid w:val="00A9133C"/>
    <w:rsid w:val="00A924D5"/>
    <w:rsid w:val="00A934AD"/>
    <w:rsid w:val="00A93668"/>
    <w:rsid w:val="00A939B0"/>
    <w:rsid w:val="00A95A5F"/>
    <w:rsid w:val="00A95EBC"/>
    <w:rsid w:val="00A96AB2"/>
    <w:rsid w:val="00A96AFB"/>
    <w:rsid w:val="00A97363"/>
    <w:rsid w:val="00A97834"/>
    <w:rsid w:val="00AA29E1"/>
    <w:rsid w:val="00AA4C17"/>
    <w:rsid w:val="00AA62C2"/>
    <w:rsid w:val="00AA654D"/>
    <w:rsid w:val="00AA6913"/>
    <w:rsid w:val="00AA6DEA"/>
    <w:rsid w:val="00AA7792"/>
    <w:rsid w:val="00AB00A2"/>
    <w:rsid w:val="00AB4E5F"/>
    <w:rsid w:val="00AB5028"/>
    <w:rsid w:val="00AB5285"/>
    <w:rsid w:val="00AB5647"/>
    <w:rsid w:val="00AB795C"/>
    <w:rsid w:val="00AB7E8A"/>
    <w:rsid w:val="00AC4B67"/>
    <w:rsid w:val="00AC6B62"/>
    <w:rsid w:val="00AD19F8"/>
    <w:rsid w:val="00AD1A1F"/>
    <w:rsid w:val="00AD32CA"/>
    <w:rsid w:val="00AD5722"/>
    <w:rsid w:val="00AD7C27"/>
    <w:rsid w:val="00AE014D"/>
    <w:rsid w:val="00AE2978"/>
    <w:rsid w:val="00AE2E2E"/>
    <w:rsid w:val="00AE370C"/>
    <w:rsid w:val="00AE50DE"/>
    <w:rsid w:val="00AE59A8"/>
    <w:rsid w:val="00AE770C"/>
    <w:rsid w:val="00AF15D9"/>
    <w:rsid w:val="00AF20D5"/>
    <w:rsid w:val="00AF49E3"/>
    <w:rsid w:val="00AF536C"/>
    <w:rsid w:val="00AF73AD"/>
    <w:rsid w:val="00B00983"/>
    <w:rsid w:val="00B00D6C"/>
    <w:rsid w:val="00B01021"/>
    <w:rsid w:val="00B03841"/>
    <w:rsid w:val="00B047E8"/>
    <w:rsid w:val="00B049F4"/>
    <w:rsid w:val="00B07139"/>
    <w:rsid w:val="00B07389"/>
    <w:rsid w:val="00B0757D"/>
    <w:rsid w:val="00B07680"/>
    <w:rsid w:val="00B1044E"/>
    <w:rsid w:val="00B12E76"/>
    <w:rsid w:val="00B13B37"/>
    <w:rsid w:val="00B17572"/>
    <w:rsid w:val="00B21D49"/>
    <w:rsid w:val="00B21E46"/>
    <w:rsid w:val="00B2323E"/>
    <w:rsid w:val="00B237DA"/>
    <w:rsid w:val="00B262A2"/>
    <w:rsid w:val="00B26801"/>
    <w:rsid w:val="00B27899"/>
    <w:rsid w:val="00B30733"/>
    <w:rsid w:val="00B30A16"/>
    <w:rsid w:val="00B366E3"/>
    <w:rsid w:val="00B36BCB"/>
    <w:rsid w:val="00B41752"/>
    <w:rsid w:val="00B430A8"/>
    <w:rsid w:val="00B51286"/>
    <w:rsid w:val="00B52462"/>
    <w:rsid w:val="00B5252E"/>
    <w:rsid w:val="00B577F0"/>
    <w:rsid w:val="00B601AB"/>
    <w:rsid w:val="00B64167"/>
    <w:rsid w:val="00B641C0"/>
    <w:rsid w:val="00B65122"/>
    <w:rsid w:val="00B65190"/>
    <w:rsid w:val="00B6549B"/>
    <w:rsid w:val="00B71102"/>
    <w:rsid w:val="00B73133"/>
    <w:rsid w:val="00B732C6"/>
    <w:rsid w:val="00B74B3A"/>
    <w:rsid w:val="00B75BFC"/>
    <w:rsid w:val="00B77835"/>
    <w:rsid w:val="00B80639"/>
    <w:rsid w:val="00B811DC"/>
    <w:rsid w:val="00B82548"/>
    <w:rsid w:val="00B82815"/>
    <w:rsid w:val="00B82B62"/>
    <w:rsid w:val="00B82FD0"/>
    <w:rsid w:val="00B8491E"/>
    <w:rsid w:val="00B87CAE"/>
    <w:rsid w:val="00B9092F"/>
    <w:rsid w:val="00B929A3"/>
    <w:rsid w:val="00B96C35"/>
    <w:rsid w:val="00BA0F3C"/>
    <w:rsid w:val="00BA6C82"/>
    <w:rsid w:val="00BB012F"/>
    <w:rsid w:val="00BB3667"/>
    <w:rsid w:val="00BB3C33"/>
    <w:rsid w:val="00BB512E"/>
    <w:rsid w:val="00BB6BB4"/>
    <w:rsid w:val="00BC1173"/>
    <w:rsid w:val="00BC2BFA"/>
    <w:rsid w:val="00BC2EB7"/>
    <w:rsid w:val="00BC3A7F"/>
    <w:rsid w:val="00BC4171"/>
    <w:rsid w:val="00BC6041"/>
    <w:rsid w:val="00BC7C6C"/>
    <w:rsid w:val="00BD1929"/>
    <w:rsid w:val="00BE42AF"/>
    <w:rsid w:val="00BE7B00"/>
    <w:rsid w:val="00C00262"/>
    <w:rsid w:val="00C014A7"/>
    <w:rsid w:val="00C01D00"/>
    <w:rsid w:val="00C122F2"/>
    <w:rsid w:val="00C1372A"/>
    <w:rsid w:val="00C177E4"/>
    <w:rsid w:val="00C17C3E"/>
    <w:rsid w:val="00C20D08"/>
    <w:rsid w:val="00C27029"/>
    <w:rsid w:val="00C27213"/>
    <w:rsid w:val="00C2798D"/>
    <w:rsid w:val="00C31381"/>
    <w:rsid w:val="00C31940"/>
    <w:rsid w:val="00C3335F"/>
    <w:rsid w:val="00C37947"/>
    <w:rsid w:val="00C42246"/>
    <w:rsid w:val="00C42DCD"/>
    <w:rsid w:val="00C436B3"/>
    <w:rsid w:val="00C477E8"/>
    <w:rsid w:val="00C55697"/>
    <w:rsid w:val="00C63435"/>
    <w:rsid w:val="00C65A6B"/>
    <w:rsid w:val="00C673E5"/>
    <w:rsid w:val="00C705E7"/>
    <w:rsid w:val="00C752E9"/>
    <w:rsid w:val="00C75CB9"/>
    <w:rsid w:val="00C8065E"/>
    <w:rsid w:val="00C81922"/>
    <w:rsid w:val="00C8227F"/>
    <w:rsid w:val="00C84A83"/>
    <w:rsid w:val="00C8545E"/>
    <w:rsid w:val="00C85AE7"/>
    <w:rsid w:val="00C86947"/>
    <w:rsid w:val="00C879B7"/>
    <w:rsid w:val="00C90343"/>
    <w:rsid w:val="00C903F2"/>
    <w:rsid w:val="00C93BD5"/>
    <w:rsid w:val="00C93FBD"/>
    <w:rsid w:val="00C941CF"/>
    <w:rsid w:val="00C95702"/>
    <w:rsid w:val="00C962FE"/>
    <w:rsid w:val="00CA1714"/>
    <w:rsid w:val="00CA2B0C"/>
    <w:rsid w:val="00CA5B06"/>
    <w:rsid w:val="00CA62F3"/>
    <w:rsid w:val="00CB1251"/>
    <w:rsid w:val="00CB46A0"/>
    <w:rsid w:val="00CB5623"/>
    <w:rsid w:val="00CB6ECF"/>
    <w:rsid w:val="00CC3F31"/>
    <w:rsid w:val="00CC469E"/>
    <w:rsid w:val="00CC71C7"/>
    <w:rsid w:val="00CC7BD0"/>
    <w:rsid w:val="00CC7C74"/>
    <w:rsid w:val="00CD2950"/>
    <w:rsid w:val="00CD565C"/>
    <w:rsid w:val="00CD5A39"/>
    <w:rsid w:val="00CE0EB5"/>
    <w:rsid w:val="00CE24F0"/>
    <w:rsid w:val="00CE2A76"/>
    <w:rsid w:val="00CE36CF"/>
    <w:rsid w:val="00CE484B"/>
    <w:rsid w:val="00CE5AAC"/>
    <w:rsid w:val="00CF0683"/>
    <w:rsid w:val="00CF293E"/>
    <w:rsid w:val="00CF475A"/>
    <w:rsid w:val="00D010A4"/>
    <w:rsid w:val="00D039F0"/>
    <w:rsid w:val="00D03C4A"/>
    <w:rsid w:val="00D06AB5"/>
    <w:rsid w:val="00D117FB"/>
    <w:rsid w:val="00D1183B"/>
    <w:rsid w:val="00D11C31"/>
    <w:rsid w:val="00D13981"/>
    <w:rsid w:val="00D13CA1"/>
    <w:rsid w:val="00D14A11"/>
    <w:rsid w:val="00D16A0C"/>
    <w:rsid w:val="00D224F1"/>
    <w:rsid w:val="00D24CD8"/>
    <w:rsid w:val="00D25786"/>
    <w:rsid w:val="00D26457"/>
    <w:rsid w:val="00D270B3"/>
    <w:rsid w:val="00D30FE9"/>
    <w:rsid w:val="00D325AF"/>
    <w:rsid w:val="00D36EDF"/>
    <w:rsid w:val="00D376DD"/>
    <w:rsid w:val="00D37CA8"/>
    <w:rsid w:val="00D472B7"/>
    <w:rsid w:val="00D47582"/>
    <w:rsid w:val="00D47B6C"/>
    <w:rsid w:val="00D506A4"/>
    <w:rsid w:val="00D506AF"/>
    <w:rsid w:val="00D51FA5"/>
    <w:rsid w:val="00D5253D"/>
    <w:rsid w:val="00D54F05"/>
    <w:rsid w:val="00D56EC7"/>
    <w:rsid w:val="00D57121"/>
    <w:rsid w:val="00D57A8C"/>
    <w:rsid w:val="00D57AF4"/>
    <w:rsid w:val="00D61654"/>
    <w:rsid w:val="00D617A1"/>
    <w:rsid w:val="00D619D7"/>
    <w:rsid w:val="00D635C0"/>
    <w:rsid w:val="00D66555"/>
    <w:rsid w:val="00D738D3"/>
    <w:rsid w:val="00D773BA"/>
    <w:rsid w:val="00D835C3"/>
    <w:rsid w:val="00D855A5"/>
    <w:rsid w:val="00D86A9E"/>
    <w:rsid w:val="00D876C9"/>
    <w:rsid w:val="00D9059A"/>
    <w:rsid w:val="00D93082"/>
    <w:rsid w:val="00D95D08"/>
    <w:rsid w:val="00D964E8"/>
    <w:rsid w:val="00D96EDE"/>
    <w:rsid w:val="00D971C4"/>
    <w:rsid w:val="00DA09C8"/>
    <w:rsid w:val="00DA12F2"/>
    <w:rsid w:val="00DA281A"/>
    <w:rsid w:val="00DA47A0"/>
    <w:rsid w:val="00DA4AFD"/>
    <w:rsid w:val="00DA6E5C"/>
    <w:rsid w:val="00DB4B8A"/>
    <w:rsid w:val="00DB5DEC"/>
    <w:rsid w:val="00DC1210"/>
    <w:rsid w:val="00DC1582"/>
    <w:rsid w:val="00DC207C"/>
    <w:rsid w:val="00DC4539"/>
    <w:rsid w:val="00DC53B9"/>
    <w:rsid w:val="00DC6B05"/>
    <w:rsid w:val="00DC7DEF"/>
    <w:rsid w:val="00DD02B6"/>
    <w:rsid w:val="00DD172B"/>
    <w:rsid w:val="00DD2F18"/>
    <w:rsid w:val="00DD71B7"/>
    <w:rsid w:val="00DD73C6"/>
    <w:rsid w:val="00DD79B9"/>
    <w:rsid w:val="00DE0741"/>
    <w:rsid w:val="00DE0853"/>
    <w:rsid w:val="00DE0FB0"/>
    <w:rsid w:val="00DE19B9"/>
    <w:rsid w:val="00DE3002"/>
    <w:rsid w:val="00DE6A8E"/>
    <w:rsid w:val="00DE7C5C"/>
    <w:rsid w:val="00DF3DCA"/>
    <w:rsid w:val="00DF44B6"/>
    <w:rsid w:val="00DF44D1"/>
    <w:rsid w:val="00DF52BA"/>
    <w:rsid w:val="00DF7693"/>
    <w:rsid w:val="00DF7F04"/>
    <w:rsid w:val="00E00B3A"/>
    <w:rsid w:val="00E02178"/>
    <w:rsid w:val="00E03385"/>
    <w:rsid w:val="00E04797"/>
    <w:rsid w:val="00E123D3"/>
    <w:rsid w:val="00E12BD7"/>
    <w:rsid w:val="00E14DF8"/>
    <w:rsid w:val="00E164E7"/>
    <w:rsid w:val="00E172A3"/>
    <w:rsid w:val="00E17E63"/>
    <w:rsid w:val="00E20D10"/>
    <w:rsid w:val="00E218E1"/>
    <w:rsid w:val="00E22454"/>
    <w:rsid w:val="00E31D1B"/>
    <w:rsid w:val="00E31F38"/>
    <w:rsid w:val="00E32210"/>
    <w:rsid w:val="00E32B0E"/>
    <w:rsid w:val="00E33FD0"/>
    <w:rsid w:val="00E345D2"/>
    <w:rsid w:val="00E37101"/>
    <w:rsid w:val="00E3786D"/>
    <w:rsid w:val="00E4073B"/>
    <w:rsid w:val="00E40BFB"/>
    <w:rsid w:val="00E40FBF"/>
    <w:rsid w:val="00E436DC"/>
    <w:rsid w:val="00E4615F"/>
    <w:rsid w:val="00E53312"/>
    <w:rsid w:val="00E54E1C"/>
    <w:rsid w:val="00E553C0"/>
    <w:rsid w:val="00E562E8"/>
    <w:rsid w:val="00E56C24"/>
    <w:rsid w:val="00E57956"/>
    <w:rsid w:val="00E57BC4"/>
    <w:rsid w:val="00E60137"/>
    <w:rsid w:val="00E60A1A"/>
    <w:rsid w:val="00E61E87"/>
    <w:rsid w:val="00E62938"/>
    <w:rsid w:val="00E62F44"/>
    <w:rsid w:val="00E635A1"/>
    <w:rsid w:val="00E63E27"/>
    <w:rsid w:val="00E63F9F"/>
    <w:rsid w:val="00E6401E"/>
    <w:rsid w:val="00E66CC6"/>
    <w:rsid w:val="00E67746"/>
    <w:rsid w:val="00E67ED9"/>
    <w:rsid w:val="00E67FB2"/>
    <w:rsid w:val="00E7101D"/>
    <w:rsid w:val="00E7132A"/>
    <w:rsid w:val="00E7138A"/>
    <w:rsid w:val="00E71612"/>
    <w:rsid w:val="00E727B2"/>
    <w:rsid w:val="00E72EA8"/>
    <w:rsid w:val="00E73B42"/>
    <w:rsid w:val="00E754D8"/>
    <w:rsid w:val="00E756E6"/>
    <w:rsid w:val="00E7692A"/>
    <w:rsid w:val="00E77DFD"/>
    <w:rsid w:val="00E80362"/>
    <w:rsid w:val="00E8347C"/>
    <w:rsid w:val="00E8743C"/>
    <w:rsid w:val="00E903BB"/>
    <w:rsid w:val="00E91DE2"/>
    <w:rsid w:val="00E926A8"/>
    <w:rsid w:val="00E92707"/>
    <w:rsid w:val="00E94B1B"/>
    <w:rsid w:val="00E95FF4"/>
    <w:rsid w:val="00E9627B"/>
    <w:rsid w:val="00E97D27"/>
    <w:rsid w:val="00EA575B"/>
    <w:rsid w:val="00EA5819"/>
    <w:rsid w:val="00EA6D51"/>
    <w:rsid w:val="00EB3A44"/>
    <w:rsid w:val="00EB513A"/>
    <w:rsid w:val="00EB6480"/>
    <w:rsid w:val="00EB720B"/>
    <w:rsid w:val="00EC35D3"/>
    <w:rsid w:val="00EC3BCC"/>
    <w:rsid w:val="00EC3F0B"/>
    <w:rsid w:val="00EC5C51"/>
    <w:rsid w:val="00EC7459"/>
    <w:rsid w:val="00ED02CC"/>
    <w:rsid w:val="00ED1CC8"/>
    <w:rsid w:val="00ED24A3"/>
    <w:rsid w:val="00ED4E3B"/>
    <w:rsid w:val="00ED58AF"/>
    <w:rsid w:val="00EE59F5"/>
    <w:rsid w:val="00EF0CB3"/>
    <w:rsid w:val="00EF12F7"/>
    <w:rsid w:val="00EF5062"/>
    <w:rsid w:val="00EF514C"/>
    <w:rsid w:val="00EF5179"/>
    <w:rsid w:val="00EF58CD"/>
    <w:rsid w:val="00EF65D3"/>
    <w:rsid w:val="00F010F0"/>
    <w:rsid w:val="00F0281C"/>
    <w:rsid w:val="00F0499D"/>
    <w:rsid w:val="00F0510F"/>
    <w:rsid w:val="00F06475"/>
    <w:rsid w:val="00F06B8F"/>
    <w:rsid w:val="00F07842"/>
    <w:rsid w:val="00F108AD"/>
    <w:rsid w:val="00F10DAC"/>
    <w:rsid w:val="00F1102B"/>
    <w:rsid w:val="00F11390"/>
    <w:rsid w:val="00F13ED3"/>
    <w:rsid w:val="00F16DFA"/>
    <w:rsid w:val="00F20A77"/>
    <w:rsid w:val="00F20F5B"/>
    <w:rsid w:val="00F23335"/>
    <w:rsid w:val="00F26963"/>
    <w:rsid w:val="00F272F3"/>
    <w:rsid w:val="00F30B99"/>
    <w:rsid w:val="00F37185"/>
    <w:rsid w:val="00F37C30"/>
    <w:rsid w:val="00F41710"/>
    <w:rsid w:val="00F41880"/>
    <w:rsid w:val="00F42065"/>
    <w:rsid w:val="00F45923"/>
    <w:rsid w:val="00F5317D"/>
    <w:rsid w:val="00F54D73"/>
    <w:rsid w:val="00F5548F"/>
    <w:rsid w:val="00F55706"/>
    <w:rsid w:val="00F56CD8"/>
    <w:rsid w:val="00F57CCD"/>
    <w:rsid w:val="00F6003A"/>
    <w:rsid w:val="00F6004E"/>
    <w:rsid w:val="00F6016E"/>
    <w:rsid w:val="00F62B54"/>
    <w:rsid w:val="00F63D3D"/>
    <w:rsid w:val="00F67A84"/>
    <w:rsid w:val="00F701C3"/>
    <w:rsid w:val="00F7157A"/>
    <w:rsid w:val="00F73E6F"/>
    <w:rsid w:val="00F76CCB"/>
    <w:rsid w:val="00F77C70"/>
    <w:rsid w:val="00F80EB5"/>
    <w:rsid w:val="00F8195C"/>
    <w:rsid w:val="00F81B0C"/>
    <w:rsid w:val="00F81C64"/>
    <w:rsid w:val="00F82836"/>
    <w:rsid w:val="00F83265"/>
    <w:rsid w:val="00F84202"/>
    <w:rsid w:val="00F85750"/>
    <w:rsid w:val="00F85E8C"/>
    <w:rsid w:val="00F8713C"/>
    <w:rsid w:val="00F903A0"/>
    <w:rsid w:val="00F9065D"/>
    <w:rsid w:val="00F97DAF"/>
    <w:rsid w:val="00FA1B4B"/>
    <w:rsid w:val="00FA2D3A"/>
    <w:rsid w:val="00FA3812"/>
    <w:rsid w:val="00FA6679"/>
    <w:rsid w:val="00FB0B38"/>
    <w:rsid w:val="00FB3420"/>
    <w:rsid w:val="00FB39A5"/>
    <w:rsid w:val="00FB5A97"/>
    <w:rsid w:val="00FC16C2"/>
    <w:rsid w:val="00FC1F85"/>
    <w:rsid w:val="00FC228B"/>
    <w:rsid w:val="00FC3092"/>
    <w:rsid w:val="00FC3222"/>
    <w:rsid w:val="00FC32DD"/>
    <w:rsid w:val="00FC39B4"/>
    <w:rsid w:val="00FC3C14"/>
    <w:rsid w:val="00FC7D5E"/>
    <w:rsid w:val="00FD4ACA"/>
    <w:rsid w:val="00FD70B8"/>
    <w:rsid w:val="00FE2C35"/>
    <w:rsid w:val="00FE2D95"/>
    <w:rsid w:val="00FE3339"/>
    <w:rsid w:val="00FE394F"/>
    <w:rsid w:val="00FE61DD"/>
    <w:rsid w:val="00FE7D59"/>
    <w:rsid w:val="00FF0264"/>
    <w:rsid w:val="00FF0AD3"/>
    <w:rsid w:val="00FF0B12"/>
    <w:rsid w:val="00FF10B2"/>
    <w:rsid w:val="00FF112C"/>
    <w:rsid w:val="00FF2329"/>
    <w:rsid w:val="00FF248D"/>
    <w:rsid w:val="00FF2601"/>
    <w:rsid w:val="0ADB3691"/>
    <w:rsid w:val="13DB3374"/>
    <w:rsid w:val="2499689C"/>
    <w:rsid w:val="25D04D7D"/>
    <w:rsid w:val="2A5764C5"/>
    <w:rsid w:val="2B884161"/>
    <w:rsid w:val="59EC7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6CB1D8A"/>
  <w14:defaultImageDpi w14:val="32767"/>
  <w15:docId w15:val="{D3855773-A0A2-4E53-9EF4-9DA73AFA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uiPriority="35"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lang w:val="en-GB"/>
    </w:rPr>
  </w:style>
  <w:style w:type="paragraph" w:styleId="2">
    <w:name w:val="heading 2"/>
    <w:basedOn w:val="a"/>
    <w:next w:val="a"/>
    <w:link w:val="20"/>
    <w:uiPriority w:val="99"/>
    <w:qFormat/>
    <w:pPr>
      <w:keepNext/>
      <w:keepLines/>
      <w:spacing w:before="260" w:after="260" w:line="415" w:lineRule="auto"/>
      <w:outlineLvl w:val="1"/>
    </w:pPr>
    <w:rPr>
      <w:rFonts w:ascii="Cambria" w:hAnsi="Cambria" w:cs="宋体"/>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pPr>
      <w:spacing w:beforeLines="50" w:before="50" w:line="300" w:lineRule="auto"/>
      <w:jc w:val="center"/>
    </w:pPr>
    <w:rPr>
      <w:szCs w:val="22"/>
      <w:lang w:val="en-US"/>
    </w:rPr>
  </w:style>
  <w:style w:type="paragraph" w:styleId="a4">
    <w:name w:val="annotation text"/>
    <w:basedOn w:val="a"/>
    <w:link w:val="a5"/>
    <w:autoRedefine/>
    <w:qFormat/>
    <w:pPr>
      <w:jc w:val="left"/>
    </w:pPr>
  </w:style>
  <w:style w:type="paragraph" w:styleId="a6">
    <w:name w:val="footer"/>
    <w:basedOn w:val="a"/>
    <w:autoRedefine/>
    <w:qFormat/>
    <w:pPr>
      <w:tabs>
        <w:tab w:val="center" w:pos="4153"/>
        <w:tab w:val="right" w:pos="8306"/>
      </w:tabs>
      <w:snapToGrid w:val="0"/>
      <w:jc w:val="left"/>
    </w:pPr>
    <w:rPr>
      <w:sz w:val="18"/>
      <w:szCs w:val="18"/>
    </w:rPr>
  </w:style>
  <w:style w:type="paragraph" w:styleId="a7">
    <w:name w:val="header"/>
    <w:basedOn w:val="a"/>
    <w:link w:val="a8"/>
    <w:autoRedefine/>
    <w:uiPriority w:val="99"/>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autoRedefine/>
    <w:uiPriority w:val="99"/>
    <w:unhideWhenUsed/>
    <w:qFormat/>
    <w:rsid w:val="00DC207C"/>
    <w:pPr>
      <w:widowControl/>
      <w:spacing w:line="360" w:lineRule="auto"/>
      <w:ind w:firstLineChars="200" w:firstLine="420"/>
    </w:pPr>
    <w:rPr>
      <w:rFonts w:ascii="宋体" w:hAnsi="宋体" w:cs="宋体"/>
      <w:kern w:val="0"/>
      <w:sz w:val="24"/>
      <w:szCs w:val="24"/>
    </w:rPr>
  </w:style>
  <w:style w:type="paragraph" w:styleId="aa">
    <w:name w:val="annotation subject"/>
    <w:basedOn w:val="a4"/>
    <w:next w:val="a4"/>
    <w:link w:val="ab"/>
    <w:autoRedefine/>
    <w:qFormat/>
    <w:rPr>
      <w:b/>
      <w:bCs/>
    </w:rPr>
  </w:style>
  <w:style w:type="table" w:styleId="ac">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autoRedefine/>
  </w:style>
  <w:style w:type="character" w:styleId="ae">
    <w:name w:val="Hyperlink"/>
    <w:autoRedefine/>
    <w:uiPriority w:val="99"/>
    <w:unhideWhenUsed/>
    <w:qFormat/>
    <w:rPr>
      <w:color w:val="0000FF"/>
      <w:u w:val="single"/>
    </w:rPr>
  </w:style>
  <w:style w:type="character" w:styleId="af">
    <w:name w:val="annotation reference"/>
    <w:basedOn w:val="a0"/>
    <w:autoRedefine/>
    <w:qFormat/>
    <w:rPr>
      <w:sz w:val="21"/>
      <w:szCs w:val="21"/>
    </w:rPr>
  </w:style>
  <w:style w:type="character" w:customStyle="1" w:styleId="20">
    <w:name w:val="标题 2 字符"/>
    <w:link w:val="2"/>
    <w:uiPriority w:val="99"/>
    <w:rPr>
      <w:rFonts w:ascii="Cambria" w:hAnsi="Cambria" w:cs="宋体"/>
      <w:b/>
      <w:bCs/>
      <w:kern w:val="2"/>
      <w:sz w:val="32"/>
      <w:szCs w:val="32"/>
    </w:rPr>
  </w:style>
  <w:style w:type="character" w:customStyle="1" w:styleId="value">
    <w:name w:val="value"/>
    <w:basedOn w:val="a0"/>
    <w:autoRedefine/>
    <w:qFormat/>
  </w:style>
  <w:style w:type="character" w:customStyle="1" w:styleId="ng-star-inserted">
    <w:name w:val="ng-star-inserted"/>
    <w:basedOn w:val="a0"/>
    <w:autoRedefine/>
  </w:style>
  <w:style w:type="character" w:styleId="af0">
    <w:name w:val="Placeholder Text"/>
    <w:basedOn w:val="a0"/>
    <w:uiPriority w:val="99"/>
    <w:semiHidden/>
    <w:qFormat/>
    <w:rPr>
      <w:color w:val="808080"/>
    </w:rPr>
  </w:style>
  <w:style w:type="paragraph" w:styleId="af1">
    <w:name w:val="List Paragraph"/>
    <w:basedOn w:val="a"/>
    <w:autoRedefine/>
    <w:uiPriority w:val="34"/>
    <w:qFormat/>
    <w:pPr>
      <w:ind w:firstLineChars="200" w:firstLine="420"/>
    </w:pPr>
  </w:style>
  <w:style w:type="character" w:customStyle="1" w:styleId="MTEquationSection">
    <w:name w:val="MTEquationSection"/>
    <w:basedOn w:val="a0"/>
    <w:autoRedefine/>
    <w:rPr>
      <w:rFonts w:ascii="华文行楷" w:eastAsia="华文行楷"/>
      <w:b/>
      <w:bCs/>
      <w:vanish/>
      <w:color w:val="FF0000"/>
      <w:spacing w:val="40"/>
      <w:sz w:val="72"/>
      <w:szCs w:val="72"/>
    </w:rPr>
  </w:style>
  <w:style w:type="paragraph" w:customStyle="1" w:styleId="af2">
    <w:name w:val="公式"/>
    <w:basedOn w:val="a"/>
    <w:link w:val="af3"/>
    <w:autoRedefine/>
    <w:qFormat/>
    <w:pPr>
      <w:tabs>
        <w:tab w:val="center" w:pos="3644"/>
        <w:tab w:val="right" w:pos="7140"/>
      </w:tabs>
      <w:spacing w:line="360" w:lineRule="auto"/>
      <w:jc w:val="center"/>
    </w:pPr>
  </w:style>
  <w:style w:type="character" w:customStyle="1" w:styleId="af3">
    <w:name w:val="公式 字符"/>
    <w:basedOn w:val="a0"/>
    <w:link w:val="af2"/>
    <w:autoRedefine/>
    <w:qFormat/>
    <w:rPr>
      <w:kern w:val="2"/>
      <w:sz w:val="21"/>
    </w:rPr>
  </w:style>
  <w:style w:type="paragraph" w:customStyle="1" w:styleId="MTDisplayEquation">
    <w:name w:val="MTDisplayEquation"/>
    <w:basedOn w:val="af2"/>
    <w:next w:val="a"/>
    <w:link w:val="MTDisplayEquation0"/>
    <w:autoRedefine/>
    <w:qFormat/>
    <w:pPr>
      <w:tabs>
        <w:tab w:val="clear" w:pos="3644"/>
        <w:tab w:val="clear" w:pos="7140"/>
        <w:tab w:val="center" w:pos="4540"/>
        <w:tab w:val="right" w:pos="9080"/>
      </w:tabs>
      <w:jc w:val="both"/>
      <w:textAlignment w:val="center"/>
    </w:pPr>
  </w:style>
  <w:style w:type="character" w:customStyle="1" w:styleId="MTDisplayEquation0">
    <w:name w:val="MTDisplayEquation 字符"/>
    <w:basedOn w:val="af3"/>
    <w:link w:val="MTDisplayEquation"/>
    <w:autoRedefine/>
    <w:qFormat/>
    <w:rPr>
      <w:kern w:val="2"/>
      <w:sz w:val="21"/>
    </w:rPr>
  </w:style>
  <w:style w:type="character" w:customStyle="1" w:styleId="1">
    <w:name w:val="未处理的提及1"/>
    <w:basedOn w:val="a0"/>
    <w:autoRedefine/>
    <w:uiPriority w:val="99"/>
    <w:semiHidden/>
    <w:unhideWhenUsed/>
    <w:qFormat/>
    <w:rPr>
      <w:color w:val="605E5C"/>
      <w:shd w:val="clear" w:color="auto" w:fill="E1DFDD"/>
    </w:rPr>
  </w:style>
  <w:style w:type="character" w:customStyle="1" w:styleId="a5">
    <w:name w:val="批注文字 字符"/>
    <w:basedOn w:val="a0"/>
    <w:link w:val="a4"/>
    <w:autoRedefine/>
    <w:qFormat/>
    <w:rPr>
      <w:kern w:val="2"/>
      <w:sz w:val="21"/>
    </w:rPr>
  </w:style>
  <w:style w:type="character" w:customStyle="1" w:styleId="ab">
    <w:name w:val="批注主题 字符"/>
    <w:basedOn w:val="a5"/>
    <w:link w:val="aa"/>
    <w:autoRedefine/>
    <w:qFormat/>
    <w:rPr>
      <w:b/>
      <w:bCs/>
      <w:kern w:val="2"/>
      <w:sz w:val="21"/>
    </w:rPr>
  </w:style>
  <w:style w:type="character" w:customStyle="1" w:styleId="a8">
    <w:name w:val="页眉 字符"/>
    <w:basedOn w:val="a0"/>
    <w:link w:val="a7"/>
    <w:autoRedefine/>
    <w:uiPriority w:val="99"/>
    <w:qFormat/>
    <w:rPr>
      <w:kern w:val="2"/>
      <w:sz w:val="18"/>
      <w:szCs w:val="18"/>
    </w:rPr>
  </w:style>
  <w:style w:type="character" w:customStyle="1" w:styleId="30">
    <w:name w:val="标题 3 字符"/>
    <w:basedOn w:val="a0"/>
    <w:link w:val="3"/>
    <w:autoRedefine/>
    <w:semiHidden/>
    <w:qFormat/>
    <w:rPr>
      <w:b/>
      <w:bCs/>
      <w:kern w:val="2"/>
      <w:sz w:val="32"/>
      <w:szCs w:val="32"/>
    </w:rPr>
  </w:style>
  <w:style w:type="character" w:customStyle="1" w:styleId="21">
    <w:name w:val="未处理的提及2"/>
    <w:basedOn w:val="a0"/>
    <w:autoRedefine/>
    <w:uiPriority w:val="99"/>
    <w:semiHidden/>
    <w:unhideWhenUsed/>
    <w:qFormat/>
    <w:rPr>
      <w:color w:val="605E5C"/>
      <w:shd w:val="clear" w:color="auto" w:fill="E1DFDD"/>
    </w:rPr>
  </w:style>
  <w:style w:type="table" w:customStyle="1" w:styleId="10">
    <w:name w:val="样式1"/>
    <w:basedOn w:val="a1"/>
    <w:autoRedefine/>
    <w:uiPriority w:val="99"/>
    <w:qFormat/>
    <w:tblPr>
      <w:tblBorders>
        <w:top w:val="single" w:sz="12" w:space="0" w:color="auto"/>
        <w:bottom w:val="single" w:sz="12" w:space="0" w:color="auto"/>
      </w:tblBorders>
    </w:tblPr>
  </w:style>
  <w:style w:type="paragraph" w:customStyle="1" w:styleId="newnewnew">
    <w:name w:val="正文newnewnew"/>
    <w:basedOn w:val="a"/>
    <w:pPr>
      <w:widowControl/>
      <w:spacing w:line="300" w:lineRule="auto"/>
      <w:ind w:firstLineChars="202" w:firstLine="485"/>
    </w:pPr>
    <w:rPr>
      <w:kern w:val="24"/>
      <w:sz w:val="24"/>
      <w:szCs w:val="24"/>
      <w:lang w:val="en-US"/>
    </w:rPr>
  </w:style>
  <w:style w:type="paragraph" w:customStyle="1" w:styleId="af4">
    <w:name w:val="图片"/>
    <w:basedOn w:val="a"/>
    <w:link w:val="af5"/>
    <w:autoRedefine/>
    <w:qFormat/>
    <w:rsid w:val="00F80EB5"/>
    <w:pPr>
      <w:adjustRightInd w:val="0"/>
      <w:snapToGrid w:val="0"/>
      <w:spacing w:line="360" w:lineRule="auto"/>
      <w:jc w:val="center"/>
    </w:pPr>
    <w:rPr>
      <w:noProof/>
      <w:sz w:val="18"/>
      <w:szCs w:val="18"/>
    </w:rPr>
  </w:style>
  <w:style w:type="character" w:customStyle="1" w:styleId="af5">
    <w:name w:val="图片 字符"/>
    <w:basedOn w:val="a0"/>
    <w:link w:val="af4"/>
    <w:rsid w:val="00F80EB5"/>
    <w:rPr>
      <w:noProof/>
      <w:kern w:val="2"/>
      <w:sz w:val="18"/>
      <w:szCs w:val="18"/>
      <w:lang w:val="en-GB"/>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68" Type="http://schemas.openxmlformats.org/officeDocument/2006/relationships/oleObject" Target="embeddings/oleObject11.bin"/><Relationship Id="rId84" Type="http://schemas.openxmlformats.org/officeDocument/2006/relationships/theme" Target="theme/theme1.xml"/><Relationship Id="rId53" Type="http://schemas.openxmlformats.org/officeDocument/2006/relationships/oleObject" Target="embeddings/oleObject4.bin"/><Relationship Id="rId58" Type="http://schemas.openxmlformats.org/officeDocument/2006/relationships/oleObject" Target="embeddings/oleObject6.bin"/><Relationship Id="rId74" Type="http://schemas.openxmlformats.org/officeDocument/2006/relationships/oleObject" Target="embeddings/oleObject14.bin"/><Relationship Id="rId79" Type="http://schemas.openxmlformats.org/officeDocument/2006/relationships/package" Target="embeddings/Microsoft_Visio_Drawing3.vsdx"/><Relationship Id="rId5" Type="http://schemas.openxmlformats.org/officeDocument/2006/relationships/settings" Target="settings.xml"/><Relationship Id="rId82" Type="http://schemas.openxmlformats.org/officeDocument/2006/relationships/footer" Target="footer2.xml"/><Relationship Id="rId14" Type="http://schemas.openxmlformats.org/officeDocument/2006/relationships/package" Target="embeddings/Microsoft_Visio_Drawing.vsdx"/><Relationship Id="rId64" Type="http://schemas.openxmlformats.org/officeDocument/2006/relationships/oleObject" Target="embeddings/oleObject9.bin"/><Relationship Id="rId8" Type="http://schemas.openxmlformats.org/officeDocument/2006/relationships/endnotes" Target="endnotes.xml"/><Relationship Id="rId51" Type="http://schemas.openxmlformats.org/officeDocument/2006/relationships/oleObject" Target="embeddings/oleObject3.bin"/><Relationship Id="rId72" Type="http://schemas.openxmlformats.org/officeDocument/2006/relationships/oleObject" Target="embeddings/oleObject13.bin"/><Relationship Id="rId3" Type="http://schemas.openxmlformats.org/officeDocument/2006/relationships/numbering" Target="numbering.xml"/><Relationship Id="rId20" Type="http://schemas.openxmlformats.org/officeDocument/2006/relationships/image" Target="media/image9.png"/><Relationship Id="rId62" Type="http://schemas.openxmlformats.org/officeDocument/2006/relationships/oleObject" Target="embeddings/oleObject8.bin"/><Relationship Id="rId70" Type="http://schemas.openxmlformats.org/officeDocument/2006/relationships/oleObject" Target="embeddings/oleObject12.bin"/><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28" Type="http://schemas.openxmlformats.org/officeDocument/2006/relationships/package" Target="embeddings/Microsoft_Visio_Drawing1.vsdx"/><Relationship Id="rId49" Type="http://schemas.openxmlformats.org/officeDocument/2006/relationships/oleObject" Target="embeddings/oleObject2.bin"/><Relationship Id="rId31" Type="http://schemas.openxmlformats.org/officeDocument/2006/relationships/oleObject" Target="embeddings/oleObject1.bin"/><Relationship Id="rId60" Type="http://schemas.openxmlformats.org/officeDocument/2006/relationships/oleObject" Target="embeddings/oleObject7.bin"/><Relationship Id="rId4" Type="http://schemas.openxmlformats.org/officeDocument/2006/relationships/styles" Target="styles.xml"/><Relationship Id="rId9" Type="http://schemas.openxmlformats.org/officeDocument/2006/relationships/footer" Target="footer1.xml"/><Relationship Id="rId55" Type="http://schemas.openxmlformats.org/officeDocument/2006/relationships/oleObject" Target="embeddings/oleObject5.bin"/><Relationship Id="rId76" Type="http://schemas.openxmlformats.org/officeDocument/2006/relationships/package" Target="embeddings/Microsoft_Visio_Drawing2.vsdx"/><Relationship Id="rId7" Type="http://schemas.openxmlformats.org/officeDocument/2006/relationships/footnotes" Target="footnotes.xml"/><Relationship Id="rId2" Type="http://schemas.openxmlformats.org/officeDocument/2006/relationships/customXml" Target="../customXml/item2.xml"/><Relationship Id="rId66" Type="http://schemas.openxmlformats.org/officeDocument/2006/relationships/oleObject" Target="embeddings/oleObject10.bin"/><Relationship Id="rId85" Type="http://schemas.openxmlformats.org/officeDocument/2006/relationships/image" Target="media/image54.png"/><Relationship Id="rId86"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57.png"/><Relationship Id="rId89" Type="http://schemas.openxmlformats.org/officeDocument/2006/relationships/image" Target="media/image58.png"/><Relationship Id="rId90" Type="http://schemas.openxmlformats.org/officeDocument/2006/relationships/image" Target="media/image59.png"/><Relationship Id="rId91" Type="http://schemas.openxmlformats.org/officeDocument/2006/relationships/image" Target="media/image60.png"/><Relationship Id="rId92" Type="http://schemas.openxmlformats.org/officeDocument/2006/relationships/image" Target="media/image61.png"/><Relationship Id="rId93" Type="http://schemas.openxmlformats.org/officeDocument/2006/relationships/image" Target="media/image62.png"/><Relationship Id="rId94" Type="http://schemas.openxmlformats.org/officeDocument/2006/relationships/image" Target="media/image63.png"/><Relationship Id="rId95" Type="http://schemas.openxmlformats.org/officeDocument/2006/relationships/image" Target="media/image64.png"/><Relationship Id="rId96" Type="http://schemas.openxmlformats.org/officeDocument/2006/relationships/image" Target="media/image65.png"/><Relationship Id="rId97" Type="http://schemas.openxmlformats.org/officeDocument/2006/relationships/image" Target="media/image66.png"/><Relationship Id="rId98" Type="http://schemas.openxmlformats.org/officeDocument/2006/relationships/image" Target="media/image67.png"/><Relationship Id="rId99" Type="http://schemas.openxmlformats.org/officeDocument/2006/relationships/image" Target="media/image68.png"/><Relationship Id="rId100" Type="http://schemas.openxmlformats.org/officeDocument/2006/relationships/image" Target="media/image69.png"/><Relationship Id="rId101" Type="http://schemas.openxmlformats.org/officeDocument/2006/relationships/image" Target="media/image70.png"/><Relationship Id="rId102" Type="http://schemas.openxmlformats.org/officeDocument/2006/relationships/image" Target="media/image71.png"/><Relationship Id="rId103" Type="http://schemas.openxmlformats.org/officeDocument/2006/relationships/image" Target="media/image7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33836\Desktop\&#26577;&#27224;&#37325;&#35201;&#25968;&#2545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0485564304462E-2"/>
          <c:y val="0.13177159590043924"/>
          <c:w val="0.87895144356955379"/>
          <c:h val="0.741258074805071"/>
        </c:manualLayout>
      </c:layout>
      <c:barChart>
        <c:barDir val="col"/>
        <c:grouping val="clustered"/>
        <c:varyColors val="0"/>
        <c:ser>
          <c:idx val="0"/>
          <c:order val="0"/>
          <c:tx>
            <c:strRef>
              <c:f>中国柑橘产量面积!$B$1</c:f>
              <c:strCache>
                <c:ptCount val="1"/>
                <c:pt idx="0">
                  <c:v>面积</c:v>
                </c:pt>
              </c:strCache>
            </c:strRef>
          </c:tx>
          <c:spPr>
            <a:solidFill>
              <a:schemeClr val="accent1"/>
            </a:solidFill>
            <a:ln>
              <a:noFill/>
            </a:ln>
            <a:effectLst/>
          </c:spPr>
          <c:invertIfNegative val="0"/>
          <c:cat>
            <c:numRef>
              <c:f>中国柑橘产量面积!$A$2:$A$7</c:f>
              <c:numCache>
                <c:formatCode>General</c:formatCode>
                <c:ptCount val="6"/>
                <c:pt idx="0">
                  <c:v>2017</c:v>
                </c:pt>
                <c:pt idx="1">
                  <c:v>2018</c:v>
                </c:pt>
                <c:pt idx="2">
                  <c:v>2019</c:v>
                </c:pt>
                <c:pt idx="3">
                  <c:v>2020</c:v>
                </c:pt>
                <c:pt idx="4">
                  <c:v>2021</c:v>
                </c:pt>
                <c:pt idx="5">
                  <c:v>2022</c:v>
                </c:pt>
              </c:numCache>
            </c:numRef>
          </c:cat>
          <c:val>
            <c:numRef>
              <c:f>中国柑橘产量面积!$B$2:$B$7</c:f>
              <c:numCache>
                <c:formatCode>General</c:formatCode>
                <c:ptCount val="6"/>
                <c:pt idx="0">
                  <c:v>3659</c:v>
                </c:pt>
                <c:pt idx="1">
                  <c:v>3731</c:v>
                </c:pt>
                <c:pt idx="2">
                  <c:v>3926</c:v>
                </c:pt>
                <c:pt idx="3">
                  <c:v>4247</c:v>
                </c:pt>
                <c:pt idx="4">
                  <c:v>4350</c:v>
                </c:pt>
                <c:pt idx="5">
                  <c:v>4550</c:v>
                </c:pt>
              </c:numCache>
            </c:numRef>
          </c:val>
          <c:extLst>
            <c:ext xmlns:c16="http://schemas.microsoft.com/office/drawing/2014/chart" uri="{C3380CC4-5D6E-409C-BE32-E72D297353CC}">
              <c16:uniqueId val="{00000000-9ECC-41E4-A6D3-1ADEF2DF87F7}"/>
            </c:ext>
          </c:extLst>
        </c:ser>
        <c:ser>
          <c:idx val="1"/>
          <c:order val="1"/>
          <c:tx>
            <c:strRef>
              <c:f>中国柑橘产量面积!$C$1</c:f>
              <c:strCache>
                <c:ptCount val="1"/>
                <c:pt idx="0">
                  <c:v>产量</c:v>
                </c:pt>
              </c:strCache>
            </c:strRef>
          </c:tx>
          <c:spPr>
            <a:solidFill>
              <a:schemeClr val="accent3"/>
            </a:solidFill>
            <a:ln>
              <a:noFill/>
            </a:ln>
            <a:effectLst/>
          </c:spPr>
          <c:invertIfNegative val="0"/>
          <c:cat>
            <c:numRef>
              <c:f>中国柑橘产量面积!$A$2:$A$7</c:f>
              <c:numCache>
                <c:formatCode>General</c:formatCode>
                <c:ptCount val="6"/>
                <c:pt idx="0">
                  <c:v>2017</c:v>
                </c:pt>
                <c:pt idx="1">
                  <c:v>2018</c:v>
                </c:pt>
                <c:pt idx="2">
                  <c:v>2019</c:v>
                </c:pt>
                <c:pt idx="3">
                  <c:v>2020</c:v>
                </c:pt>
                <c:pt idx="4">
                  <c:v>2021</c:v>
                </c:pt>
                <c:pt idx="5">
                  <c:v>2022</c:v>
                </c:pt>
              </c:numCache>
            </c:numRef>
          </c:cat>
          <c:val>
            <c:numRef>
              <c:f>中国柑橘产量面积!$C$2:$C$7</c:f>
              <c:numCache>
                <c:formatCode>General</c:formatCode>
                <c:ptCount val="6"/>
                <c:pt idx="0">
                  <c:v>3817</c:v>
                </c:pt>
                <c:pt idx="1">
                  <c:v>4138</c:v>
                </c:pt>
                <c:pt idx="2">
                  <c:v>4585</c:v>
                </c:pt>
                <c:pt idx="3">
                  <c:v>5122</c:v>
                </c:pt>
                <c:pt idx="4">
                  <c:v>5596</c:v>
                </c:pt>
                <c:pt idx="5">
                  <c:v>6004</c:v>
                </c:pt>
              </c:numCache>
            </c:numRef>
          </c:val>
          <c:extLst>
            <c:ext xmlns:c16="http://schemas.microsoft.com/office/drawing/2014/chart" uri="{C3380CC4-5D6E-409C-BE32-E72D297353CC}">
              <c16:uniqueId val="{00000001-9ECC-41E4-A6D3-1ADEF2DF87F7}"/>
            </c:ext>
          </c:extLst>
        </c:ser>
        <c:dLbls>
          <c:showLegendKey val="0"/>
          <c:showVal val="0"/>
          <c:showCatName val="0"/>
          <c:showSerName val="0"/>
          <c:showPercent val="0"/>
          <c:showBubbleSize val="0"/>
        </c:dLbls>
        <c:gapWidth val="219"/>
        <c:overlap val="-27"/>
        <c:axId val="1414997871"/>
        <c:axId val="1687408767"/>
      </c:barChart>
      <c:catAx>
        <c:axId val="14149978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87408767"/>
        <c:crosses val="autoZero"/>
        <c:auto val="1"/>
        <c:lblAlgn val="ctr"/>
        <c:lblOffset val="100"/>
        <c:noMultiLvlLbl val="0"/>
      </c:catAx>
      <c:valAx>
        <c:axId val="1687408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14997871"/>
        <c:crosses val="autoZero"/>
        <c:crossBetween val="between"/>
      </c:valAx>
      <c:spPr>
        <a:noFill/>
        <a:ln>
          <a:noFill/>
        </a:ln>
        <a:effectLst/>
      </c:spPr>
    </c:plotArea>
    <c:legend>
      <c:legendPos val="b"/>
      <c:layout>
        <c:manualLayout>
          <c:xMode val="edge"/>
          <c:yMode val="edge"/>
          <c:x val="0.78204483814523185"/>
          <c:y val="5.8771587706270716E-2"/>
          <c:w val="0.18591010498687663"/>
          <c:h val="8.235038703690540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09987A2-6DBE-45EE-AA78-8F2DD8812AE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1710</TotalTime>
  <Pages>8</Pages>
  <Words>3174</Words>
  <Characters>18097</Characters>
  <Application>Microsoft Office Word</Application>
  <DocSecurity>0</DocSecurity>
  <Lines>150</Lines>
  <Paragraphs>42</Paragraphs>
  <ScaleCrop>false</ScaleCrop>
  <Company>yjsb</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柑橘套袋中的幼果实例分割与果梗识别方法研究</dc:title>
  <dc:subject>研究生论文工作进程计划表</dc:subject>
  <dc:creator>石晓强</dc:creator>
  <cp:lastModifiedBy>晓强 石</cp:lastModifiedBy>
  <cp:revision>78</cp:revision>
  <cp:lastPrinted>2026-09-28T11:41:00Z</cp:lastPrinted>
  <dcterms:created xsi:type="dcterms:W3CDTF">2024-11-29T10:00:00Z</dcterms:created>
  <dcterms:modified xsi:type="dcterms:W3CDTF">2026-09-29T11:45:00Z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KSOProductBuildVer">
    <vt:lpwstr>2052-12.1.0.16120</vt:lpwstr>
  </property>
  <property fmtid="{D5CDD505-2E9C-101B-9397-08002B2CF9AE}" pid="6" name="ICV">
    <vt:lpwstr>129D91C52B8F489FBD577DD0ADCB7D78_12</vt:lpwstr>
  </property>
</Properties>
</file>