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mbeddings/Microsoft_Visio_Drawing.vsdx" ContentType="application/vnd.ms-visio.drawing"/>
  <Override PartName="/word/embeddings/Microsoft_Visio_Drawing1.vsdx" ContentType="application/vnd.ms-visio.drawing"/>
  <Override PartName="/word/embeddings/Microsoft_Visio_Drawing2.vsdx" ContentType="application/vnd.ms-visio.drawing"/>
  <Override PartName="/word/embeddings/Microsoft_Visio_Drawing3.vsdx" ContentType="application/vnd.ms-visio.drawing"/>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852E81" w14:textId="77777777" w:rsidR="00F6004E" w:rsidRDefault="00000000" w:rsidP="00F6004E">
      <w:pPr>
        <w:spacing w:beforeLines="300" w:before="936"/>
        <w:ind w:firstLine="1441"/>
        <w:jc w:val="center"/>
        <w:rPr>
          <w:rFonts w:ascii="华文行楷" w:eastAsia="华文行楷"/>
          <w:b/>
          <w:bCs/>
          <w:spacing w:val="40"/>
          <w:sz w:val="72"/>
          <w:szCs w:val="72"/>
        </w:rPr>
      </w:pPr>
      <w:r>
        <w:rPr>
          <w:rFonts w:ascii="华文行楷" w:eastAsia="华文行楷"/>
          <w:b/>
          <w:bCs/>
          <w:spacing w:val="40"/>
          <w:sz w:val="72"/>
          <w:szCs w:val="72"/>
        </w:rPr>
        <w:fldChar w:fldCharType="begin"/>
      </w:r>
      <w:r>
        <w:rPr>
          <w:rFonts w:ascii="华文行楷" w:eastAsia="华文行楷"/>
          <w:b/>
          <w:bCs/>
          <w:spacing w:val="40"/>
          <w:sz w:val="72"/>
          <w:szCs w:val="72"/>
        </w:rPr>
        <w:instrText xml:space="preserve"> MACROBUTTON MTEditEquationSection2 </w:instrText>
      </w:r>
      <w:r>
        <w:rPr>
          <w:rStyle w:val="MTEquationSection"/>
          <w:rFonts w:hint="eastAsia"/>
        </w:rPr>
        <w:instrText>公式章 1 节 1</w:instrText>
      </w:r>
      <w:r>
        <w:rPr>
          <w:rFonts w:ascii="华文行楷" w:eastAsia="华文行楷"/>
          <w:b/>
          <w:bCs/>
          <w:spacing w:val="40"/>
          <w:sz w:val="72"/>
          <w:szCs w:val="72"/>
        </w:rPr>
        <w:fldChar w:fldCharType="begin"/>
      </w:r>
      <w:r>
        <w:rPr>
          <w:rFonts w:ascii="华文行楷" w:eastAsia="华文行楷"/>
          <w:b/>
          <w:bCs/>
          <w:spacing w:val="40"/>
          <w:sz w:val="72"/>
          <w:szCs w:val="72"/>
        </w:rPr>
        <w:instrText xml:space="preserve"> </w:instrText>
      </w:r>
      <w:r>
        <w:rPr>
          <w:rFonts w:ascii="华文行楷" w:eastAsia="华文行楷" w:hint="eastAsia"/>
          <w:b/>
          <w:bCs/>
          <w:spacing w:val="40"/>
          <w:sz w:val="72"/>
          <w:szCs w:val="72"/>
        </w:rPr>
        <w:instrText>SEQ MTEqn \r \h \* MERGEFORMAT</w:instrText>
      </w:r>
      <w:r>
        <w:rPr>
          <w:rFonts w:ascii="华文行楷" w:eastAsia="华文行楷"/>
          <w:b/>
          <w:bCs/>
          <w:spacing w:val="40"/>
          <w:sz w:val="72"/>
          <w:szCs w:val="72"/>
        </w:rPr>
        <w:instrText xml:space="preserve"> </w:instrText>
      </w:r>
      <w:r>
        <w:rPr>
          <w:rFonts w:ascii="华文行楷" w:eastAsia="华文行楷"/>
          <w:b/>
          <w:bCs/>
          <w:spacing w:val="40"/>
          <w:sz w:val="72"/>
          <w:szCs w:val="72"/>
        </w:rPr>
        <w:fldChar w:fldCharType="end"/>
      </w:r>
      <w:r>
        <w:rPr>
          <w:rFonts w:ascii="华文行楷" w:eastAsia="华文行楷"/>
          <w:b/>
          <w:bCs/>
          <w:spacing w:val="40"/>
          <w:sz w:val="72"/>
          <w:szCs w:val="72"/>
        </w:rPr>
        <w:fldChar w:fldCharType="begin"/>
      </w:r>
      <w:r>
        <w:rPr>
          <w:rFonts w:ascii="华文行楷" w:eastAsia="华文行楷"/>
          <w:b/>
          <w:bCs/>
          <w:spacing w:val="40"/>
          <w:sz w:val="72"/>
          <w:szCs w:val="72"/>
        </w:rPr>
        <w:instrText xml:space="preserve"> SEQ MTSec \r 1 \h \* MERGEFORMAT </w:instrText>
      </w:r>
      <w:r>
        <w:rPr>
          <w:rFonts w:ascii="华文行楷" w:eastAsia="华文行楷"/>
          <w:b/>
          <w:bCs/>
          <w:spacing w:val="40"/>
          <w:sz w:val="72"/>
          <w:szCs w:val="72"/>
        </w:rPr>
        <w:fldChar w:fldCharType="end"/>
      </w:r>
      <w:r>
        <w:rPr>
          <w:rFonts w:ascii="华文行楷" w:eastAsia="华文行楷"/>
          <w:b/>
          <w:bCs/>
          <w:spacing w:val="40"/>
          <w:sz w:val="72"/>
          <w:szCs w:val="72"/>
        </w:rPr>
        <w:fldChar w:fldCharType="begin"/>
      </w:r>
      <w:r>
        <w:rPr>
          <w:rFonts w:ascii="华文行楷" w:eastAsia="华文行楷"/>
          <w:b/>
          <w:bCs/>
          <w:spacing w:val="40"/>
          <w:sz w:val="72"/>
          <w:szCs w:val="72"/>
        </w:rPr>
        <w:instrText xml:space="preserve"> SEQ MTChap \r 1 \h \* MERGEFORMAT </w:instrText>
      </w:r>
      <w:r>
        <w:rPr>
          <w:rFonts w:ascii="华文行楷" w:eastAsia="华文行楷"/>
          <w:b/>
          <w:bCs/>
          <w:spacing w:val="40"/>
          <w:sz w:val="72"/>
          <w:szCs w:val="72"/>
        </w:rPr>
        <w:fldChar w:fldCharType="end"/>
      </w:r>
      <w:r>
        <w:rPr>
          <w:rFonts w:ascii="华文行楷" w:eastAsia="华文行楷"/>
          <w:b/>
          <w:bCs/>
          <w:spacing w:val="40"/>
          <w:sz w:val="72"/>
          <w:szCs w:val="72"/>
        </w:rPr>
        <w:fldChar w:fldCharType="end"/>
      </w:r>
      <w:r w:rsidR="00F6004E">
        <w:rPr>
          <w:rFonts w:ascii="华文行楷" w:eastAsia="华文行楷" w:hint="eastAsia"/>
          <w:b/>
          <w:bCs/>
          <w:spacing w:val="40"/>
          <w:sz w:val="72"/>
          <w:szCs w:val="72"/>
        </w:rPr>
        <w:t>江 南 大 学</w:t>
      </w:r>
    </w:p>
    <w:p w14:paraId="4355E8E6" w14:textId="77777777" w:rsidR="00F6004E" w:rsidRDefault="00F6004E" w:rsidP="00F6004E">
      <w:pPr>
        <w:spacing w:afterLines="400" w:after="1248"/>
        <w:ind w:firstLine="1601"/>
        <w:jc w:val="center"/>
        <w:rPr>
          <w:b/>
          <w:bCs/>
          <w:spacing w:val="40"/>
          <w:sz w:val="72"/>
          <w:szCs w:val="72"/>
        </w:rPr>
      </w:pPr>
      <w:r>
        <w:rPr>
          <w:rFonts w:ascii="华文行楷" w:eastAsia="华文行楷" w:hint="eastAsia"/>
          <w:b/>
          <w:bCs/>
          <w:spacing w:val="40"/>
          <w:sz w:val="72"/>
          <w:szCs w:val="72"/>
        </w:rPr>
        <w:t>研究生论文开题报告</w:t>
      </w:r>
    </w:p>
    <w:tbl>
      <w:tblPr>
        <w:tblW w:w="0" w:type="auto"/>
        <w:jc w:val="center"/>
        <w:tblLook w:val="04A0" w:firstRow="1" w:lastRow="0" w:firstColumn="1" w:lastColumn="0" w:noHBand="0" w:noVBand="1"/>
      </w:tblPr>
      <w:tblGrid>
        <w:gridCol w:w="4286"/>
        <w:gridCol w:w="4785"/>
      </w:tblGrid>
      <w:tr w:rsidR="00F6004E" w14:paraId="6A94DE78" w14:textId="77777777" w:rsidTr="003154BD">
        <w:trPr>
          <w:trHeight w:val="818"/>
          <w:jc w:val="center"/>
        </w:trPr>
        <w:tc>
          <w:tcPr>
            <w:tcW w:w="1973" w:type="dxa"/>
            <w:vAlign w:val="bottom"/>
          </w:tcPr>
          <w:p w14:paraId="51D497D2" w14:textId="77777777" w:rsidR="00F6004E" w:rsidRDefault="00F6004E" w:rsidP="003154BD">
            <w:pPr>
              <w:ind w:left="105" w:firstLine="2643"/>
              <w:jc w:val="center"/>
              <w:rPr>
                <w:rFonts w:ascii="楷体_GB2312" w:eastAsia="楷体_GB2312"/>
                <w:b/>
                <w:sz w:val="32"/>
                <w:szCs w:val="32"/>
              </w:rPr>
            </w:pPr>
            <w:r>
              <w:rPr>
                <w:rFonts w:ascii="楷体_GB2312" w:eastAsia="楷体_GB2312" w:hint="eastAsia"/>
                <w:b/>
                <w:spacing w:val="500"/>
                <w:sz w:val="32"/>
                <w:szCs w:val="32"/>
              </w:rPr>
              <w:t>学</w:t>
            </w:r>
            <w:r>
              <w:rPr>
                <w:rFonts w:ascii="楷体_GB2312" w:eastAsia="楷体_GB2312" w:hint="eastAsia"/>
                <w:b/>
                <w:sz w:val="32"/>
                <w:szCs w:val="32"/>
              </w:rPr>
              <w:t>科</w:t>
            </w:r>
          </w:p>
        </w:tc>
        <w:tc>
          <w:tcPr>
            <w:tcW w:w="4953" w:type="dxa"/>
            <w:tcBorders>
              <w:bottom w:val="single" w:sz="4" w:space="0" w:color="auto"/>
            </w:tcBorders>
            <w:vAlign w:val="bottom"/>
          </w:tcPr>
          <w:p w14:paraId="63D12C14" w14:textId="77777777" w:rsidR="00F6004E" w:rsidRDefault="00F6004E" w:rsidP="003154BD">
            <w:pPr>
              <w:wordWrap w:val="0"/>
              <w:ind w:firstLine="643"/>
              <w:jc w:val="center"/>
              <w:rPr>
                <w:rFonts w:ascii="楷体_GB2312" w:eastAsia="楷体_GB2312"/>
                <w:b/>
                <w:sz w:val="32"/>
                <w:szCs w:val="32"/>
              </w:rPr>
            </w:pPr>
            <w:r>
              <w:rPr>
                <w:rFonts w:ascii="楷体_GB2312" w:eastAsia="楷体_GB2312" w:hint="eastAsia"/>
                <w:b/>
                <w:sz w:val="32"/>
                <w:szCs w:val="32"/>
              </w:rPr>
              <w:t>工科</w:t>
            </w:r>
          </w:p>
        </w:tc>
      </w:tr>
      <w:tr w:rsidR="00F6004E" w14:paraId="3716A6A0" w14:textId="77777777" w:rsidTr="003154BD">
        <w:trPr>
          <w:trHeight w:val="818"/>
          <w:jc w:val="center"/>
        </w:trPr>
        <w:tc>
          <w:tcPr>
            <w:tcW w:w="1973" w:type="dxa"/>
            <w:vAlign w:val="bottom"/>
          </w:tcPr>
          <w:p w14:paraId="6C278E50" w14:textId="77777777" w:rsidR="00F6004E" w:rsidRDefault="00F6004E" w:rsidP="003154BD">
            <w:pPr>
              <w:ind w:left="105" w:firstLine="2643"/>
              <w:jc w:val="center"/>
              <w:rPr>
                <w:rFonts w:ascii="楷体_GB2312" w:eastAsia="楷体_GB2312"/>
                <w:b/>
                <w:sz w:val="32"/>
                <w:szCs w:val="32"/>
              </w:rPr>
            </w:pPr>
            <w:r>
              <w:rPr>
                <w:rFonts w:ascii="楷体_GB2312" w:eastAsia="楷体_GB2312" w:hint="eastAsia"/>
                <w:b/>
                <w:spacing w:val="500"/>
                <w:sz w:val="32"/>
                <w:szCs w:val="32"/>
              </w:rPr>
              <w:t>专</w:t>
            </w:r>
            <w:r>
              <w:rPr>
                <w:rFonts w:ascii="楷体_GB2312" w:eastAsia="楷体_GB2312" w:hint="eastAsia"/>
                <w:b/>
                <w:sz w:val="32"/>
                <w:szCs w:val="32"/>
              </w:rPr>
              <w:t>业</w:t>
            </w:r>
          </w:p>
        </w:tc>
        <w:tc>
          <w:tcPr>
            <w:tcW w:w="4953" w:type="dxa"/>
            <w:tcBorders>
              <w:top w:val="single" w:sz="4" w:space="0" w:color="auto"/>
              <w:bottom w:val="single" w:sz="4" w:space="0" w:color="auto"/>
            </w:tcBorders>
            <w:vAlign w:val="bottom"/>
          </w:tcPr>
          <w:p w14:paraId="448B8268" w14:textId="18780E09" w:rsidR="00F6004E" w:rsidRDefault="00473A95" w:rsidP="003154BD">
            <w:pPr>
              <w:wordWrap w:val="0"/>
              <w:ind w:firstLine="643"/>
              <w:jc w:val="center"/>
              <w:rPr>
                <w:rFonts w:ascii="楷体_GB2312" w:eastAsia="楷体_GB2312"/>
                <w:b/>
                <w:sz w:val="32"/>
                <w:szCs w:val="32"/>
              </w:rPr>
            </w:pPr>
            <w:r>
              <w:rPr>
                <w:rFonts w:ascii="楷体_GB2312" w:eastAsia="楷体_GB2312" w:hint="eastAsia"/>
                <w:b/>
                <w:sz w:val="32"/>
                <w:szCs w:val="32"/>
              </w:rPr>
              <w:t>机械</w:t>
            </w:r>
            <w:r w:rsidR="00F6004E">
              <w:rPr>
                <w:rFonts w:ascii="楷体_GB2312" w:eastAsia="楷体_GB2312" w:hint="eastAsia"/>
                <w:b/>
                <w:sz w:val="32"/>
                <w:szCs w:val="32"/>
              </w:rPr>
              <w:t>工程</w:t>
            </w:r>
          </w:p>
        </w:tc>
      </w:tr>
      <w:tr w:rsidR="00F6004E" w14:paraId="5C433BAB" w14:textId="77777777" w:rsidTr="003154BD">
        <w:trPr>
          <w:trHeight w:val="818"/>
          <w:jc w:val="center"/>
        </w:trPr>
        <w:tc>
          <w:tcPr>
            <w:tcW w:w="1973" w:type="dxa"/>
            <w:vAlign w:val="bottom"/>
          </w:tcPr>
          <w:p w14:paraId="7B030F9A" w14:textId="77777777" w:rsidR="00F6004E" w:rsidRDefault="00F6004E" w:rsidP="003154BD">
            <w:pPr>
              <w:ind w:left="105" w:firstLine="883"/>
              <w:jc w:val="center"/>
              <w:rPr>
                <w:rFonts w:ascii="楷体_GB2312" w:eastAsia="楷体_GB2312"/>
                <w:b/>
                <w:sz w:val="32"/>
                <w:szCs w:val="32"/>
              </w:rPr>
            </w:pPr>
            <w:r>
              <w:rPr>
                <w:rFonts w:ascii="楷体_GB2312" w:eastAsia="楷体_GB2312" w:hint="eastAsia"/>
                <w:b/>
                <w:spacing w:val="60"/>
                <w:sz w:val="32"/>
                <w:szCs w:val="32"/>
              </w:rPr>
              <w:t>研究方</w:t>
            </w:r>
            <w:r>
              <w:rPr>
                <w:rFonts w:ascii="楷体_GB2312" w:eastAsia="楷体_GB2312" w:hint="eastAsia"/>
                <w:b/>
                <w:sz w:val="32"/>
                <w:szCs w:val="32"/>
              </w:rPr>
              <w:t>向</w:t>
            </w:r>
          </w:p>
        </w:tc>
        <w:tc>
          <w:tcPr>
            <w:tcW w:w="4953" w:type="dxa"/>
            <w:tcBorders>
              <w:top w:val="single" w:sz="4" w:space="0" w:color="auto"/>
              <w:bottom w:val="single" w:sz="4" w:space="0" w:color="auto"/>
            </w:tcBorders>
            <w:vAlign w:val="bottom"/>
          </w:tcPr>
          <w:p w14:paraId="3F7A9216" w14:textId="5179E148" w:rsidR="00F6004E" w:rsidRDefault="00F6004E" w:rsidP="003154BD">
            <w:pPr>
              <w:wordWrap w:val="0"/>
              <w:ind w:firstLine="643"/>
              <w:jc w:val="center"/>
              <w:rPr>
                <w:rFonts w:ascii="楷体_GB2312" w:eastAsia="楷体_GB2312"/>
                <w:b/>
                <w:sz w:val="32"/>
                <w:szCs w:val="32"/>
              </w:rPr>
            </w:pPr>
            <w:r>
              <w:rPr>
                <w:rFonts w:ascii="楷体_GB2312" w:eastAsia="楷体_GB2312" w:hint="eastAsia"/>
                <w:b/>
                <w:sz w:val="32"/>
                <w:szCs w:val="32"/>
              </w:rPr>
              <w:t>机器视觉</w:t>
            </w:r>
          </w:p>
        </w:tc>
      </w:tr>
      <w:tr w:rsidR="00F6004E" w14:paraId="128412CD" w14:textId="77777777" w:rsidTr="003154BD">
        <w:trPr>
          <w:trHeight w:val="818"/>
          <w:jc w:val="center"/>
        </w:trPr>
        <w:tc>
          <w:tcPr>
            <w:tcW w:w="1973" w:type="dxa"/>
            <w:vAlign w:val="bottom"/>
          </w:tcPr>
          <w:p w14:paraId="1A54FB9F" w14:textId="77777777" w:rsidR="00F6004E" w:rsidRDefault="00F6004E" w:rsidP="003154BD">
            <w:pPr>
              <w:ind w:left="105" w:firstLine="2643"/>
              <w:jc w:val="center"/>
              <w:rPr>
                <w:rFonts w:ascii="楷体_GB2312" w:eastAsia="楷体_GB2312"/>
                <w:b/>
                <w:sz w:val="32"/>
                <w:szCs w:val="32"/>
              </w:rPr>
            </w:pPr>
            <w:r>
              <w:rPr>
                <w:rFonts w:ascii="楷体_GB2312" w:eastAsia="楷体_GB2312" w:hint="eastAsia"/>
                <w:b/>
                <w:spacing w:val="500"/>
                <w:sz w:val="32"/>
                <w:szCs w:val="32"/>
              </w:rPr>
              <w:t>学</w:t>
            </w:r>
            <w:r>
              <w:rPr>
                <w:rFonts w:ascii="楷体_GB2312" w:eastAsia="楷体_GB2312" w:hint="eastAsia"/>
                <w:b/>
                <w:sz w:val="32"/>
                <w:szCs w:val="32"/>
              </w:rPr>
              <w:t>号</w:t>
            </w:r>
          </w:p>
        </w:tc>
        <w:tc>
          <w:tcPr>
            <w:tcW w:w="4953" w:type="dxa"/>
            <w:tcBorders>
              <w:top w:val="single" w:sz="4" w:space="0" w:color="auto"/>
              <w:bottom w:val="single" w:sz="4" w:space="0" w:color="auto"/>
            </w:tcBorders>
            <w:vAlign w:val="bottom"/>
          </w:tcPr>
          <w:p w14:paraId="4945B6D6" w14:textId="4CA608A3" w:rsidR="00F6004E" w:rsidRDefault="00473A95" w:rsidP="003154BD">
            <w:pPr>
              <w:wordWrap w:val="0"/>
              <w:ind w:firstLine="643"/>
              <w:jc w:val="center"/>
              <w:rPr>
                <w:rFonts w:ascii="楷体_GB2312" w:eastAsia="楷体_GB2312"/>
                <w:b/>
                <w:sz w:val="32"/>
                <w:szCs w:val="32"/>
              </w:rPr>
            </w:pPr>
            <w:r>
              <w:rPr>
                <w:rFonts w:ascii="楷体_GB2312" w:eastAsia="楷体_GB2312" w:hint="eastAsia"/>
                <w:b/>
                <w:sz w:val="32"/>
                <w:szCs w:val="32"/>
              </w:rPr>
              <w:t>6250809035</w:t>
            </w:r>
          </w:p>
        </w:tc>
      </w:tr>
      <w:tr w:rsidR="00F6004E" w14:paraId="51B75C73" w14:textId="77777777" w:rsidTr="003154BD">
        <w:trPr>
          <w:trHeight w:val="818"/>
          <w:jc w:val="center"/>
        </w:trPr>
        <w:tc>
          <w:tcPr>
            <w:tcW w:w="1973" w:type="dxa"/>
            <w:vAlign w:val="bottom"/>
          </w:tcPr>
          <w:p w14:paraId="6FD1FAE4" w14:textId="77777777" w:rsidR="00F6004E" w:rsidRDefault="00F6004E" w:rsidP="003154BD">
            <w:pPr>
              <w:ind w:left="105" w:firstLine="643"/>
              <w:jc w:val="center"/>
              <w:rPr>
                <w:rFonts w:ascii="楷体_GB2312" w:eastAsia="楷体_GB2312"/>
                <w:b/>
                <w:sz w:val="32"/>
                <w:szCs w:val="32"/>
              </w:rPr>
            </w:pPr>
            <w:r>
              <w:rPr>
                <w:rFonts w:ascii="楷体_GB2312" w:eastAsia="楷体_GB2312" w:hint="eastAsia"/>
                <w:b/>
                <w:sz w:val="32"/>
                <w:szCs w:val="32"/>
              </w:rPr>
              <w:t>研究生姓名</w:t>
            </w:r>
          </w:p>
        </w:tc>
        <w:tc>
          <w:tcPr>
            <w:tcW w:w="4953" w:type="dxa"/>
            <w:tcBorders>
              <w:top w:val="single" w:sz="4" w:space="0" w:color="auto"/>
              <w:bottom w:val="single" w:sz="4" w:space="0" w:color="auto"/>
            </w:tcBorders>
            <w:vAlign w:val="bottom"/>
          </w:tcPr>
          <w:p w14:paraId="6592F469" w14:textId="164173E9" w:rsidR="00F6004E" w:rsidRDefault="00473A95" w:rsidP="003154BD">
            <w:pPr>
              <w:wordWrap w:val="0"/>
              <w:ind w:firstLine="643"/>
              <w:jc w:val="center"/>
              <w:rPr>
                <w:rFonts w:ascii="楷体_GB2312" w:eastAsia="楷体_GB2312"/>
                <w:b/>
                <w:sz w:val="32"/>
                <w:szCs w:val="32"/>
              </w:rPr>
            </w:pPr>
            <w:r>
              <w:rPr>
                <w:rFonts w:ascii="楷体_GB2312" w:eastAsia="楷体_GB2312" w:hint="eastAsia"/>
                <w:b/>
                <w:sz w:val="32"/>
                <w:szCs w:val="32"/>
              </w:rPr>
              <w:t>石晓强</w:t>
            </w:r>
          </w:p>
        </w:tc>
      </w:tr>
      <w:tr w:rsidR="00F6004E" w14:paraId="1BE25ACD" w14:textId="77777777" w:rsidTr="003154BD">
        <w:trPr>
          <w:trHeight w:val="818"/>
          <w:jc w:val="center"/>
        </w:trPr>
        <w:tc>
          <w:tcPr>
            <w:tcW w:w="1973" w:type="dxa"/>
            <w:vAlign w:val="bottom"/>
          </w:tcPr>
          <w:p w14:paraId="02628EBC" w14:textId="77777777" w:rsidR="00F6004E" w:rsidRDefault="00F6004E" w:rsidP="003154BD">
            <w:pPr>
              <w:ind w:left="105" w:firstLine="883"/>
              <w:jc w:val="center"/>
              <w:rPr>
                <w:rFonts w:ascii="楷体_GB2312" w:eastAsia="楷体_GB2312"/>
                <w:b/>
                <w:sz w:val="32"/>
                <w:szCs w:val="32"/>
              </w:rPr>
            </w:pPr>
            <w:r>
              <w:rPr>
                <w:rFonts w:ascii="楷体_GB2312" w:eastAsia="楷体_GB2312" w:hint="eastAsia"/>
                <w:b/>
                <w:spacing w:val="60"/>
                <w:sz w:val="32"/>
                <w:szCs w:val="32"/>
              </w:rPr>
              <w:t>学位级</w:t>
            </w:r>
            <w:r>
              <w:rPr>
                <w:rFonts w:ascii="楷体_GB2312" w:eastAsia="楷体_GB2312" w:hint="eastAsia"/>
                <w:b/>
                <w:sz w:val="32"/>
                <w:szCs w:val="32"/>
              </w:rPr>
              <w:t>别</w:t>
            </w:r>
          </w:p>
        </w:tc>
        <w:tc>
          <w:tcPr>
            <w:tcW w:w="4953" w:type="dxa"/>
            <w:tcBorders>
              <w:top w:val="single" w:sz="4" w:space="0" w:color="auto"/>
              <w:bottom w:val="single" w:sz="4" w:space="0" w:color="auto"/>
            </w:tcBorders>
            <w:vAlign w:val="bottom"/>
          </w:tcPr>
          <w:p w14:paraId="1A0A6571" w14:textId="77777777" w:rsidR="00F6004E" w:rsidRDefault="00F6004E" w:rsidP="003154BD">
            <w:pPr>
              <w:wordWrap w:val="0"/>
              <w:ind w:firstLine="643"/>
              <w:jc w:val="center"/>
              <w:rPr>
                <w:rFonts w:ascii="楷体_GB2312" w:eastAsia="楷体_GB2312"/>
                <w:b/>
                <w:sz w:val="32"/>
                <w:szCs w:val="32"/>
              </w:rPr>
            </w:pPr>
            <w:r>
              <w:rPr>
                <w:rFonts w:ascii="楷体_GB2312" w:eastAsia="楷体_GB2312" w:hint="eastAsia"/>
                <w:b/>
                <w:sz w:val="32"/>
                <w:szCs w:val="32"/>
              </w:rPr>
              <w:t>硕士</w:t>
            </w:r>
          </w:p>
        </w:tc>
      </w:tr>
      <w:tr w:rsidR="00F6004E" w14:paraId="5D7AB556" w14:textId="77777777" w:rsidTr="003154BD">
        <w:trPr>
          <w:trHeight w:val="818"/>
          <w:jc w:val="center"/>
        </w:trPr>
        <w:tc>
          <w:tcPr>
            <w:tcW w:w="1973" w:type="dxa"/>
            <w:vAlign w:val="bottom"/>
          </w:tcPr>
          <w:p w14:paraId="55C21E2C" w14:textId="77777777" w:rsidR="00F6004E" w:rsidRDefault="00F6004E" w:rsidP="003154BD">
            <w:pPr>
              <w:ind w:left="105" w:firstLine="883"/>
              <w:jc w:val="center"/>
              <w:rPr>
                <w:rFonts w:ascii="楷体_GB2312" w:eastAsia="楷体_GB2312"/>
                <w:b/>
                <w:sz w:val="32"/>
                <w:szCs w:val="32"/>
              </w:rPr>
            </w:pPr>
            <w:r>
              <w:rPr>
                <w:rFonts w:ascii="楷体_GB2312" w:eastAsia="楷体_GB2312" w:hint="eastAsia"/>
                <w:b/>
                <w:spacing w:val="60"/>
                <w:sz w:val="32"/>
                <w:szCs w:val="32"/>
              </w:rPr>
              <w:t>导师姓</w:t>
            </w:r>
            <w:r>
              <w:rPr>
                <w:rFonts w:ascii="楷体_GB2312" w:eastAsia="楷体_GB2312" w:hint="eastAsia"/>
                <w:b/>
                <w:sz w:val="32"/>
                <w:szCs w:val="32"/>
              </w:rPr>
              <w:t>名</w:t>
            </w:r>
          </w:p>
        </w:tc>
        <w:tc>
          <w:tcPr>
            <w:tcW w:w="4953" w:type="dxa"/>
            <w:tcBorders>
              <w:top w:val="single" w:sz="4" w:space="0" w:color="auto"/>
              <w:bottom w:val="single" w:sz="4" w:space="0" w:color="auto"/>
            </w:tcBorders>
            <w:vAlign w:val="bottom"/>
          </w:tcPr>
          <w:p w14:paraId="130C6490" w14:textId="77777777" w:rsidR="00F6004E" w:rsidRDefault="00F6004E" w:rsidP="003154BD">
            <w:pPr>
              <w:wordWrap w:val="0"/>
              <w:ind w:firstLine="643"/>
              <w:jc w:val="center"/>
              <w:rPr>
                <w:rFonts w:ascii="楷体_GB2312" w:eastAsia="楷体_GB2312"/>
                <w:b/>
                <w:sz w:val="32"/>
                <w:szCs w:val="32"/>
              </w:rPr>
            </w:pPr>
            <w:proofErr w:type="gramStart"/>
            <w:r>
              <w:rPr>
                <w:rFonts w:ascii="楷体_GB2312" w:eastAsia="楷体_GB2312" w:hint="eastAsia"/>
                <w:b/>
                <w:sz w:val="32"/>
                <w:szCs w:val="32"/>
              </w:rPr>
              <w:t>化春键</w:t>
            </w:r>
            <w:proofErr w:type="gramEnd"/>
          </w:p>
        </w:tc>
      </w:tr>
    </w:tbl>
    <w:p w14:paraId="3E6FDDFE" w14:textId="27BCC9AC" w:rsidR="00D617A1" w:rsidRDefault="00000000" w:rsidP="00DC207C">
      <w:pPr>
        <w:spacing w:beforeLines="300" w:before="936"/>
        <w:ind w:firstLine="560"/>
        <w:jc w:val="center"/>
        <w:rPr>
          <w:rFonts w:ascii="华文行楷" w:eastAsia="华文行楷"/>
          <w:sz w:val="28"/>
        </w:rPr>
      </w:pPr>
      <w:r>
        <w:rPr>
          <w:rFonts w:ascii="华文行楷" w:eastAsia="华文行楷" w:hint="eastAsia"/>
          <w:sz w:val="28"/>
        </w:rPr>
        <w:t>填表日期     2026年    9月  27日</w:t>
      </w:r>
      <w:r w:rsidR="00473A95">
        <w:rPr>
          <w:rFonts w:ascii="华文行楷" w:eastAsia="华文行楷" w:hint="eastAsia"/>
          <w:sz w:val="28"/>
        </w:rPr>
      </w:r>
      <w:r>
        <w:rPr>
          <w:rFonts w:ascii="华文行楷" w:eastAsia="华文行楷" w:hint="eastAsia"/>
          <w:sz w:val="28"/>
        </w:rPr>
      </w:r>
      <w:r w:rsidR="00DC207C">
        <w:rPr>
          <w:rFonts w:ascii="华文行楷" w:eastAsia="华文行楷" w:hint="eastAsia"/>
          <w:sz w:val="28"/>
        </w:rPr>
      </w:r>
      <w:r>
        <w:rPr>
          <w:rFonts w:ascii="华文行楷" w:eastAsia="华文行楷" w:hint="eastAsia"/>
          <w:sz w:val="28"/>
        </w:rPr>
      </w:r>
    </w:p>
    <w:p w14:paraId="64A41BBC" w14:textId="77777777" w:rsidR="00D617A1" w:rsidRDefault="00000000">
      <w:pPr>
        <w:spacing w:beforeLines="800" w:before="2496" w:line="360" w:lineRule="auto"/>
        <w:ind w:firstLineChars="200" w:firstLine="420"/>
        <w:rPr>
          <w:rFonts w:ascii="楷体_GB2312" w:eastAsia="楷体_GB2312"/>
          <w:sz w:val="24"/>
        </w:rPr>
        <w:sectPr w:rsidR="00D617A1">
          <w:footerReference w:type="even" r:id="rId9"/>
          <w:pgSz w:w="11907" w:h="16840"/>
          <w:pgMar w:top="1418" w:right="1418" w:bottom="1134" w:left="1418" w:header="851" w:footer="992" w:gutter="0"/>
          <w:cols w:space="425"/>
          <w:docGrid w:type="lines" w:linePitch="312"/>
        </w:sectPr>
      </w:pPr>
      <w:r>
        <w:br w:type="page"/>
      </w:r>
      <w:r>
        <w:rPr>
          <w:rFonts w:ascii="楷体_GB2312" w:eastAsia="楷体_GB2312" w:hint="eastAsia"/>
          <w:sz w:val="24"/>
        </w:rPr>
        <w:lastRenderedPageBreak/>
        <w:t>注：此表为研究生在导师或指导小组的指导下，由研究生本人填写，经导师、教研室主任、院（系）分管研究生工作的负责人审阅后，报研究生院备案，非经同意不得改动。</w:t>
      </w:r>
    </w:p>
    <w:tbl>
      <w:tblPr>
        <w:tblW w:w="97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6"/>
        <w:gridCol w:w="6832"/>
      </w:tblGrid>
      <w:tr w:rsidR="00D617A1" w14:paraId="0D3623E8" w14:textId="77777777">
        <w:trPr>
          <w:trHeight w:val="607"/>
          <w:jc w:val="center"/>
        </w:trPr>
        <w:tc>
          <w:tcPr>
            <w:tcW w:w="2966" w:type="dxa"/>
            <w:tcBorders>
              <w:right w:val="single" w:sz="4" w:space="0" w:color="auto"/>
            </w:tcBorders>
            <w:vAlign w:val="center"/>
          </w:tcPr>
          <w:p w14:paraId="06C8D98F" w14:textId="77777777" w:rsidR="00D617A1" w:rsidRDefault="00000000">
            <w:pPr>
              <w:adjustRightInd w:val="0"/>
              <w:snapToGrid w:val="0"/>
              <w:ind w:firstLine="482"/>
              <w:jc w:val="center"/>
              <w:rPr>
                <w:rFonts w:ascii="楷体_GB2312" w:eastAsia="楷体_GB2312"/>
                <w:b/>
                <w:bCs/>
                <w:sz w:val="24"/>
              </w:rPr>
            </w:pPr>
            <w:r>
              <w:rPr>
                <w:rFonts w:ascii="楷体_GB2312" w:eastAsia="楷体_GB2312" w:hint="eastAsia"/>
                <w:b/>
                <w:bCs/>
                <w:sz w:val="24"/>
              </w:rPr>
              <w:lastRenderedPageBreak/>
              <w:t>论文题目</w:t>
            </w:r>
          </w:p>
        </w:tc>
        <w:tc>
          <w:tcPr>
            <w:tcW w:w="6832" w:type="dxa"/>
            <w:tcBorders>
              <w:left w:val="single" w:sz="4" w:space="0" w:color="auto"/>
            </w:tcBorders>
            <w:vAlign w:val="center"/>
          </w:tcPr>
          <w:p w14:paraId="624F09C1" w14:textId="3FE6D2EB" w:rsidR="00D617A1" w:rsidRDefault="00FD51B3">
            <w:pPr>
              <w:adjustRightInd w:val="0"/>
              <w:snapToGrid w:val="0"/>
              <w:ind w:firstLine="482"/>
              <w:jc w:val="center"/>
              <w:rPr>
                <w:rFonts w:ascii="楷体_GB2312" w:eastAsia="楷体_GB2312" w:hint="eastAsia"/>
                <w:b/>
                <w:sz w:val="24"/>
              </w:rPr>
            </w:pPr>
            <w:r>
              <w:rPr>
                <w:rFonts w:ascii="楷体_GB2312" w:eastAsia="楷体_GB2312" w:hint="eastAsia"/>
                <w:b/>
                <w:sz w:val="24"/>
              </w:rPr>
              <w:t>面向柑橘幼果套袋的实例分割与果梗连接点定位方法研究</w:t>
            </w:r>
          </w:p>
        </w:tc>
      </w:tr>
      <w:tr w:rsidR="00D617A1" w14:paraId="1F317002" w14:textId="77777777" w:rsidTr="007C2805">
        <w:trPr>
          <w:trHeight w:val="2394"/>
          <w:jc w:val="center"/>
        </w:trPr>
        <w:tc>
          <w:tcPr>
            <w:tcW w:w="9798" w:type="dxa"/>
            <w:gridSpan w:val="2"/>
            <w:vAlign w:val="center"/>
          </w:tcPr>
          <w:p w14:paraId="710C393F" w14:textId="77777777" w:rsidR="00D617A1" w:rsidRDefault="00000000">
            <w:pPr>
              <w:adjustRightInd w:val="0"/>
              <w:snapToGrid w:val="0"/>
              <w:spacing w:beforeLines="50" w:before="156" w:line="360" w:lineRule="auto"/>
              <w:rPr>
                <w:szCs w:val="21"/>
              </w:rPr>
            </w:pPr>
            <w:r>
              <w:rPr>
                <w:rFonts w:hint="eastAsia"/>
                <w:szCs w:val="21"/>
              </w:rPr>
              <w:t>本人已查阅过哪些科研资料及调研情况：</w:t>
            </w:r>
          </w:p>
          <w:p>
            <w:pPr>
              <w:spacing w:line="312" w:lineRule="auto" w:after="80"/>
              <w:ind w:firstLine="0"/>
              <w:jc w:val="left"/>
            </w:pPr>
            <w:r>
              <w:rPr>
                <w:rFonts w:ascii="Times New Roman" w:hAnsi="Times New Roman" w:eastAsia="宋体"/>
                <w:b w:val="0"/>
                <w:i w:val="0"/>
                <w:color w:val="000000"/>
                <w:sz w:val="24"/>
              </w:rPr>
              <w:t>科研资料：</w:t>
            </w:r>
          </w:p>
          <w:p>
            <w:pPr>
              <w:spacing w:line="276" w:lineRule="auto" w:after="40"/>
              <w:ind w:left="420" w:hanging="420"/>
            </w:pPr>
            <w:r>
              <w:rPr>
                <w:rFonts w:ascii="Times New Roman" w:hAnsi="Times New Roman" w:eastAsia="宋体"/>
                <w:b w:val="0"/>
                <w:i w:val="0"/>
                <w:color w:val="000000"/>
                <w:sz w:val="21"/>
              </w:rPr>
              <w:t>[1] BUTHELEZI N M D, MAFEO T P, MATHABA N. Preharvest bagging as an alternative technique for enhancing fruit quality: A review[J]. HortTechnology, 2021, 31(1): 4-13.</w:t>
            </w:r>
          </w:p>
          <w:p>
            <w:pPr>
              <w:spacing w:line="276" w:lineRule="auto" w:after="40"/>
              <w:ind w:left="420" w:hanging="420"/>
            </w:pPr>
            <w:r>
              <w:rPr>
                <w:rFonts w:ascii="Times New Roman" w:hAnsi="Times New Roman" w:eastAsia="宋体"/>
                <w:b w:val="0"/>
                <w:i w:val="0"/>
                <w:color w:val="000000"/>
                <w:sz w:val="21"/>
              </w:rPr>
              <w:t>[2] YANG H, GU F, WU F, et al. Production, use and recycling of fruit cultivating bags in China[J]. Sustainability, 2022, 14(21): 14144.</w:t>
            </w:r>
          </w:p>
          <w:p>
            <w:pPr>
              <w:spacing w:line="276" w:lineRule="auto" w:after="40"/>
              <w:ind w:left="420" w:hanging="420"/>
            </w:pPr>
            <w:r>
              <w:rPr>
                <w:rFonts w:ascii="Times New Roman" w:hAnsi="Times New Roman" w:eastAsia="宋体"/>
                <w:b w:val="0"/>
                <w:i w:val="0"/>
                <w:color w:val="000000"/>
                <w:sz w:val="21"/>
              </w:rPr>
              <w:t>[3] TENG C, CHEN Z, WU M, et al. Design and simulation of end effector for young-pear-bagging robot[J]. Processes, 2024, 12(2): 259.</w:t>
            </w:r>
          </w:p>
          <w:p>
            <w:pPr>
              <w:spacing w:line="276" w:lineRule="auto" w:after="40"/>
              <w:ind w:left="420" w:hanging="420"/>
            </w:pPr>
            <w:r>
              <w:rPr>
                <w:rFonts w:ascii="Times New Roman" w:hAnsi="Times New Roman" w:eastAsia="宋体"/>
                <w:b w:val="0"/>
                <w:i w:val="0"/>
                <w:color w:val="000000"/>
                <w:sz w:val="21"/>
              </w:rPr>
              <w:t>[4] GAO H, LIU Y, LI D, et al. Vision localization algorithms for apple bagging robot[C]//Proceedings of the 29th Chinese Control and Decision Conference (CCDC). Piscataway: IEEE, 2017: 135-140.</w:t>
            </w:r>
          </w:p>
          <w:p>
            <w:pPr>
              <w:spacing w:line="276" w:lineRule="auto" w:after="40"/>
              <w:ind w:left="420" w:hanging="420"/>
            </w:pPr>
            <w:r>
              <w:rPr>
                <w:rFonts w:ascii="Times New Roman" w:hAnsi="Times New Roman" w:eastAsia="宋体"/>
                <w:b w:val="0"/>
                <w:i w:val="0"/>
                <w:color w:val="000000"/>
                <w:sz w:val="21"/>
              </w:rPr>
              <w:t>[5] 吕强, 林刚, 蒋杰, 等. 基于改进YOLOv5s模型的自然场景中绿色柑橘果实检测[J]. 农业工程学报, 2024, 40(18): 147-154. DOI: 10.11975/j.issn.1002-6819.202404190.</w:t>
            </w:r>
          </w:p>
          <w:p>
            <w:pPr>
              <w:spacing w:line="276" w:lineRule="auto" w:after="40"/>
              <w:ind w:left="420" w:hanging="420"/>
            </w:pPr>
            <w:r>
              <w:rPr>
                <w:rFonts w:ascii="Times New Roman" w:hAnsi="Times New Roman" w:eastAsia="宋体"/>
                <w:b w:val="0"/>
                <w:i w:val="0"/>
                <w:color w:val="000000"/>
                <w:sz w:val="21"/>
              </w:rPr>
              <w:t>[6] 刘洁, 王一帆, 马京奥, 等. 基于Roofline理论的YOLOv8橙果识别模型轻量化改进[J]. 农业工程学报, 2025, 41(14): 182-191. DOI: 10.11975/j.issn.1002-6819.202411139.</w:t>
            </w:r>
          </w:p>
          <w:p>
            <w:pPr>
              <w:spacing w:line="276" w:lineRule="auto" w:after="40"/>
              <w:ind w:left="420" w:hanging="420"/>
            </w:pPr>
            <w:r>
              <w:rPr>
                <w:rFonts w:ascii="Times New Roman" w:hAnsi="Times New Roman" w:eastAsia="宋体"/>
                <w:b w:val="0"/>
                <w:i w:val="0"/>
                <w:color w:val="000000"/>
                <w:sz w:val="21"/>
              </w:rPr>
              <w:t>[7] JIA W, WEI J, ZHANG Q, et al. Accurate segmentation of green fruit based on optimized mask RCNN application in complex orchard[J]. Frontiers in Plant Science, 2022, 13: 955256. DOI: 10.3389/fpls.2022.955256.</w:t>
            </w:r>
          </w:p>
          <w:p>
            <w:pPr>
              <w:spacing w:line="276" w:lineRule="auto" w:after="40"/>
              <w:ind w:left="420" w:hanging="420"/>
            </w:pPr>
            <w:r>
              <w:rPr>
                <w:rFonts w:ascii="Times New Roman" w:hAnsi="Times New Roman" w:eastAsia="宋体"/>
                <w:b w:val="0"/>
                <w:i w:val="0"/>
                <w:color w:val="000000"/>
                <w:sz w:val="21"/>
              </w:rPr>
              <w:t>[8] JIA W, LIU J, LU Y, et al. Polar-Net: Green fruit instance segmentation in complex orchard environment[J]. Frontiers in Plant Science, 2022, 13: 1054007. DOI: 10.3389/fpls.2022.1054007.</w:t>
            </w:r>
          </w:p>
          <w:p>
            <w:pPr>
              <w:spacing w:line="276" w:lineRule="auto" w:after="40"/>
              <w:ind w:left="420" w:hanging="420"/>
            </w:pPr>
            <w:r>
              <w:rPr>
                <w:rFonts w:ascii="Times New Roman" w:hAnsi="Times New Roman" w:eastAsia="宋体"/>
                <w:b w:val="0"/>
                <w:i w:val="0"/>
                <w:color w:val="000000"/>
                <w:sz w:val="21"/>
              </w:rPr>
              <w:t>[9] SAPKOTA R, KARKEE M. Comparing YOLOv11 and YOLOv8 for instance segmentation of occluded and non-occluded immature green fruits in complex orchard environment[EB/OL]. arXiv:2410.19869 (2024-10-24)[2026-09-27]. https://arxiv.org/abs/2410.19869.</w:t>
            </w:r>
          </w:p>
          <w:p>
            <w:pPr>
              <w:spacing w:line="276" w:lineRule="auto" w:after="40"/>
              <w:ind w:left="420" w:hanging="420"/>
            </w:pPr>
            <w:r>
              <w:rPr>
                <w:rFonts w:ascii="Times New Roman" w:hAnsi="Times New Roman" w:eastAsia="宋体"/>
                <w:b w:val="0"/>
                <w:i w:val="0"/>
                <w:color w:val="000000"/>
                <w:sz w:val="21"/>
              </w:rPr>
              <w:t>[10] 梁云, 刘云帆, 林毅申, 等. 级联混合模型引导的实时柑橘采摘点定位方法[J]. 中国图象图形学报, 2024, 29(10): 3130-3143. DOI: 10.11834/jig.230755.</w:t>
            </w:r>
          </w:p>
          <w:p>
            <w:pPr>
              <w:spacing w:line="276" w:lineRule="auto" w:after="40"/>
              <w:ind w:left="420" w:hanging="420"/>
            </w:pPr>
            <w:r>
              <w:rPr>
                <w:rFonts w:ascii="Times New Roman" w:hAnsi="Times New Roman" w:eastAsia="宋体"/>
                <w:b w:val="0"/>
                <w:i w:val="0"/>
                <w:color w:val="000000"/>
                <w:sz w:val="21"/>
              </w:rPr>
              <w:t>[11] LIANG Y, JIANG W, LIU Y, et al. Picking-point localization algorithm for citrus fruits based on improved YOLOv8 model[J]. Agriculture, 2025, 15(3): 237. DOI: 10.3390/agriculture15030237.</w:t>
            </w:r>
          </w:p>
          <w:p>
            <w:pPr>
              <w:spacing w:line="276" w:lineRule="auto" w:after="40"/>
              <w:ind w:left="420" w:hanging="420"/>
            </w:pPr>
            <w:r>
              <w:rPr>
                <w:rFonts w:ascii="Times New Roman" w:hAnsi="Times New Roman" w:eastAsia="宋体"/>
                <w:b w:val="0"/>
                <w:i w:val="0"/>
                <w:color w:val="000000"/>
                <w:sz w:val="21"/>
              </w:rPr>
              <w:t>[12] LI H, YIN Z, ZUO Z, et al. Precision citrus segmentation and stem picking point localization using improved YOLOv8n-seg algorithm[J]. Frontiers in Plant Science, 2025, 16: 1655093. DOI: 10.3389/fpls.2025.1655093.</w:t>
            </w:r>
          </w:p>
          <w:p>
            <w:pPr>
              <w:spacing w:line="276" w:lineRule="auto" w:after="40"/>
              <w:ind w:left="420" w:hanging="420"/>
            </w:pPr>
            <w:r>
              <w:rPr>
                <w:rFonts w:ascii="Times New Roman" w:hAnsi="Times New Roman" w:eastAsia="宋体"/>
                <w:b w:val="0"/>
                <w:i w:val="0"/>
                <w:color w:val="000000"/>
                <w:sz w:val="21"/>
              </w:rPr>
              <w:t>[13] YE L, MA J, LV Y, et al. The YOLO-OBB-based approach for citrus fruit stem pose estimation and robot picking[J]. Agriculture, 2025, 15(22): 2330. DOI: 10.3390/agriculture15222330.</w:t>
            </w:r>
          </w:p>
          <w:p>
            <w:pPr>
              <w:spacing w:line="276" w:lineRule="auto" w:after="40"/>
              <w:ind w:left="420" w:hanging="420"/>
            </w:pPr>
            <w:r>
              <w:rPr>
                <w:rFonts w:ascii="Times New Roman" w:hAnsi="Times New Roman" w:eastAsia="宋体"/>
                <w:b w:val="0"/>
                <w:i w:val="0"/>
                <w:color w:val="000000"/>
                <w:sz w:val="21"/>
              </w:rPr>
              <w:t>[14] ZHUANG Y, ZHU J, LUO Z, et al. TSP-Net: A structure-aware and geometry-constrained network for cherry-tomato truss detection and picking-point localization in greenhouse harvesting[J]. Horticulturae, 2026, 12(9): 1099. DOI: 10.3390/horticulturae12091099.</w:t>
            </w:r>
          </w:p>
          <w:p>
            <w:pPr>
              <w:spacing w:line="276" w:lineRule="auto" w:after="40"/>
              <w:ind w:left="420" w:hanging="420"/>
            </w:pPr>
            <w:r>
              <w:rPr>
                <w:rFonts w:ascii="Times New Roman" w:hAnsi="Times New Roman" w:eastAsia="宋体"/>
                <w:b w:val="0"/>
                <w:i w:val="0"/>
                <w:color w:val="000000"/>
                <w:sz w:val="21"/>
              </w:rPr>
              <w:t>[15] HE K, GKIOXARI G, DOLLÁR P, et al. Mask R-CNN[C]//Proceedings of the IEEE International Conference on Computer Vision. Piscataway: IEEE, 2017: 2961-2969.</w:t>
            </w:r>
          </w:p>
          <w:p>
            <w:pPr>
              <w:spacing w:line="276" w:lineRule="auto" w:after="40"/>
              <w:ind w:left="420" w:hanging="420"/>
            </w:pPr>
            <w:r>
              <w:rPr>
                <w:rFonts w:ascii="Times New Roman" w:hAnsi="Times New Roman" w:eastAsia="宋体"/>
                <w:b w:val="0"/>
                <w:i w:val="0"/>
                <w:color w:val="000000"/>
                <w:sz w:val="21"/>
              </w:rPr>
              <w:t>[16] BOLYA D, ZHOU C, XIAO F, et al. YOLACT: Real-time instance segmentation[C]//Proceedings of the IEEE/CVF International Conference on Computer Vision. Piscataway: IEEE, 2019: 9157-9166.</w:t>
            </w:r>
          </w:p>
          <w:p>
            <w:pPr>
              <w:spacing w:line="276" w:lineRule="auto" w:after="40"/>
              <w:ind w:left="420" w:hanging="420"/>
            </w:pPr>
            <w:r>
              <w:rPr>
                <w:rFonts w:ascii="Times New Roman" w:hAnsi="Times New Roman" w:eastAsia="宋体"/>
                <w:b w:val="0"/>
                <w:i w:val="0"/>
                <w:color w:val="000000"/>
                <w:sz w:val="21"/>
              </w:rPr>
              <w:t>[17] WANG X, ZHANG R, KONG T, et al. SOLOv2: Dynamic and fast instance segmentation[C]//Advances in Neural Information Processing Systems 33. La Jolla: NeurIPS, 2020: 17721-17732.</w:t>
            </w:r>
          </w:p>
          <w:p>
            <w:pPr>
              <w:spacing w:line="276" w:lineRule="auto" w:after="40"/>
              <w:ind w:left="420" w:hanging="420"/>
            </w:pPr>
            <w:r>
              <w:rPr>
                <w:rFonts w:ascii="Times New Roman" w:hAnsi="Times New Roman" w:eastAsia="宋体"/>
                <w:b w:val="0"/>
                <w:i w:val="0"/>
                <w:color w:val="000000"/>
                <w:sz w:val="21"/>
              </w:rPr>
              <w:t>[18] LYU C, ZHANG W, HUANG H, et al. RTMDet: An empirical study of designing real-time object detectors[EB/OL]. arXiv:2212.07784 (2022-12-15)[2026-09-27]. https://arxiv.org/abs/2212.07784.</w:t>
            </w:r>
          </w:p>
          <w:p>
            <w:pPr>
              <w:spacing w:line="276" w:lineRule="auto" w:after="40"/>
              <w:ind w:left="420" w:hanging="420"/>
            </w:pPr>
            <w:r>
              <w:rPr>
                <w:rFonts w:ascii="Times New Roman" w:hAnsi="Times New Roman" w:eastAsia="宋体"/>
                <w:b w:val="0"/>
                <w:i w:val="0"/>
                <w:color w:val="000000"/>
                <w:sz w:val="21"/>
              </w:rPr>
              <w:t>[19] CHENG T, WANG X, CHEN S, et al. Sparse instance activation for real-time instance segmentation[C]//Proceedings of the IEEE/CVF Conference on Computer Vision and Pattern Recognition. Piscataway: IEEE, 2022: 4433-4442.</w:t>
            </w:r>
          </w:p>
          <w:p>
            <w:pPr>
              <w:spacing w:line="276" w:lineRule="auto" w:after="40"/>
              <w:ind w:left="420" w:hanging="420"/>
            </w:pPr>
            <w:r>
              <w:rPr>
                <w:rFonts w:ascii="Times New Roman" w:hAnsi="Times New Roman" w:eastAsia="宋体"/>
                <w:b w:val="0"/>
                <w:i w:val="0"/>
                <w:color w:val="000000"/>
                <w:sz w:val="21"/>
              </w:rPr>
              <w:t>[20] HE J, LI P, GENG Y, et al. FastInst: A simple query-based model for real-time instance segmentation[C]//Proceedings of the IEEE/CVF Conference on Computer Vision and Pattern Recognition. Piscataway: IEEE, 2023: 23663-23672.</w:t>
            </w:r>
          </w:p>
          <w:p>
            <w:pPr>
              <w:spacing w:line="276" w:lineRule="auto" w:after="40"/>
              <w:ind w:left="420" w:hanging="420"/>
            </w:pPr>
            <w:r>
              <w:rPr>
                <w:rFonts w:ascii="Times New Roman" w:hAnsi="Times New Roman" w:eastAsia="宋体"/>
                <w:b w:val="0"/>
                <w:i w:val="0"/>
                <w:color w:val="000000"/>
                <w:sz w:val="21"/>
              </w:rPr>
              <w:t>[21] CHENG B, MISRA I, SCHWING A G, et al. Masked-attention mask transformer for universal image segmentation[C]//Proceedings of the IEEE/CVF Conference on Computer Vision and Pattern Recognition. Piscataway: IEEE, 2022: 1290-1299.</w:t>
            </w:r>
          </w:p>
          <w:p>
            <w:pPr>
              <w:spacing w:line="276" w:lineRule="auto" w:after="40"/>
              <w:ind w:left="420" w:hanging="420"/>
            </w:pPr>
            <w:r>
              <w:rPr>
                <w:rFonts w:ascii="Times New Roman" w:hAnsi="Times New Roman" w:eastAsia="宋体"/>
                <w:b w:val="0"/>
                <w:i w:val="0"/>
                <w:color w:val="000000"/>
                <w:sz w:val="21"/>
              </w:rPr>
              <w:t>[22] AKYON F C, ALTINUC S O, TEMIZEL A. Slicing aided hyper inference and fine-tuning for small object detection[C]//Proceedings of the IEEE International Conference on Image Processing. Piscataway: IEEE, 2022: 966-970.</w:t>
            </w:r>
          </w:p>
          <w:p>
            <w:pPr>
              <w:spacing w:line="276" w:lineRule="auto" w:after="40"/>
              <w:ind w:left="420" w:hanging="420"/>
            </w:pPr>
            <w:r>
              <w:rPr>
                <w:rFonts w:ascii="Times New Roman" w:hAnsi="Times New Roman" w:eastAsia="宋体"/>
                <w:b w:val="0"/>
                <w:i w:val="0"/>
                <w:color w:val="000000"/>
                <w:sz w:val="21"/>
              </w:rPr>
              <w:t>[23] YANG C, HUANG Z, WANG N. QueryDet: Cascaded sparse query for accelerating high-resolution small object detection[C]//Proceedings of the IEEE/CVF Conference on Computer Vision and Pattern Recognition. Piscataway: IEEE, 2022: 13668-13677.</w:t>
            </w:r>
          </w:p>
          <w:p>
            <w:pPr>
              <w:spacing w:line="276" w:lineRule="auto" w:after="40"/>
              <w:ind w:left="420" w:hanging="420"/>
            </w:pPr>
            <w:r>
              <w:rPr>
                <w:rFonts w:ascii="Times New Roman" w:hAnsi="Times New Roman" w:eastAsia="宋体"/>
                <w:b w:val="0"/>
                <w:i w:val="0"/>
                <w:color w:val="000000"/>
                <w:sz w:val="21"/>
              </w:rPr>
              <w:t>[24] KIRILLOV A, WU Y, HE K, et al. PointRend: Image segmentation as rendering[C]//Proceedings of the IEEE/CVF Conference on Computer Vision and Pattern Recognition. Piscataway: IEEE, 2020: 9799-9808.</w:t>
            </w:r>
          </w:p>
          <w:p>
            <w:pPr>
              <w:spacing w:line="276" w:lineRule="auto" w:after="40"/>
              <w:ind w:left="420" w:hanging="420"/>
            </w:pPr>
            <w:r>
              <w:rPr>
                <w:rFonts w:ascii="Times New Roman" w:hAnsi="Times New Roman" w:eastAsia="宋体"/>
                <w:b w:val="0"/>
                <w:i w:val="0"/>
                <w:color w:val="000000"/>
                <w:sz w:val="21"/>
              </w:rPr>
              <w:t>[25] CHENG B, GIRSHICK R, DOLLÁR P, et al. Boundary IoU: Improving object-centric image segmentation evaluation[C]//Proceedings of the IEEE/CVF Conference on Computer Vision and Pattern Recognition. Piscataway: IEEE, 2021: 15334-15342.</w:t>
            </w:r>
          </w:p>
          <w:p>
            <w:pPr>
              <w:spacing w:line="276" w:lineRule="auto" w:after="40"/>
              <w:ind w:left="420" w:hanging="420"/>
            </w:pPr>
            <w:r>
              <w:rPr>
                <w:rFonts w:ascii="Times New Roman" w:hAnsi="Times New Roman" w:eastAsia="宋体"/>
                <w:b w:val="0"/>
                <w:i w:val="0"/>
                <w:color w:val="000000"/>
                <w:sz w:val="21"/>
              </w:rPr>
              <w:t>[26] RONNEBERGER O, FISCHER P, BROX T. U-Net: Convolutional networks for biomedical image segmentation[C]//Medical Image Computing and Computer-Assisted Intervention. Cham: Springer, 2015: 234-241.</w:t>
            </w:r>
          </w:p>
          <w:p>
            <w:pPr>
              <w:spacing w:line="276" w:lineRule="auto" w:after="40"/>
              <w:ind w:left="420" w:hanging="420"/>
            </w:pPr>
            <w:r>
              <w:rPr>
                <w:rFonts w:ascii="Times New Roman" w:hAnsi="Times New Roman" w:eastAsia="宋体"/>
                <w:b w:val="0"/>
                <w:i w:val="0"/>
                <w:color w:val="000000"/>
                <w:sz w:val="21"/>
              </w:rPr>
              <w:t>[27] SUN K, XIAO B, LIU D, et al. Deep high-resolution representation learning for human pose estimation[C]//Proceedings of the IEEE/CVF Conference on Computer Vision and Pattern Recognition. Piscataway: IEEE, 2019: 5693-5703.</w:t>
            </w:r>
          </w:p>
          <w:p>
            <w:pPr>
              <w:spacing w:line="276" w:lineRule="auto" w:after="40"/>
              <w:ind w:left="420" w:hanging="420"/>
            </w:pPr>
            <w:r>
              <w:rPr>
                <w:rFonts w:ascii="Times New Roman" w:hAnsi="Times New Roman" w:eastAsia="宋体"/>
                <w:b w:val="0"/>
                <w:i w:val="0"/>
                <w:color w:val="000000"/>
                <w:sz w:val="21"/>
              </w:rPr>
              <w:t>[28] LI Y, YANG S, LIU P, et al. SimCC: A simple coordinate classification perspective for human pose estimation[C]//European Conference on Computer Vision. Cham: Springer, 2022: 89-106.</w:t>
            </w:r>
          </w:p>
          <w:p>
            <w:pPr>
              <w:spacing w:line="276" w:lineRule="auto" w:after="40"/>
              <w:ind w:left="420" w:hanging="420"/>
            </w:pPr>
            <w:r>
              <w:rPr>
                <w:rFonts w:ascii="Times New Roman" w:hAnsi="Times New Roman" w:eastAsia="宋体"/>
                <w:b w:val="0"/>
                <w:i w:val="0"/>
                <w:color w:val="000000"/>
                <w:sz w:val="21"/>
              </w:rPr>
              <w:t>[29] JIANG T, LU P, ZHANG L, et al. RTMPose: Real-time multi-person pose estimation based on MMPose[EB/OL]. arXiv:2303.07399 (2023-03-13)[2026-09-27]. https://arxiv.org/abs/2303.07399.</w:t>
            </w:r>
          </w:p>
          <w:p>
            <w:pPr>
              <w:spacing w:line="276" w:lineRule="auto" w:after="40"/>
              <w:ind w:left="420" w:hanging="420"/>
            </w:pPr>
            <w:r>
              <w:rPr>
                <w:rFonts w:ascii="Times New Roman" w:hAnsi="Times New Roman" w:eastAsia="宋体"/>
                <w:b w:val="0"/>
                <w:i w:val="0"/>
                <w:color w:val="000000"/>
                <w:sz w:val="21"/>
              </w:rPr>
              <w:t>[30] LI J, BIAN S, ZENG A, et al. Human pose regression with residual log-likelihood estimation[C]//Proceedings of the IEEE/CVF International Conference on Computer Vision. Piscataway: IEEE, 2021: 11025-11034.</w:t>
            </w:r>
          </w:p>
          <w:p>
            <w:pPr>
              <w:spacing w:line="276" w:lineRule="auto" w:after="40"/>
              <w:ind w:left="420" w:hanging="420"/>
            </w:pPr>
            <w:r>
              <w:rPr>
                <w:rFonts w:ascii="Times New Roman" w:hAnsi="Times New Roman" w:eastAsia="宋体"/>
                <w:b w:val="0"/>
                <w:i w:val="0"/>
                <w:color w:val="000000"/>
                <w:sz w:val="21"/>
              </w:rPr>
              <w:t>[31] BOLYA D, FOLEY S, HAYS J, et al. TIDE: A general toolbox for identifying object detection errors[C]//European Conference on Computer Vision. Cham: Springer, 2020: 558-573.</w:t>
            </w:r>
          </w:p>
          <w:p>
            <w:pPr>
              <w:spacing w:line="276" w:lineRule="auto" w:after="40"/>
              <w:ind w:left="420" w:hanging="420"/>
            </w:pPr>
            <w:r>
              <w:rPr>
                <w:rFonts w:ascii="Times New Roman" w:hAnsi="Times New Roman" w:eastAsia="宋体"/>
                <w:b w:val="0"/>
                <w:i w:val="0"/>
                <w:color w:val="000000"/>
                <w:sz w:val="21"/>
              </w:rPr>
              <w:t>[32] JOCHER G, CHAURASIA A, QIU J. Ultralytics YOLO[CP/OL]. (2023-01-10)[2026-09-27]. https://github.com/ultralytics/ultralytics.</w:t>
            </w:r>
          </w:p>
          <w:p>
            <w:pPr>
              <w:spacing w:line="276" w:lineRule="auto" w:after="40"/>
              <w:ind w:left="420" w:hanging="420"/>
            </w:pPr>
            <w:r>
              <w:rPr>
                <w:rFonts w:ascii="Times New Roman" w:hAnsi="Times New Roman" w:eastAsia="宋体"/>
                <w:b w:val="0"/>
                <w:i w:val="0"/>
                <w:color w:val="000000"/>
                <w:sz w:val="21"/>
              </w:rPr>
              <w:t>[33] ROBINSON I, ROBICHEAUX P, POPOV M, et al. RF-DETR: Neural architecture search for real-time detection transformers[J]. arXiv preprint arXiv:2511.09554, 2025.</w:t>
            </w:r>
          </w:p>
          <w:p>
            <w:pPr>
              <w:spacing w:line="276" w:lineRule="auto" w:after="40"/>
              <w:ind w:left="420" w:hanging="420"/>
            </w:pPr>
            <w:r>
              <w:rPr>
                <w:rFonts w:ascii="Times New Roman" w:hAnsi="Times New Roman" w:eastAsia="宋体"/>
                <w:b w:val="0"/>
                <w:i w:val="0"/>
                <w:color w:val="000000"/>
                <w:sz w:val="21"/>
              </w:rPr>
              <w:t>[34] LI X, SHI J, WANG C, et al. An improved YOLO11n-Seg method for RGB-based orange fruit instance segmentation toward clean ROI extraction for HSI-assisted observation[J]. AgriEngineering, 2026, 8(5): 198. DOI: 10.3390/agriengineering8050198.</w:t>
            </w:r>
          </w:p>
          <w:p>
            <w:pPr>
              <w:spacing w:line="276" w:lineRule="auto" w:after="40"/>
              <w:ind w:left="420" w:hanging="420"/>
            </w:pPr>
            <w:r>
              <w:rPr>
                <w:rFonts w:ascii="Times New Roman" w:hAnsi="Times New Roman" w:eastAsia="宋体"/>
                <w:b w:val="0"/>
                <w:i w:val="0"/>
                <w:color w:val="000000"/>
                <w:sz w:val="21"/>
              </w:rPr>
              <w:t>[35] ZHANG D, CHU H. Citrus instance segmentation and yield prediction based on parallel multiscale channel enhanced[J]. Scientia Horticulturae, 2026, 363: 114895. DOI: 10.1016/j.scienta.2026.114895.</w:t>
            </w:r>
          </w:p>
          <w:p>
            <w:pPr>
              <w:spacing w:line="276" w:lineRule="auto" w:after="40"/>
              <w:ind w:left="420" w:hanging="420"/>
            </w:pPr>
            <w:r>
              <w:rPr>
                <w:rFonts w:ascii="Times New Roman" w:hAnsi="Times New Roman" w:eastAsia="宋体"/>
                <w:b w:val="0"/>
                <w:i w:val="0"/>
                <w:color w:val="000000"/>
                <w:sz w:val="21"/>
              </w:rPr>
              <w:t>[36] SHI J, CHEN G, CHEN Y. Enhanced boundary perception and streamlined instance segmentation[J]. Scientific Reports, 2025, 15: 23612. DOI: 10.1038/s41598-025-09139-z.</w:t>
            </w:r>
          </w:p>
          <w:p>
            <w:pPr>
              <w:spacing w:line="312" w:lineRule="auto" w:after="80"/>
              <w:ind w:firstLine="0"/>
              <w:jc w:val="left"/>
            </w:pPr>
            <w:r>
              <w:rPr>
                <w:rFonts w:ascii="Times New Roman" w:hAnsi="Times New Roman" w:eastAsia="宋体"/>
                <w:b w:val="0"/>
                <w:i w:val="0"/>
                <w:color w:val="000000"/>
                <w:sz w:val="24"/>
              </w:rPr>
              <w:t>调研情况：</w:t>
            </w:r>
          </w:p>
          <w:p>
            <w:pPr>
              <w:spacing w:line="312" w:lineRule="auto" w:before="100" w:after="100"/>
              <w:ind w:firstLine="0"/>
              <w:jc w:val="left"/>
            </w:pPr>
            <w:r>
              <w:rPr>
                <w:rFonts w:ascii="Times New Roman" w:hAnsi="Times New Roman" w:eastAsia="宋体"/>
                <w:b/>
                <w:i w:val="0"/>
                <w:color w:val="000000"/>
                <w:sz w:val="24"/>
              </w:rPr>
              <w:t>一 研究背景与作业需求</w:t>
            </w:r>
          </w:p>
          <w:p>
            <w:pPr>
              <w:spacing w:line="312" w:lineRule="auto" w:after="80"/>
              <w:ind w:firstLine="480"/>
              <w:jc w:val="both"/>
            </w:pPr>
            <w:r>
              <w:rPr>
                <w:rFonts w:ascii="Times New Roman" w:hAnsi="Times New Roman" w:eastAsia="宋体"/>
                <w:b w:val="0"/>
                <w:i w:val="0"/>
                <w:color w:val="000000"/>
                <w:sz w:val="24"/>
              </w:rPr>
              <w:t>果实套袋是在生长期用果袋隔开果实与外界环境的管理措施，可减少部分病虫侵害和果面损伤，并影响果实外观</w:t>
            </w:r>
            <w:r>
              <w:rPr>
                <w:rFonts w:ascii="Times New Roman" w:hAnsi="Times New Roman" w:eastAsia="宋体"/>
                <w:b w:val="0"/>
                <w:i w:val="0"/>
                <w:color w:val="000000"/>
                <w:sz w:val="19"/>
                <w:vertAlign w:val="superscript"/>
              </w:rPr>
              <w:t>[1-2]</w:t>
            </w:r>
            <w:r>
              <w:rPr>
                <w:rFonts w:ascii="Times New Roman" w:hAnsi="Times New Roman" w:eastAsia="宋体"/>
                <w:b w:val="0"/>
                <w:i w:val="0"/>
                <w:color w:val="000000"/>
                <w:sz w:val="24"/>
              </w:rPr>
              <w:t>。它的效果取决于品种、袋材、作业时期和当地环境，不能把某一种果树的经验直接搬到另一种果树上。本课题选择有套袋需求的绿色未成熟柑橘，研究作业前端的视觉感知；具体套袋窗口仍以当地农艺要求为准。</w:t>
            </w:r>
          </w:p>
          <w:p>
            <w:pPr>
              <w:spacing w:line="312" w:lineRule="auto" w:after="80"/>
              <w:ind w:firstLine="480"/>
              <w:jc w:val="both"/>
            </w:pPr>
            <w:r>
              <w:rPr>
                <w:rFonts w:ascii="Times New Roman" w:hAnsi="Times New Roman" w:eastAsia="宋体"/>
                <w:b w:val="0"/>
                <w:i w:val="0"/>
                <w:color w:val="000000"/>
                <w:sz w:val="24"/>
              </w:rPr>
              <w:t>人工套袋时，作业者要先从枝叶间找到果实，再撑开果袋、套入果实，并在连接区域附近收拢固定。前两步看似简单，遇到同色叶片、贴在一起的幼果和细枝遮挡，就很容易认错对象或看不清连接处。梨幼果套袋末端执行器已有开袋、收袋及扎口机构的设计与仿真，苹果套袋也已有视觉定位研究</w:t>
            </w:r>
            <w:r>
              <w:rPr>
                <w:rFonts w:ascii="Times New Roman" w:hAnsi="Times New Roman" w:eastAsia="宋体"/>
                <w:b w:val="0"/>
                <w:i w:val="0"/>
                <w:color w:val="000000"/>
                <w:sz w:val="19"/>
                <w:vertAlign w:val="superscript"/>
              </w:rPr>
              <w:t>[3-4]</w:t>
            </w:r>
            <w:r>
              <w:rPr>
                <w:rFonts w:ascii="Times New Roman" w:hAnsi="Times New Roman" w:eastAsia="宋体"/>
                <w:b w:val="0"/>
                <w:i w:val="0"/>
                <w:color w:val="000000"/>
                <w:sz w:val="24"/>
              </w:rPr>
              <w:t>。这些工作为自动化作业提供了基础，同时说明视觉端需要把目标果实和局部连接信息交代清楚。视觉准确并不等于整机一定套袋成功，两者应分开评价。</w:t>
            </w:r>
          </w:p>
          <w:p>
            <w:pPr>
              <w:spacing w:line="312" w:lineRule="auto" w:after="80"/>
              <w:ind w:firstLine="480"/>
              <w:jc w:val="both"/>
            </w:pPr>
            <w:r>
              <w:rPr>
                <w:rFonts w:ascii="Times New Roman" w:hAnsi="Times New Roman" w:eastAsia="宋体"/>
                <w:b w:val="0"/>
                <w:i w:val="0"/>
                <w:color w:val="000000"/>
                <w:sz w:val="24"/>
              </w:rPr>
              <w:t>由此，本研究把视觉任务接成两步：先在整幅图像中分清每一个目标果实，得到它实际可见的果面；再围绕指定果实寻找果梗与果体的连接位置，并判断该位置是否真的看得清。第一步解决“是哪一个果实”，第二步解决“连接处在哪里、能否可靠给出坐标”。两步既有分工，也有依赖关系：上游把邻果认错，下游即使点位很准，也可能落在错误的果实上。图1概括了这条感知链。</w:t>
            </w:r>
          </w:p>
          <w:p>
            <w:pPr>
              <w:spacing w:before="120" w:after="40" w:line="240" w:lineRule="auto"/>
              <w:ind w:firstLine="0"/>
              <w:jc w:val="center"/>
            </w:pPr>
            <w:r>
              <w:drawing>
                <wp:inline xmlns:a="http://schemas.openxmlformats.org/drawingml/2006/main" xmlns:pic="http://schemas.openxmlformats.org/drawingml/2006/picture">
                  <wp:extent cx="5220000" cy="2755000"/>
                  <wp:docPr id="2133873087" name="Picture 2133873087"/>
                  <wp:cNvGraphicFramePr>
                    <a:graphicFrameLocks noChangeAspect="1"/>
                  </wp:cNvGraphicFramePr>
                  <a:graphic>
                    <a:graphicData uri="http://schemas.openxmlformats.org/drawingml/2006/picture">
                      <pic:pic>
                        <pic:nvPicPr>
                          <pic:cNvPr id="0" name="fig01_scope.png"/>
                          <pic:cNvPicPr/>
                        </pic:nvPicPr>
                        <pic:blipFill>
                          <a:blip r:embed="rId96"/>
                          <a:stretch>
                            <a:fillRect/>
                          </a:stretch>
                        </pic:blipFill>
                        <pic:spPr>
                          <a:xfrm>
                            <a:off x="0" y="0"/>
                            <a:ext cx="5220000" cy="2755000"/>
                          </a:xfrm>
                          <a:prstGeom prst="rect"/>
                        </pic:spPr>
                      </pic:pic>
                    </a:graphicData>
                  </a:graphic>
                </wp:inline>
              </w:drawing>
            </w:r>
          </w:p>
          <w:p>
            <w:pPr>
              <w:spacing w:after="160" w:line="276" w:lineRule="auto"/>
              <w:ind w:firstLine="0"/>
              <w:jc w:val="center"/>
            </w:pPr>
            <w:r>
              <w:rPr>
                <w:rFonts w:ascii="Times New Roman" w:hAnsi="Times New Roman" w:eastAsia="宋体"/>
                <w:b w:val="0"/>
                <w:i w:val="0"/>
                <w:color w:val="000000"/>
                <w:sz w:val="21"/>
              </w:rPr>
              <w:t>图1 套袋作业需求与本课题研究范围示意</w:t>
            </w:r>
          </w:p>
          <w:p>
            <w:pPr>
              <w:spacing w:line="312" w:lineRule="auto" w:after="80"/>
              <w:ind w:firstLine="480"/>
              <w:jc w:val="both"/>
            </w:pPr>
            <w:r>
              <w:rPr>
                <w:rFonts w:ascii="Times New Roman" w:hAnsi="Times New Roman" w:eastAsia="宋体"/>
                <w:b w:val="0"/>
                <w:i w:val="0"/>
                <w:color w:val="000000"/>
                <w:sz w:val="24"/>
              </w:rPr>
              <w:t>本课题所说的果梗连接点，是果梗进入目标果体的连接区域在二维图像中的代表位置。连接区清晰时取其中部；呈窄带时，按统一规则取中心线与果体轮廓的交接处。这个点与采摘时预留果梗长度的切割点不同，也不能直接充当袋口扎口位置：后两者还取决于三维结构、袋口尺寸和执行机构。本课题交付逐果可见掩膜、二维连接点及其可定位状态，为后续作业设计提供视觉依据。</w:t>
            </w:r>
          </w:p>
          <w:p>
            <w:pPr>
              <w:spacing w:line="312" w:lineRule="auto" w:before="100" w:after="100"/>
              <w:ind w:firstLine="0"/>
              <w:jc w:val="left"/>
            </w:pPr>
            <w:r>
              <w:rPr>
                <w:rFonts w:ascii="Times New Roman" w:hAnsi="Times New Roman" w:eastAsia="宋体"/>
                <w:b/>
                <w:i w:val="0"/>
                <w:color w:val="000000"/>
                <w:sz w:val="24"/>
              </w:rPr>
              <w:t>二 现有识别方式与本课题的任务选择</w:t>
            </w:r>
          </w:p>
          <w:p>
            <w:pPr>
              <w:spacing w:line="312" w:lineRule="auto" w:after="80"/>
              <w:ind w:firstLine="480"/>
              <w:jc w:val="both"/>
            </w:pPr>
            <w:r>
              <w:rPr>
                <w:rFonts w:ascii="Times New Roman" w:hAnsi="Times New Roman" w:eastAsia="宋体"/>
                <w:b w:val="0"/>
                <w:i w:val="0"/>
                <w:color w:val="000000"/>
                <w:sz w:val="24"/>
              </w:rPr>
              <w:t>用颜色阈值、纹理和形态学规则找果实，流程直观、计算量也小；但柑橘幼果和叶片颜色接近，换一个光照方向或背景，固定阈值就可能失效。深度学习方法已用于自然场景的绿色柑橘识别</w:t>
            </w:r>
            <w:r>
              <w:rPr>
                <w:rFonts w:ascii="Times New Roman" w:hAnsi="Times New Roman" w:eastAsia="宋体"/>
                <w:b w:val="0"/>
                <w:i w:val="0"/>
                <w:color w:val="000000"/>
                <w:sz w:val="19"/>
                <w:vertAlign w:val="superscript"/>
              </w:rPr>
              <w:t>[5]</w:t>
            </w:r>
            <w:r>
              <w:rPr>
                <w:rFonts w:ascii="Times New Roman" w:hAnsi="Times New Roman" w:eastAsia="宋体"/>
                <w:b w:val="0"/>
                <w:i w:val="0"/>
                <w:color w:val="000000"/>
                <w:sz w:val="24"/>
              </w:rPr>
              <w:t>，不过网络更新并不会自动解决小果、遮挡和标注误差。本研究关注的是模型在这些具体场景下能否稳定工作，以及为此付出多少计算代价。</w:t>
            </w:r>
          </w:p>
          <w:p>
            <w:pPr>
              <w:spacing w:line="312" w:lineRule="auto" w:after="80"/>
              <w:ind w:firstLine="480"/>
              <w:jc w:val="both"/>
            </w:pPr>
            <w:r>
              <w:rPr>
                <w:rFonts w:ascii="Times New Roman" w:hAnsi="Times New Roman" w:eastAsia="宋体"/>
                <w:b w:val="0"/>
                <w:i w:val="0"/>
                <w:color w:val="000000"/>
                <w:sz w:val="24"/>
              </w:rPr>
              <w:t>检测框能较快指出果实大致位置，却会把框内叶片、细枝和邻果一并包进来，无法给出被遮挡后的真实可见轮廓。语义分割能分开果实和背景，但两颗贴在一起的果实仍可能连成一片。实例分割同时给出每颗果实的编号和可见像素范围，更适合作为单果连接点定位的输入。为判断这一选择是否值得增加的计算成本，研究还将设置U-Net加标记控制分水岭的辅助对照，并分别报告语义和实例指标。</w:t>
            </w:r>
          </w:p>
          <w:p>
            <w:pPr>
              <w:spacing w:line="312" w:lineRule="auto" w:after="80"/>
              <w:ind w:firstLine="480"/>
              <w:jc w:val="both"/>
            </w:pPr>
            <w:r>
              <w:rPr>
                <w:rFonts w:ascii="Times New Roman" w:hAnsi="Times New Roman" w:eastAsia="宋体"/>
                <w:b w:val="0"/>
                <w:i w:val="0"/>
                <w:color w:val="000000"/>
                <w:sz w:val="24"/>
              </w:rPr>
              <w:t>对现有样本的检查表明，困难常常叠在同一幅图中：近处果实很大，远处幼果缩放后只剩十几个像素；一片叶子横穿果面，留下深凹甚至分离的可见区域；两颗邻果之间的窄缝又会在下采样中消失。若一味补圆轮廓，叶片会被算进果实；若一味强调分离，被遮挡的同一果实又可能被切成两个实例。模型需要学会区分这两种情况。</w:t>
            </w:r>
          </w:p>
          <w:p>
            <w:pPr>
              <w:spacing w:before="120" w:after="40" w:line="240" w:lineRule="auto"/>
              <w:ind w:firstLine="0"/>
              <w:jc w:val="center"/>
            </w:pPr>
            <w:r>
              <w:drawing>
                <wp:inline xmlns:a="http://schemas.openxmlformats.org/drawingml/2006/main" xmlns:pic="http://schemas.openxmlformats.org/drawingml/2006/picture">
                  <wp:extent cx="5220000" cy="2247500"/>
                  <wp:docPr id="2133873088" name="Picture 2133873088"/>
                  <wp:cNvGraphicFramePr>
                    <a:graphicFrameLocks noChangeAspect="1"/>
                  </wp:cNvGraphicFramePr>
                  <a:graphic>
                    <a:graphicData uri="http://schemas.openxmlformats.org/drawingml/2006/picture">
                      <pic:pic>
                        <pic:nvPicPr>
                          <pic:cNvPr id="0" name="fig02_samples.png"/>
                          <pic:cNvPicPr/>
                        </pic:nvPicPr>
                        <pic:blipFill>
                          <a:blip r:embed="rId97"/>
                          <a:stretch>
                            <a:fillRect/>
                          </a:stretch>
                        </pic:blipFill>
                        <pic:spPr>
                          <a:xfrm>
                            <a:off x="0" y="0"/>
                            <a:ext cx="5220000" cy="2247500"/>
                          </a:xfrm>
                          <a:prstGeom prst="rect"/>
                        </pic:spPr>
                      </pic:pic>
                    </a:graphicData>
                  </a:graphic>
                </wp:inline>
              </w:drawing>
            </w:r>
          </w:p>
          <w:p>
            <w:pPr>
              <w:spacing w:after="160" w:line="276" w:lineRule="auto"/>
              <w:ind w:firstLine="0"/>
              <w:jc w:val="center"/>
            </w:pPr>
            <w:r>
              <w:rPr>
                <w:rFonts w:ascii="Times New Roman" w:hAnsi="Times New Roman" w:eastAsia="宋体"/>
                <w:b w:val="0"/>
                <w:i w:val="0"/>
                <w:color w:val="000000"/>
                <w:sz w:val="21"/>
              </w:rPr>
              <w:t>图2 正式数据中的场景样例及人工可见实例标注</w:t>
            </w:r>
          </w:p>
          <w:p>
            <w:pPr>
              <w:spacing w:line="312" w:lineRule="auto" w:after="80"/>
              <w:ind w:firstLine="480"/>
              <w:jc w:val="both"/>
            </w:pPr>
            <w:r>
              <w:rPr>
                <w:rFonts w:ascii="Times New Roman" w:hAnsi="Times New Roman" w:eastAsia="宋体"/>
                <w:b w:val="0"/>
                <w:i w:val="0"/>
                <w:color w:val="000000"/>
                <w:sz w:val="24"/>
              </w:rPr>
              <w:t>图2把实拍图像与人工标注叠加在一起，展示本研究实际要处理的果实形态。叶片横穿果面时，标签只覆盖真实可见的果面；即使果实大致呈圆形，也不能把叶片后面看不见的区域补进掩膜。对于同一果实出现多个可见片段的样本，还要先核查原始标注是否保留了同一实例身份，再讨论模型是否能够保持这种归属。</w:t>
            </w:r>
          </w:p>
          <w:p>
            <w:pPr>
              <w:spacing w:line="312" w:lineRule="auto" w:before="100" w:after="100"/>
              <w:ind w:firstLine="0"/>
              <w:jc w:val="left"/>
            </w:pPr>
            <w:r>
              <w:rPr>
                <w:rFonts w:ascii="Times New Roman" w:hAnsi="Times New Roman" w:eastAsia="宋体"/>
                <w:b/>
                <w:i w:val="0"/>
                <w:color w:val="000000"/>
                <w:sz w:val="24"/>
              </w:rPr>
              <w:t>三 前期调研的结论</w:t>
            </w:r>
          </w:p>
          <w:p>
            <w:pPr>
              <w:spacing w:line="312" w:lineRule="auto" w:after="80"/>
              <w:ind w:firstLine="480"/>
              <w:jc w:val="both"/>
            </w:pPr>
            <w:r>
              <w:rPr>
                <w:rFonts w:ascii="Times New Roman" w:hAnsi="Times New Roman" w:eastAsia="宋体"/>
                <w:b w:val="0"/>
                <w:i w:val="0"/>
                <w:color w:val="000000"/>
                <w:sz w:val="24"/>
              </w:rPr>
              <w:t>文献和样本分析把研究问题逐渐收拢到两处。其一是在有限算力下同时看清远处小果、遮挡形成的凹边界和贴邻果实的分界；其二是把上游分出的“这一颗果实”稳定传到局部网络，在果梗看不清时允许模型不给出点位。平均精度当然要报告，但同果分裂、异果合并和错误接受同样会影响后续作业，因此需要单列检验。</w:t>
            </w:r>
          </w:p>
          <w:p>
            <w:pPr>
              <w:spacing w:line="312" w:lineRule="auto" w:after="80"/>
              <w:ind w:firstLine="480"/>
              <w:jc w:val="both"/>
            </w:pPr>
            <w:r>
              <w:rPr>
                <w:rFonts w:ascii="Times New Roman" w:hAnsi="Times New Roman" w:eastAsia="宋体"/>
                <w:b w:val="0"/>
                <w:i w:val="0"/>
                <w:color w:val="000000"/>
                <w:sz w:val="24"/>
              </w:rPr>
              <w:t>研究拟分两步完成。第一步研究轻量柑橘幼果可见实例分割，弄清细节、语义和邻果分界各自带来的收益；第二步利用第一步给出的单果实例，定位果梗连接点并判断是否可定位。两步使用同一套实例编号和数据划分，最终用完整流程评价检验分割改进是否真正转化为有效点位，而非只停留在分割指标上。</w:t>
            </w:r>
          </w:p>
        </w:tc>
      </w:tr>
      <w:tr w:rsidR="00D617A1" w14:paraId="2E302343" w14:textId="77777777">
        <w:trPr>
          <w:trHeight w:val="4200"/>
          <w:jc w:val="center"/>
        </w:trPr>
        <w:tc>
          <w:tcPr>
            <w:tcW w:w="9798" w:type="dxa"/>
            <w:gridSpan w:val="2"/>
            <w:vAlign w:val="center"/>
          </w:tcPr>
          <w:p w14:paraId="46A2D1D8" w14:textId="77777777" w:rsidR="00D617A1" w:rsidRDefault="00000000" w:rsidP="00F6004E">
            <w:pPr>
              <w:adjustRightInd w:val="0"/>
              <w:snapToGrid w:val="0"/>
              <w:spacing w:beforeLines="50" w:before="156" w:line="360" w:lineRule="auto"/>
              <w:ind w:firstLine="422"/>
              <w:rPr>
                <w:rFonts w:ascii="楷体_GB2312" w:eastAsia="楷体_GB2312"/>
                <w:b/>
                <w:szCs w:val="21"/>
              </w:rPr>
            </w:pPr>
            <w:r>
              <w:rPr>
                <w:rFonts w:ascii="楷体_GB2312" w:eastAsia="楷体_GB2312" w:hint="eastAsia"/>
                <w:b/>
                <w:szCs w:val="21"/>
              </w:rPr>
              <w:lastRenderedPageBreak/>
              <w:t>课题的意义及我国在这方面已进行的工作情况：</w:t>
            </w:r>
          </w:p>
          <w:p>
            <w:pPr>
              <w:spacing w:line="312" w:lineRule="auto" w:before="160" w:after="100"/>
              <w:ind w:firstLine="0"/>
              <w:jc w:val="left"/>
            </w:pPr>
            <w:r>
              <w:rPr>
                <w:rFonts w:ascii="Times New Roman" w:hAnsi="Times New Roman" w:eastAsia="宋体"/>
                <w:b/>
                <w:i w:val="0"/>
                <w:color w:val="000000"/>
                <w:sz w:val="24"/>
              </w:rPr>
              <w:t>一 课题意义</w:t>
            </w:r>
          </w:p>
          <w:p>
            <w:pPr>
              <w:spacing w:line="312" w:lineRule="auto" w:after="80"/>
              <w:ind w:firstLine="480"/>
              <w:jc w:val="both"/>
            </w:pPr>
            <w:r>
              <w:rPr>
                <w:rFonts w:ascii="Times New Roman" w:hAnsi="Times New Roman" w:eastAsia="宋体"/>
                <w:b w:val="0"/>
                <w:i w:val="0"/>
                <w:color w:val="000000"/>
                <w:sz w:val="24"/>
              </w:rPr>
              <w:t>逐果作业需要的不只是“画面里有果实”。漏掉小果会减少可处理对象，两颗果实合为一个实例会使果梗归属含糊，同一果实被分成两个实例又会造成重复处理；连接区看不清却仍输出坐标，也可能误导后续动作。本课题希望把这些错误逐项查明，使视觉结果能够回答“处理哪颗果实、看到了哪些果面、连接位置是否可信”。</w:t>
            </w:r>
          </w:p>
          <w:p>
            <w:pPr>
              <w:spacing w:line="312" w:lineRule="auto" w:after="80"/>
              <w:ind w:firstLine="480"/>
              <w:jc w:val="both"/>
            </w:pPr>
            <w:r>
              <w:rPr>
                <w:rFonts w:ascii="Times New Roman" w:hAnsi="Times New Roman" w:eastAsia="宋体"/>
                <w:b w:val="0"/>
                <w:i w:val="0"/>
                <w:color w:val="000000"/>
                <w:sz w:val="24"/>
              </w:rPr>
              <w:t>从方法上看，更多高分辨率特征有助于保留小果和窄缝，却会增加计算量；深层语义能帮模型区分果实与叶片，融合不当又可能抹掉凹边界。到了果梗定位，果体形状是有用线索，却不足以替代被遮挡的连接处。本研究将围绕这些实际冲突安排受控实验，形成前后衔接的两项工作。</w:t>
            </w:r>
          </w:p>
          <w:p>
            <w:pPr>
              <w:spacing w:line="312" w:lineRule="auto" w:before="160" w:after="100"/>
              <w:ind w:firstLine="0"/>
              <w:jc w:val="left"/>
            </w:pPr>
            <w:r>
              <w:rPr>
                <w:rFonts w:ascii="Times New Roman" w:hAnsi="Times New Roman" w:eastAsia="宋体"/>
                <w:b/>
                <w:i w:val="0"/>
                <w:color w:val="000000"/>
                <w:sz w:val="24"/>
              </w:rPr>
              <w:t>二 国内相关研究进展</w:t>
            </w:r>
          </w:p>
          <w:p>
            <w:pPr>
              <w:spacing w:line="312" w:lineRule="auto" w:before="100" w:after="100"/>
              <w:ind w:firstLine="0"/>
              <w:jc w:val="left"/>
            </w:pPr>
            <w:r>
              <w:rPr>
                <w:rFonts w:ascii="Times New Roman" w:hAnsi="Times New Roman" w:eastAsia="宋体"/>
                <w:b/>
                <w:i w:val="0"/>
                <w:color w:val="000000"/>
                <w:sz w:val="24"/>
              </w:rPr>
              <w:t>1 绿色果实识别与轻量化</w:t>
            </w:r>
          </w:p>
          <w:p>
            <w:pPr>
              <w:spacing w:line="312" w:lineRule="auto" w:after="80"/>
              <w:ind w:firstLine="480"/>
              <w:jc w:val="both"/>
            </w:pPr>
            <w:r>
              <w:rPr>
                <w:rFonts w:ascii="Times New Roman" w:hAnsi="Times New Roman" w:eastAsia="宋体"/>
                <w:b w:val="0"/>
                <w:i w:val="0"/>
                <w:color w:val="000000"/>
                <w:sz w:val="24"/>
              </w:rPr>
              <w:t>2022年，贾伟宽等针对青柿与叶片颜色接近、果实重叠的情况，改进Mask R-CNN：以MobileNetV3减轻主干计算，再细化候选果实的掩膜边界</w:t>
            </w:r>
            <w:r>
              <w:rPr>
                <w:rFonts w:ascii="Times New Roman" w:hAnsi="Times New Roman" w:eastAsia="宋体"/>
                <w:b w:val="0"/>
                <w:i w:val="0"/>
                <w:color w:val="000000"/>
                <w:sz w:val="19"/>
                <w:vertAlign w:val="superscript"/>
              </w:rPr>
              <w:t>[7]</w:t>
            </w:r>
            <w:r>
              <w:rPr>
                <w:rFonts w:ascii="Times New Roman" w:hAnsi="Times New Roman" w:eastAsia="宋体"/>
                <w:b w:val="0"/>
                <w:i w:val="0"/>
                <w:color w:val="000000"/>
                <w:sz w:val="24"/>
              </w:rPr>
              <w:t>。同年，该团队提出Polar-Net，用多尺度特征和极坐标轮廓表示分割绿色果实</w:t>
            </w:r>
            <w:r>
              <w:rPr>
                <w:rFonts w:ascii="Times New Roman" w:hAnsi="Times New Roman" w:eastAsia="宋体"/>
                <w:b w:val="0"/>
                <w:i w:val="0"/>
                <w:color w:val="000000"/>
                <w:sz w:val="19"/>
                <w:vertAlign w:val="superscript"/>
              </w:rPr>
              <w:t>[8]</w:t>
            </w:r>
            <w:r>
              <w:rPr>
                <w:rFonts w:ascii="Times New Roman" w:hAnsi="Times New Roman" w:eastAsia="宋体"/>
                <w:b w:val="0"/>
                <w:i w:val="0"/>
                <w:color w:val="000000"/>
                <w:sz w:val="24"/>
              </w:rPr>
              <w:t>。两篇论文分别从边界修复和形状表示入手，说明绿果分割已有扎实基础；柑橘幼果的果面纹理、遮挡形态和果梗位置仍需在自己的数据上重新检验。</w:t>
            </w:r>
          </w:p>
          <w:p>
            <w:pPr>
              <w:spacing w:line="312" w:lineRule="auto" w:after="80"/>
              <w:ind w:firstLine="480"/>
              <w:jc w:val="both"/>
            </w:pPr>
            <w:r>
              <w:rPr>
                <w:rFonts w:ascii="Times New Roman" w:hAnsi="Times New Roman" w:eastAsia="宋体"/>
                <w:b w:val="0"/>
                <w:i w:val="0"/>
                <w:color w:val="000000"/>
                <w:sz w:val="24"/>
              </w:rPr>
              <w:t>图3中的青柿样本同时出现叶片遮挡、果实重叠、背光和远处小目标</w:t>
            </w:r>
            <w:r>
              <w:rPr>
                <w:rFonts w:ascii="Times New Roman" w:hAnsi="Times New Roman" w:eastAsia="宋体"/>
                <w:b w:val="0"/>
                <w:i w:val="0"/>
                <w:color w:val="000000"/>
                <w:sz w:val="19"/>
                <w:vertAlign w:val="superscript"/>
              </w:rPr>
              <w:t>[7]</w:t>
            </w:r>
            <w:r>
              <w:rPr>
                <w:rFonts w:ascii="Times New Roman" w:hAnsi="Times New Roman" w:eastAsia="宋体"/>
                <w:b w:val="0"/>
                <w:i w:val="0"/>
                <w:color w:val="000000"/>
                <w:sz w:val="24"/>
              </w:rPr>
              <w:t>。这些画面与本课题遇到的困难相似，但并非柑橘数据；图像只用于说明问题，不用于推断模型在柑橘上的精度。</w:t>
            </w:r>
          </w:p>
          <w:p>
            <w:pPr>
              <w:spacing w:before="120" w:after="40" w:line="240" w:lineRule="auto"/>
              <w:ind w:firstLine="0"/>
              <w:jc w:val="center"/>
            </w:pPr>
            <w:r>
              <w:drawing>
                <wp:inline xmlns:a="http://schemas.openxmlformats.org/drawingml/2006/main" xmlns:pic="http://schemas.openxmlformats.org/drawingml/2006/picture">
                  <wp:extent cx="4544144" cy="3167999"/>
                  <wp:docPr id="2133873089" name="Picture 2133873089"/>
                  <wp:cNvGraphicFramePr>
                    <a:graphicFrameLocks noChangeAspect="1"/>
                  </wp:cNvGraphicFramePr>
                  <a:graphic>
                    <a:graphicData uri="http://schemas.openxmlformats.org/drawingml/2006/picture">
                      <pic:pic>
                        <pic:nvPicPr>
                          <pic:cNvPr id="0" name="paper_green_maskrcnn_fig1.png"/>
                          <pic:cNvPicPr/>
                        </pic:nvPicPr>
                        <pic:blipFill>
                          <a:blip r:embed="rId98"/>
                          <a:stretch>
                            <a:fillRect/>
                          </a:stretch>
                        </pic:blipFill>
                        <pic:spPr>
                          <a:xfrm>
                            <a:off x="0" y="0"/>
                            <a:ext cx="4544144" cy="3167999"/>
                          </a:xfrm>
                          <a:prstGeom prst="rect"/>
                        </pic:spPr>
                      </pic:pic>
                    </a:graphicData>
                  </a:graphic>
                </wp:inline>
              </w:drawing>
            </w:r>
          </w:p>
          <w:p>
            <w:pPr>
              <w:spacing w:after="160" w:line="276" w:lineRule="auto"/>
              <w:ind w:firstLine="0"/>
              <w:jc w:val="center"/>
            </w:pPr>
            <w:r>
              <w:rPr>
                <w:rFonts w:ascii="Times New Roman" w:hAnsi="Times New Roman" w:eastAsia="宋体"/>
                <w:b w:val="0"/>
                <w:i w:val="0"/>
                <w:color w:val="000000"/>
                <w:sz w:val="21"/>
              </w:rPr>
              <w:t>图3 青柿果园中的重叠、遮挡与不同光照场景（引自贾伟宽等[7]原文图1，CC BY 4.0）</w:t>
            </w:r>
          </w:p>
          <w:p>
            <w:pPr>
              <w:spacing w:line="312" w:lineRule="auto" w:after="80"/>
              <w:ind w:firstLine="480"/>
              <w:jc w:val="both"/>
            </w:pPr>
            <w:r>
              <w:rPr>
                <w:rFonts w:ascii="Times New Roman" w:hAnsi="Times New Roman" w:eastAsia="宋体"/>
                <w:b w:val="0"/>
                <w:i w:val="0"/>
                <w:color w:val="000000"/>
                <w:sz w:val="24"/>
              </w:rPr>
              <w:t>图4给出贾伟宽等2022年方法的主干、RPN、ROI Align和边界细化分支</w:t>
            </w:r>
            <w:r>
              <w:rPr>
                <w:rFonts w:ascii="Times New Roman" w:hAnsi="Times New Roman" w:eastAsia="宋体"/>
                <w:b w:val="0"/>
                <w:i w:val="0"/>
                <w:color w:val="000000"/>
                <w:sz w:val="19"/>
                <w:vertAlign w:val="superscript"/>
              </w:rPr>
              <w:t>[7]</w:t>
            </w:r>
            <w:r>
              <w:rPr>
                <w:rFonts w:ascii="Times New Roman" w:hAnsi="Times New Roman" w:eastAsia="宋体"/>
                <w:b w:val="0"/>
                <w:i w:val="0"/>
                <w:color w:val="000000"/>
                <w:sz w:val="24"/>
              </w:rPr>
              <w:t>。逐候选区域处理有利于保留单果细节，也增加了对候选框质量和逐区域计算的依赖。本研究把Mask R-CNN作为跨系列参照，记录分割结果的同时测量实际推理成本。</w:t>
            </w:r>
          </w:p>
          <w:p>
            <w:pPr>
              <w:spacing w:before="120" w:after="40" w:line="240" w:lineRule="auto"/>
              <w:ind w:firstLine="0"/>
              <w:jc w:val="center"/>
            </w:pPr>
            <w:r>
              <w:drawing>
                <wp:inline xmlns:a="http://schemas.openxmlformats.org/drawingml/2006/main" xmlns:pic="http://schemas.openxmlformats.org/drawingml/2006/picture">
                  <wp:extent cx="5220000" cy="2877984"/>
                  <wp:docPr id="2133873090" name="Picture 2133873090"/>
                  <wp:cNvGraphicFramePr>
                    <a:graphicFrameLocks noChangeAspect="1"/>
                  </wp:cNvGraphicFramePr>
                  <a:graphic>
                    <a:graphicData uri="http://schemas.openxmlformats.org/drawingml/2006/picture">
                      <pic:pic>
                        <pic:nvPicPr>
                          <pic:cNvPr id="0" name="paper_green_maskrcnn_network_fig2.png"/>
                          <pic:cNvPicPr/>
                        </pic:nvPicPr>
                        <pic:blipFill>
                          <a:blip r:embed="rId99"/>
                          <a:stretch>
                            <a:fillRect/>
                          </a:stretch>
                        </pic:blipFill>
                        <pic:spPr>
                          <a:xfrm>
                            <a:off x="0" y="0"/>
                            <a:ext cx="5220000" cy="2877984"/>
                          </a:xfrm>
                          <a:prstGeom prst="rect"/>
                        </pic:spPr>
                      </pic:pic>
                    </a:graphicData>
                  </a:graphic>
                </wp:inline>
              </w:drawing>
            </w:r>
          </w:p>
          <w:p>
            <w:pPr>
              <w:spacing w:after="160" w:line="276" w:lineRule="auto"/>
              <w:ind w:firstLine="0"/>
              <w:jc w:val="center"/>
            </w:pPr>
            <w:r>
              <w:rPr>
                <w:rFonts w:ascii="Times New Roman" w:hAnsi="Times New Roman" w:eastAsia="宋体"/>
                <w:b w:val="0"/>
                <w:i w:val="0"/>
                <w:color w:val="000000"/>
                <w:sz w:val="21"/>
              </w:rPr>
              <w:t>图4 青柿优化Mask R-CNN网络结构（引自贾伟宽等[7]原文图2，CC BY 4.0）</w:t>
            </w:r>
          </w:p>
          <w:p>
            <w:pPr>
              <w:spacing w:line="312" w:lineRule="auto" w:after="80"/>
              <w:ind w:firstLine="480"/>
              <w:jc w:val="both"/>
            </w:pPr>
            <w:r>
              <w:rPr>
                <w:rFonts w:ascii="Times New Roman" w:hAnsi="Times New Roman" w:eastAsia="宋体"/>
                <w:b w:val="0"/>
                <w:i w:val="0"/>
                <w:color w:val="000000"/>
                <w:sz w:val="24"/>
              </w:rPr>
              <w:t>图5是Polar-Net在青柿图像上的分割示例</w:t>
            </w:r>
            <w:r>
              <w:rPr>
                <w:rFonts w:ascii="Times New Roman" w:hAnsi="Times New Roman" w:eastAsia="宋体"/>
                <w:b w:val="0"/>
                <w:i w:val="0"/>
                <w:color w:val="000000"/>
                <w:sz w:val="19"/>
                <w:vertAlign w:val="superscript"/>
              </w:rPr>
              <w:t>[8]</w:t>
            </w:r>
            <w:r>
              <w:rPr>
                <w:rFonts w:ascii="Times New Roman" w:hAnsi="Times New Roman" w:eastAsia="宋体"/>
                <w:b w:val="0"/>
                <w:i w:val="0"/>
                <w:color w:val="000000"/>
                <w:sz w:val="24"/>
              </w:rPr>
              <w:t>。逐果掩膜已经能够呈现对象归属；至于叶片横穿处的凹边界和相邻果实之间的细缝是否准确，还需要在统一标注与指标下细看。</w:t>
            </w:r>
          </w:p>
          <w:p>
            <w:pPr>
              <w:spacing w:before="120" w:after="40" w:line="240" w:lineRule="auto"/>
              <w:ind w:firstLine="0"/>
              <w:jc w:val="center"/>
            </w:pPr>
            <w:r>
              <w:drawing>
                <wp:inline xmlns:a="http://schemas.openxmlformats.org/drawingml/2006/main" xmlns:pic="http://schemas.openxmlformats.org/drawingml/2006/picture">
                  <wp:extent cx="5220000" cy="1463410"/>
                  <wp:docPr id="2133873091" name="Picture 2133873091"/>
                  <wp:cNvGraphicFramePr>
                    <a:graphicFrameLocks noChangeAspect="1"/>
                  </wp:cNvGraphicFramePr>
                  <a:graphic>
                    <a:graphicData uri="http://schemas.openxmlformats.org/drawingml/2006/picture">
                      <pic:pic>
                        <pic:nvPicPr>
                          <pic:cNvPr id="0" name="paper_polar_fig8.png"/>
                          <pic:cNvPicPr/>
                        </pic:nvPicPr>
                        <pic:blipFill>
                          <a:blip r:embed="rId100"/>
                          <a:stretch>
                            <a:fillRect/>
                          </a:stretch>
                        </pic:blipFill>
                        <pic:spPr>
                          <a:xfrm>
                            <a:off x="0" y="0"/>
                            <a:ext cx="5220000" cy="1463410"/>
                          </a:xfrm>
                          <a:prstGeom prst="rect"/>
                        </pic:spPr>
                      </pic:pic>
                    </a:graphicData>
                  </a:graphic>
                </wp:inline>
              </w:drawing>
            </w:r>
          </w:p>
          <w:p>
            <w:pPr>
              <w:spacing w:after="160" w:line="276" w:lineRule="auto"/>
              <w:ind w:firstLine="0"/>
              <w:jc w:val="center"/>
            </w:pPr>
            <w:r>
              <w:rPr>
                <w:rFonts w:ascii="Times New Roman" w:hAnsi="Times New Roman" w:eastAsia="宋体"/>
                <w:b w:val="0"/>
                <w:i w:val="0"/>
                <w:color w:val="000000"/>
                <w:sz w:val="21"/>
              </w:rPr>
              <w:t>图5 Polar-Net在青柿图像上的实例分割示例（引自贾伟宽等[8]原文图8，CC BY 4.0）</w:t>
            </w:r>
          </w:p>
          <w:p>
            <w:pPr>
              <w:spacing w:line="312" w:lineRule="auto" w:after="80"/>
              <w:ind w:firstLine="480"/>
              <w:jc w:val="both"/>
            </w:pPr>
            <w:r>
              <w:rPr>
                <w:rFonts w:ascii="Times New Roman" w:hAnsi="Times New Roman" w:eastAsia="宋体"/>
                <w:b w:val="0"/>
                <w:i w:val="0"/>
                <w:color w:val="000000"/>
                <w:sz w:val="24"/>
              </w:rPr>
              <w:t>研究对象随后转向柑橘。2024年，吕强等用改进YOLOv5s检测自然场景中的绿色柑橘</w:t>
            </w:r>
            <w:r>
              <w:rPr>
                <w:rFonts w:ascii="Times New Roman" w:hAnsi="Times New Roman" w:eastAsia="宋体"/>
                <w:b w:val="0"/>
                <w:i w:val="0"/>
                <w:color w:val="000000"/>
                <w:sz w:val="19"/>
                <w:vertAlign w:val="superscript"/>
              </w:rPr>
              <w:t>[5]</w:t>
            </w:r>
            <w:r>
              <w:rPr>
                <w:rFonts w:ascii="Times New Roman" w:hAnsi="Times New Roman" w:eastAsia="宋体"/>
                <w:b w:val="0"/>
                <w:i w:val="0"/>
                <w:color w:val="000000"/>
                <w:sz w:val="24"/>
              </w:rPr>
              <w:t>，解决的是“在哪里有果”，矩形框还不能交代单果可见边界。2025年，刘洁等依据Roofline分析改进YOLOv8橙果识别模型，并在嵌入式平台检验效率</w:t>
            </w:r>
            <w:r>
              <w:rPr>
                <w:rFonts w:ascii="Times New Roman" w:hAnsi="Times New Roman" w:eastAsia="宋体"/>
                <w:b w:val="0"/>
                <w:i w:val="0"/>
                <w:color w:val="000000"/>
                <w:sz w:val="19"/>
                <w:vertAlign w:val="superscript"/>
              </w:rPr>
              <w:t>[6]</w:t>
            </w:r>
            <w:r>
              <w:rPr>
                <w:rFonts w:ascii="Times New Roman" w:hAnsi="Times New Roman" w:eastAsia="宋体"/>
                <w:b w:val="0"/>
                <w:i w:val="0"/>
                <w:color w:val="000000"/>
                <w:sz w:val="24"/>
              </w:rPr>
              <w:t>。这提醒本课题：轻量化不能只看参数和GFLOPs，还要测量完整推理时延与显存占用。</w:t>
            </w:r>
          </w:p>
          <w:p>
            <w:pPr>
              <w:spacing w:line="312" w:lineRule="auto" w:after="80"/>
              <w:ind w:firstLine="480"/>
              <w:jc w:val="both"/>
            </w:pPr>
            <w:r>
              <w:rPr>
                <w:rFonts w:ascii="Times New Roman" w:hAnsi="Times New Roman" w:eastAsia="宋体"/>
                <w:b w:val="0"/>
                <w:i w:val="0"/>
                <w:color w:val="000000"/>
                <w:sz w:val="24"/>
              </w:rPr>
              <w:t>到2026年，李欣洋等已在YOLO11n-Seg中引入局部可变形卷积和边界引导融合，用于橙果实例分割与单果ROI提取</w:t>
            </w:r>
            <w:r>
              <w:rPr>
                <w:rFonts w:ascii="Times New Roman" w:hAnsi="Times New Roman" w:eastAsia="宋体"/>
                <w:b w:val="0"/>
                <w:i w:val="0"/>
                <w:color w:val="000000"/>
                <w:sz w:val="19"/>
                <w:vertAlign w:val="superscript"/>
              </w:rPr>
              <w:t>[34]</w:t>
            </w:r>
            <w:r>
              <w:rPr>
                <w:rFonts w:ascii="Times New Roman" w:hAnsi="Times New Roman" w:eastAsia="宋体"/>
                <w:b w:val="0"/>
                <w:i w:val="0"/>
                <w:color w:val="000000"/>
                <w:sz w:val="24"/>
              </w:rPr>
              <w:t>；张道德等则通过并行多尺度增强、注意力和细节建模改进柑橘实例分割与产量估计</w:t>
            </w:r>
            <w:r>
              <w:rPr>
                <w:rFonts w:ascii="Times New Roman" w:hAnsi="Times New Roman" w:eastAsia="宋体"/>
                <w:b w:val="0"/>
                <w:i w:val="0"/>
                <w:color w:val="000000"/>
                <w:sz w:val="19"/>
                <w:vertAlign w:val="superscript"/>
              </w:rPr>
              <w:t>[35]</w:t>
            </w:r>
            <w:r>
              <w:rPr>
                <w:rFonts w:ascii="Times New Roman" w:hAnsi="Times New Roman" w:eastAsia="宋体"/>
                <w:b w:val="0"/>
                <w:i w:val="0"/>
                <w:color w:val="000000"/>
                <w:sz w:val="24"/>
              </w:rPr>
              <w:t>。因此，“YOLO11加多尺度或边界模块”本身不足以构成本课题的新意。本研究更关心未成熟绿果在条带遮挡下的真实可见形状、贴邻果实的实例归属，以及掩膜误差进入果梗定位后会造成什么后果。</w:t>
            </w:r>
          </w:p>
          <w:p>
            <w:pPr>
              <w:spacing w:line="312" w:lineRule="auto" w:after="80"/>
              <w:ind w:firstLine="480"/>
              <w:jc w:val="both"/>
            </w:pPr>
            <w:r>
              <w:rPr>
                <w:rFonts w:ascii="Times New Roman" w:hAnsi="Times New Roman" w:eastAsia="宋体"/>
                <w:b w:val="0"/>
                <w:i w:val="0"/>
                <w:color w:val="000000"/>
                <w:sz w:val="24"/>
              </w:rPr>
              <w:t>这些论文使用的果实种类、采集条件和标注口径不同，发表的精度数字无法直接排出高低。尤其青柿、绿苹果和柑橘幼果的表面与果梗显露方式并不一样。本研究将在同一正式数据划分上比较方法，同时保留失败画面，分析平均指标背后究竟错在何处。</w:t>
            </w:r>
          </w:p>
          <w:p>
            <w:pPr>
              <w:spacing w:line="312" w:lineRule="auto" w:before="100" w:after="100"/>
              <w:ind w:firstLine="0"/>
              <w:jc w:val="left"/>
            </w:pPr>
            <w:r>
              <w:rPr>
                <w:rFonts w:ascii="Times New Roman" w:hAnsi="Times New Roman" w:eastAsia="宋体"/>
                <w:b/>
                <w:i w:val="0"/>
                <w:color w:val="000000"/>
                <w:sz w:val="24"/>
              </w:rPr>
              <w:t>2 果梗及采摘点定位</w:t>
            </w:r>
          </w:p>
          <w:p>
            <w:pPr>
              <w:spacing w:line="312" w:lineRule="auto" w:after="80"/>
              <w:ind w:firstLine="480"/>
              <w:jc w:val="both"/>
            </w:pPr>
            <w:r>
              <w:rPr>
                <w:rFonts w:ascii="Times New Roman" w:hAnsi="Times New Roman" w:eastAsia="宋体"/>
                <w:b w:val="0"/>
                <w:i w:val="0"/>
                <w:color w:val="000000"/>
                <w:sz w:val="24"/>
              </w:rPr>
              <w:t>果梗相关研究有另一条发展线。2017年，高宏伟等已研究苹果套袋机器人的视觉定位</w:t>
            </w:r>
            <w:r>
              <w:rPr>
                <w:rFonts w:ascii="Times New Roman" w:hAnsi="Times New Roman" w:eastAsia="宋体"/>
                <w:b w:val="0"/>
                <w:i w:val="0"/>
                <w:color w:val="000000"/>
                <w:sz w:val="19"/>
                <w:vertAlign w:val="superscript"/>
              </w:rPr>
              <w:t>[4]</w:t>
            </w:r>
            <w:r>
              <w:rPr>
                <w:rFonts w:ascii="Times New Roman" w:hAnsi="Times New Roman" w:eastAsia="宋体"/>
                <w:b w:val="0"/>
                <w:i w:val="0"/>
                <w:color w:val="000000"/>
                <w:sz w:val="24"/>
              </w:rPr>
              <w:t>；2024年，梁云等将柑橘检测、团簇ROI和局部枝条分割接起来，搜索采摘点，数据中包含成熟与未成熟果实</w:t>
            </w:r>
            <w:r>
              <w:rPr>
                <w:rFonts w:ascii="Times New Roman" w:hAnsi="Times New Roman" w:eastAsia="宋体"/>
                <w:b w:val="0"/>
                <w:i w:val="0"/>
                <w:color w:val="000000"/>
                <w:sz w:val="19"/>
                <w:vertAlign w:val="superscript"/>
              </w:rPr>
              <w:t>[10]</w:t>
            </w:r>
            <w:r>
              <w:rPr>
                <w:rFonts w:ascii="Times New Roman" w:hAnsi="Times New Roman" w:eastAsia="宋体"/>
                <w:b w:val="0"/>
                <w:i w:val="0"/>
                <w:color w:val="000000"/>
                <w:sz w:val="24"/>
              </w:rPr>
              <w:t>。研究从单纯找果，推进到寻找与某颗果实相关的枝条。不过，采摘点与套袋所需的果梗连接点不是同一个位置。</w:t>
            </w:r>
          </w:p>
          <w:p>
            <w:pPr>
              <w:spacing w:line="312" w:lineRule="auto" w:after="80"/>
              <w:ind w:firstLine="480"/>
              <w:jc w:val="both"/>
            </w:pPr>
            <w:r>
              <w:rPr>
                <w:rFonts w:ascii="Times New Roman" w:hAnsi="Times New Roman" w:eastAsia="宋体"/>
                <w:b w:val="0"/>
                <w:i w:val="0"/>
                <w:color w:val="000000"/>
                <w:sz w:val="24"/>
              </w:rPr>
              <w:t>2025年，梁云等提出CPPL，在检测到果实后缩小搜索区域，再分割枝条求采摘点</w:t>
            </w:r>
            <w:r>
              <w:rPr>
                <w:rFonts w:ascii="Times New Roman" w:hAnsi="Times New Roman" w:eastAsia="宋体"/>
                <w:b w:val="0"/>
                <w:i w:val="0"/>
                <w:color w:val="000000"/>
                <w:sz w:val="19"/>
                <w:vertAlign w:val="superscript"/>
              </w:rPr>
              <w:t>[11]</w:t>
            </w:r>
            <w:r>
              <w:rPr>
                <w:rFonts w:ascii="Times New Roman" w:hAnsi="Times New Roman" w:eastAsia="宋体"/>
                <w:b w:val="0"/>
                <w:i w:val="0"/>
                <w:color w:val="000000"/>
                <w:sz w:val="24"/>
              </w:rPr>
              <w:t>；李等则用改进YOLOv8n-seg分割果实与果梗，通过匹配和骨架处理确定点位</w:t>
            </w:r>
            <w:r>
              <w:rPr>
                <w:rFonts w:ascii="Times New Roman" w:hAnsi="Times New Roman" w:eastAsia="宋体"/>
                <w:b w:val="0"/>
                <w:i w:val="0"/>
                <w:color w:val="000000"/>
                <w:sz w:val="19"/>
                <w:vertAlign w:val="superscript"/>
              </w:rPr>
              <w:t>[12]</w:t>
            </w:r>
            <w:r>
              <w:rPr>
                <w:rFonts w:ascii="Times New Roman" w:hAnsi="Times New Roman" w:eastAsia="宋体"/>
                <w:b w:val="0"/>
                <w:i w:val="0"/>
                <w:color w:val="000000"/>
                <w:sz w:val="24"/>
              </w:rPr>
              <w:t>。两项工作说明“先找果、再看局部枝梗”已有可借鉴的实现。同年，叶等把YOLO检测、双目点云与OBB/PCA分析结合，用于果梗姿态估计和采摘</w:t>
            </w:r>
            <w:r>
              <w:rPr>
                <w:rFonts w:ascii="Times New Roman" w:hAnsi="Times New Roman" w:eastAsia="宋体"/>
                <w:b w:val="0"/>
                <w:i w:val="0"/>
                <w:color w:val="000000"/>
                <w:sz w:val="19"/>
                <w:vertAlign w:val="superscript"/>
              </w:rPr>
              <w:t>[13]</w:t>
            </w:r>
            <w:r>
              <w:rPr>
                <w:rFonts w:ascii="Times New Roman" w:hAnsi="Times New Roman" w:eastAsia="宋体"/>
                <w:b w:val="0"/>
                <w:i w:val="0"/>
                <w:color w:val="000000"/>
                <w:sz w:val="24"/>
              </w:rPr>
              <w:t>。后一方法依赖三维输入，不能直接拿它的空间误差与本研究的RGB二维误差相比。文献</w:t>
            </w:r>
            <w:r>
              <w:rPr>
                <w:rFonts w:ascii="Times New Roman" w:hAnsi="Times New Roman" w:eastAsia="宋体"/>
                <w:b w:val="0"/>
                <w:i w:val="0"/>
                <w:color w:val="000000"/>
                <w:sz w:val="19"/>
                <w:vertAlign w:val="superscript"/>
              </w:rPr>
              <w:t>[12]</w:t>
            </w:r>
            <w:r>
              <w:rPr>
                <w:rFonts w:ascii="Times New Roman" w:hAnsi="Times New Roman" w:eastAsia="宋体"/>
                <w:b w:val="0"/>
                <w:i w:val="0"/>
                <w:color w:val="000000"/>
                <w:sz w:val="24"/>
              </w:rPr>
              <w:t>对严重遮挡的目标未给出坐标标注，这也使“何时不应输出点位”成为本研究需要补上的评价环节。</w:t>
            </w:r>
          </w:p>
          <w:p>
            <w:pPr>
              <w:spacing w:line="312" w:lineRule="auto" w:after="80"/>
              <w:ind w:firstLine="480"/>
              <w:jc w:val="both"/>
            </w:pPr>
            <w:r>
              <w:rPr>
                <w:rFonts w:ascii="Times New Roman" w:hAnsi="Times New Roman" w:eastAsia="宋体"/>
                <w:b w:val="0"/>
                <w:i w:val="0"/>
                <w:color w:val="000000"/>
                <w:sz w:val="24"/>
              </w:rPr>
              <w:t>图6摘录了文献</w:t>
            </w:r>
            <w:r>
              <w:rPr>
                <w:rFonts w:ascii="Times New Roman" w:hAnsi="Times New Roman" w:eastAsia="宋体"/>
                <w:b w:val="0"/>
                <w:i w:val="0"/>
                <w:color w:val="000000"/>
                <w:sz w:val="19"/>
                <w:vertAlign w:val="superscript"/>
              </w:rPr>
              <w:t>[12]</w:t>
            </w:r>
            <w:r>
              <w:rPr>
                <w:rFonts w:ascii="Times New Roman" w:hAnsi="Times New Roman" w:eastAsia="宋体"/>
                <w:b w:val="0"/>
                <w:i w:val="0"/>
                <w:color w:val="000000"/>
                <w:sz w:val="24"/>
              </w:rPr>
              <w:t>从局部果梗区域、二值化、形态学处理到骨架求点的流程。其目标是采摘点，本课题定义的是果实与果梗的二维连接点；即使流程环节相似，也必须按各自点位语义重新标注与评价。</w:t>
            </w:r>
          </w:p>
          <w:p>
            <w:pPr>
              <w:spacing w:before="120" w:after="40" w:line="240" w:lineRule="auto"/>
              <w:ind w:firstLine="0"/>
              <w:jc w:val="center"/>
            </w:pPr>
            <w:r>
              <w:drawing>
                <wp:inline xmlns:a="http://schemas.openxmlformats.org/drawingml/2006/main" xmlns:pic="http://schemas.openxmlformats.org/drawingml/2006/picture">
                  <wp:extent cx="5220000" cy="2428556"/>
                  <wp:docPr id="2133873092" name="Picture 2133873092"/>
                  <wp:cNvGraphicFramePr>
                    <a:graphicFrameLocks noChangeAspect="1"/>
                  </wp:cNvGraphicFramePr>
                  <a:graphic>
                    <a:graphicData uri="http://schemas.openxmlformats.org/drawingml/2006/picture">
                      <pic:pic>
                        <pic:nvPicPr>
                          <pic:cNvPr id="0" name="paper_stem_fig8.png"/>
                          <pic:cNvPicPr/>
                        </pic:nvPicPr>
                        <pic:blipFill>
                          <a:blip r:embed="rId101"/>
                          <a:stretch>
                            <a:fillRect/>
                          </a:stretch>
                        </pic:blipFill>
                        <pic:spPr>
                          <a:xfrm>
                            <a:off x="0" y="0"/>
                            <a:ext cx="5220000" cy="2428556"/>
                          </a:xfrm>
                          <a:prstGeom prst="rect"/>
                        </pic:spPr>
                      </pic:pic>
                    </a:graphicData>
                  </a:graphic>
                </wp:inline>
              </w:drawing>
            </w:r>
          </w:p>
          <w:p>
            <w:pPr>
              <w:spacing w:after="160" w:line="276" w:lineRule="auto"/>
              <w:ind w:firstLine="0"/>
              <w:jc w:val="center"/>
            </w:pPr>
            <w:r>
              <w:rPr>
                <w:rFonts w:ascii="Times New Roman" w:hAnsi="Times New Roman" w:eastAsia="宋体"/>
                <w:b w:val="0"/>
                <w:i w:val="0"/>
                <w:color w:val="000000"/>
                <w:sz w:val="21"/>
              </w:rPr>
              <w:t>图6 文献中的柑橘果梗处理与采摘点求解流程（引自李等[12]原文图8，CC BY 4.0）</w:t>
            </w:r>
          </w:p>
          <w:p>
            <w:pPr>
              <w:spacing w:line="312" w:lineRule="auto" w:after="80"/>
              <w:ind w:firstLine="480"/>
              <w:jc w:val="both"/>
            </w:pPr>
            <w:r>
              <w:rPr>
                <w:rFonts w:ascii="Times New Roman" w:hAnsi="Times New Roman" w:eastAsia="宋体"/>
                <w:b w:val="0"/>
                <w:i w:val="0"/>
                <w:color w:val="000000"/>
                <w:sz w:val="24"/>
              </w:rPr>
              <w:t>图7所示失败案例包括连接区遮挡和果梗分割错误，提示局部求点需要保留上游掩膜质量与可见性信息。该图展示的是文献中的错误类型，并非本课题模型的验证结果。</w:t>
            </w:r>
          </w:p>
          <w:p>
            <w:pPr>
              <w:spacing w:before="120" w:after="40" w:line="240" w:lineRule="auto"/>
              <w:ind w:firstLine="0"/>
              <w:jc w:val="center"/>
            </w:pPr>
            <w:r>
              <w:drawing>
                <wp:inline xmlns:a="http://schemas.openxmlformats.org/drawingml/2006/main" xmlns:pic="http://schemas.openxmlformats.org/drawingml/2006/picture">
                  <wp:extent cx="2796244" cy="3167999"/>
                  <wp:docPr id="2133873093" name="Picture 2133873093"/>
                  <wp:cNvGraphicFramePr>
                    <a:graphicFrameLocks noChangeAspect="1"/>
                  </wp:cNvGraphicFramePr>
                  <a:graphic>
                    <a:graphicData uri="http://schemas.openxmlformats.org/drawingml/2006/picture">
                      <pic:pic>
                        <pic:nvPicPr>
                          <pic:cNvPr id="0" name="paper_stem_fig11.png"/>
                          <pic:cNvPicPr/>
                        </pic:nvPicPr>
                        <pic:blipFill>
                          <a:blip r:embed="rId102"/>
                          <a:stretch>
                            <a:fillRect/>
                          </a:stretch>
                        </pic:blipFill>
                        <pic:spPr>
                          <a:xfrm>
                            <a:off x="0" y="0"/>
                            <a:ext cx="2796244" cy="3167999"/>
                          </a:xfrm>
                          <a:prstGeom prst="rect"/>
                        </pic:spPr>
                      </pic:pic>
                    </a:graphicData>
                  </a:graphic>
                </wp:inline>
              </w:drawing>
            </w:r>
          </w:p>
          <w:p>
            <w:pPr>
              <w:spacing w:after="160" w:line="276" w:lineRule="auto"/>
              <w:ind w:firstLine="0"/>
              <w:jc w:val="center"/>
            </w:pPr>
            <w:r>
              <w:rPr>
                <w:rFonts w:ascii="Times New Roman" w:hAnsi="Times New Roman" w:eastAsia="宋体"/>
                <w:b w:val="0"/>
                <w:i w:val="0"/>
                <w:color w:val="000000"/>
                <w:sz w:val="21"/>
              </w:rPr>
              <w:t>图7 文献中的柑橘采摘点定位失败案例（引自李等[12]原文图11，CC BY 4.0）</w:t>
            </w:r>
          </w:p>
          <w:p>
            <w:pPr>
              <w:spacing w:line="312" w:lineRule="auto" w:after="80"/>
              <w:ind w:firstLine="480"/>
              <w:jc w:val="both"/>
            </w:pPr>
            <w:r>
              <w:rPr>
                <w:rFonts w:ascii="Times New Roman" w:hAnsi="Times New Roman" w:eastAsia="宋体"/>
                <w:b w:val="0"/>
                <w:i w:val="0"/>
                <w:color w:val="000000"/>
                <w:sz w:val="24"/>
              </w:rPr>
              <w:t>2026年，庄等提出TSP-Net，从串番茄的检测ROI预测热图，再解码采摘切割点</w:t>
            </w:r>
            <w:r>
              <w:rPr>
                <w:rFonts w:ascii="Times New Roman" w:hAnsi="Times New Roman" w:eastAsia="宋体"/>
                <w:b w:val="0"/>
                <w:i w:val="0"/>
                <w:color w:val="000000"/>
                <w:sz w:val="19"/>
                <w:vertAlign w:val="superscript"/>
              </w:rPr>
              <w:t>[14]</w:t>
            </w:r>
            <w:r>
              <w:rPr>
                <w:rFonts w:ascii="Times New Roman" w:hAnsi="Times New Roman" w:eastAsia="宋体"/>
                <w:b w:val="0"/>
                <w:i w:val="0"/>
                <w:color w:val="000000"/>
                <w:sz w:val="24"/>
              </w:rPr>
              <w:t>。这为局部点位网络提供了清楚的技术参照。本研究不会把“ROI加热图”当作创新；真正需要检验的是，在同一视野内有多颗果实时，目标果实的可见掩膜能否帮助点位网络保持正确归属，以及连接处不可辨时能否稳妥拒识。</w:t>
            </w:r>
          </w:p>
          <w:p>
            <w:pPr>
              <w:spacing w:line="312" w:lineRule="auto" w:before="100" w:after="100"/>
              <w:ind w:firstLine="0"/>
              <w:jc w:val="left"/>
            </w:pPr>
            <w:r>
              <w:rPr>
                <w:rFonts w:ascii="Times New Roman" w:hAnsi="Times New Roman" w:eastAsia="宋体"/>
                <w:b/>
                <w:i w:val="0"/>
                <w:color w:val="000000"/>
                <w:sz w:val="24"/>
              </w:rPr>
              <w:t>3 国内通用视觉方法的借鉴</w:t>
            </w:r>
          </w:p>
          <w:p>
            <w:pPr>
              <w:spacing w:line="312" w:lineRule="auto" w:after="80"/>
              <w:ind w:firstLine="480"/>
              <w:jc w:val="both"/>
            </w:pPr>
            <w:r>
              <w:rPr>
                <w:rFonts w:ascii="Times New Roman" w:hAnsi="Times New Roman" w:eastAsia="宋体"/>
                <w:b w:val="0"/>
                <w:i w:val="0"/>
                <w:color w:val="000000"/>
                <w:sz w:val="24"/>
              </w:rPr>
              <w:t>与果园应用并行，中国研究者提出了多种通用视觉方法。2017年，何恺明等提出Mask R-CNN，在候选区域上预测逐实例掩膜</w:t>
            </w:r>
            <w:r>
              <w:rPr>
                <w:rFonts w:ascii="Times New Roman" w:hAnsi="Times New Roman" w:eastAsia="宋体"/>
                <w:b w:val="0"/>
                <w:i w:val="0"/>
                <w:color w:val="000000"/>
                <w:sz w:val="19"/>
                <w:vertAlign w:val="superscript"/>
              </w:rPr>
              <w:t>[15]</w:t>
            </w:r>
            <w:r>
              <w:rPr>
                <w:rFonts w:ascii="Times New Roman" w:hAnsi="Times New Roman" w:eastAsia="宋体"/>
                <w:b w:val="0"/>
                <w:i w:val="0"/>
                <w:color w:val="000000"/>
                <w:sz w:val="24"/>
              </w:rPr>
              <w:t>；2019年，孙科等提出HRNet，用持续交换的多分辨率特征保留关键点细节</w:t>
            </w:r>
            <w:r>
              <w:rPr>
                <w:rFonts w:ascii="Times New Roman" w:hAnsi="Times New Roman" w:eastAsia="宋体"/>
                <w:b w:val="0"/>
                <w:i w:val="0"/>
                <w:color w:val="000000"/>
                <w:sz w:val="19"/>
                <w:vertAlign w:val="superscript"/>
              </w:rPr>
              <w:t>[27]</w:t>
            </w:r>
            <w:r>
              <w:rPr>
                <w:rFonts w:ascii="Times New Roman" w:hAnsi="Times New Roman" w:eastAsia="宋体"/>
                <w:b w:val="0"/>
                <w:i w:val="0"/>
                <w:color w:val="000000"/>
                <w:sz w:val="24"/>
              </w:rPr>
              <w:t>；2020年，王鑫龙等提出SOLOv2，转向位置式实例表示和动态掩膜核</w:t>
            </w:r>
            <w:r>
              <w:rPr>
                <w:rFonts w:ascii="Times New Roman" w:hAnsi="Times New Roman" w:eastAsia="宋体"/>
                <w:b w:val="0"/>
                <w:i w:val="0"/>
                <w:color w:val="000000"/>
                <w:sz w:val="19"/>
                <w:vertAlign w:val="superscript"/>
              </w:rPr>
              <w:t>[17]</w:t>
            </w:r>
            <w:r>
              <w:rPr>
                <w:rFonts w:ascii="Times New Roman" w:hAnsi="Times New Roman" w:eastAsia="宋体"/>
                <w:b w:val="0"/>
                <w:i w:val="0"/>
                <w:color w:val="000000"/>
                <w:sz w:val="24"/>
              </w:rPr>
              <w:t>。这些方法处理的对象不同，却分别给本课题的逐果分割、细节保留和点位定位提供了参照。</w:t>
            </w:r>
          </w:p>
          <w:p>
            <w:pPr>
              <w:spacing w:line="312" w:lineRule="auto" w:after="80"/>
              <w:ind w:firstLine="480"/>
              <w:jc w:val="both"/>
            </w:pPr>
            <w:r>
              <w:rPr>
                <w:rFonts w:ascii="Times New Roman" w:hAnsi="Times New Roman" w:eastAsia="宋体"/>
                <w:b w:val="0"/>
                <w:i w:val="0"/>
                <w:color w:val="000000"/>
                <w:sz w:val="24"/>
              </w:rPr>
              <w:t>此后，国内团队把注意力放到评价和效率上：2021年的Boundary IoU关注区域指标不敏感的边界误差，残差对数似然方法则改进了坐标回归</w:t>
            </w:r>
            <w:r>
              <w:rPr>
                <w:rFonts w:ascii="Times New Roman" w:hAnsi="Times New Roman" w:eastAsia="宋体"/>
                <w:b w:val="0"/>
                <w:i w:val="0"/>
                <w:color w:val="000000"/>
                <w:sz w:val="19"/>
                <w:vertAlign w:val="superscript"/>
              </w:rPr>
              <w:t>[25,30]</w:t>
            </w:r>
            <w:r>
              <w:rPr>
                <w:rFonts w:ascii="Times New Roman" w:hAnsi="Times New Roman" w:eastAsia="宋体"/>
                <w:b w:val="0"/>
                <w:i w:val="0"/>
                <w:color w:val="000000"/>
                <w:sz w:val="24"/>
              </w:rPr>
              <w:t>；2022年的SparseInst、Mask2Former、RTMDet和QueryDet分别探索实例激活、掩膜注意力、实时检测和稀疏高分辨率计算</w:t>
            </w:r>
            <w:r>
              <w:rPr>
                <w:rFonts w:ascii="Times New Roman" w:hAnsi="Times New Roman" w:eastAsia="宋体"/>
                <w:b w:val="0"/>
                <w:i w:val="0"/>
                <w:color w:val="000000"/>
                <w:sz w:val="19"/>
                <w:vertAlign w:val="superscript"/>
              </w:rPr>
              <w:t>[18-19,21,23]</w:t>
            </w:r>
            <w:r>
              <w:rPr>
                <w:rFonts w:ascii="Times New Roman" w:hAnsi="Times New Roman" w:eastAsia="宋体"/>
                <w:b w:val="0"/>
                <w:i w:val="0"/>
                <w:color w:val="000000"/>
                <w:sz w:val="24"/>
              </w:rPr>
              <w:t>，SimCC把横纵坐标转为分类任务</w:t>
            </w:r>
            <w:r>
              <w:rPr>
                <w:rFonts w:ascii="Times New Roman" w:hAnsi="Times New Roman" w:eastAsia="宋体"/>
                <w:b w:val="0"/>
                <w:i w:val="0"/>
                <w:color w:val="000000"/>
                <w:sz w:val="19"/>
                <w:vertAlign w:val="superscript"/>
              </w:rPr>
              <w:t>[28]</w:t>
            </w:r>
            <w:r>
              <w:rPr>
                <w:rFonts w:ascii="Times New Roman" w:hAnsi="Times New Roman" w:eastAsia="宋体"/>
                <w:b w:val="0"/>
                <w:i w:val="0"/>
                <w:color w:val="000000"/>
                <w:sz w:val="24"/>
              </w:rPr>
              <w:t>。2023年，FastInst与RTMPose继续推进实时分割和关键点估计</w:t>
            </w:r>
            <w:r>
              <w:rPr>
                <w:rFonts w:ascii="Times New Roman" w:hAnsi="Times New Roman" w:eastAsia="宋体"/>
                <w:b w:val="0"/>
                <w:i w:val="0"/>
                <w:color w:val="000000"/>
                <w:sz w:val="19"/>
                <w:vertAlign w:val="superscript"/>
              </w:rPr>
              <w:t>[20,29]</w:t>
            </w:r>
            <w:r>
              <w:rPr>
                <w:rFonts w:ascii="Times New Roman" w:hAnsi="Times New Roman" w:eastAsia="宋体"/>
                <w:b w:val="0"/>
                <w:i w:val="0"/>
                <w:color w:val="000000"/>
                <w:sz w:val="24"/>
              </w:rPr>
              <w:t>；2025年，石等又以BorderMask加强多尺度边界感知</w:t>
            </w:r>
            <w:r>
              <w:rPr>
                <w:rFonts w:ascii="Times New Roman" w:hAnsi="Times New Roman" w:eastAsia="宋体"/>
                <w:b w:val="0"/>
                <w:i w:val="0"/>
                <w:color w:val="000000"/>
                <w:sz w:val="19"/>
                <w:vertAlign w:val="superscript"/>
              </w:rPr>
              <w:t>[36]</w:t>
            </w:r>
            <w:r>
              <w:rPr>
                <w:rFonts w:ascii="Times New Roman" w:hAnsi="Times New Roman" w:eastAsia="宋体"/>
                <w:b w:val="0"/>
                <w:i w:val="0"/>
                <w:color w:val="000000"/>
                <w:sz w:val="24"/>
              </w:rPr>
              <w:t>。这些通用方法给出了设计空间，是否适合幼果仍要由同一数据和预算下的实验回答。</w:t>
            </w:r>
          </w:p>
          <w:p>
            <w:pPr>
              <w:spacing w:line="312" w:lineRule="auto" w:before="100" w:after="100"/>
              <w:ind w:firstLine="0"/>
              <w:jc w:val="left"/>
            </w:pPr>
            <w:r>
              <w:rPr>
                <w:rFonts w:ascii="Times New Roman" w:hAnsi="Times New Roman" w:eastAsia="宋体"/>
                <w:b/>
                <w:i w:val="0"/>
                <w:color w:val="000000"/>
                <w:sz w:val="24"/>
              </w:rPr>
              <w:t>4 国内研究的启示与本课题切入点</w:t>
            </w:r>
          </w:p>
          <w:p>
            <w:pPr>
              <w:spacing w:line="312" w:lineRule="auto" w:after="80"/>
              <w:ind w:firstLine="480"/>
              <w:jc w:val="both"/>
            </w:pPr>
            <w:r>
              <w:rPr>
                <w:rFonts w:ascii="Times New Roman" w:hAnsi="Times New Roman" w:eastAsia="宋体"/>
                <w:b w:val="0"/>
                <w:i w:val="0"/>
                <w:color w:val="000000"/>
                <w:sz w:val="24"/>
              </w:rPr>
              <w:t>沿着国内文献看，找果、分清每颗果实的可见范围、寻找局部作业点，已经形成连续的研究脉络</w:t>
            </w:r>
            <w:r>
              <w:rPr>
                <w:rFonts w:ascii="Times New Roman" w:hAnsi="Times New Roman" w:eastAsia="宋体"/>
                <w:b w:val="0"/>
                <w:i w:val="0"/>
                <w:color w:val="000000"/>
                <w:sz w:val="19"/>
                <w:vertAlign w:val="superscript"/>
              </w:rPr>
              <w:t>[4-8,10-15,34-35]</w:t>
            </w:r>
            <w:r>
              <w:rPr>
                <w:rFonts w:ascii="Times New Roman" w:hAnsi="Times New Roman" w:eastAsia="宋体"/>
                <w:b w:val="0"/>
                <w:i w:val="0"/>
                <w:color w:val="000000"/>
                <w:sz w:val="24"/>
              </w:rPr>
              <w:t>。本课题的切入点并非重新命名其中某一步，而是检查它们接在一起时发生的错误：遮挡会不会把同一果实切开，贴邻会不会把两颗果实合并，前一步出错又会怎样影响连接点。把这些问题拆开测量，才能知道改进究竟来自哪里。</w:t>
            </w:r>
          </w:p>
        </w:tc>
      </w:tr>
    </w:tbl>
    <w:p w14:paraId="07C58BE6" w14:textId="77777777" w:rsidR="00D617A1" w:rsidRDefault="00D617A1"/>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1"/>
        <w:gridCol w:w="9082"/>
      </w:tblGrid>
      <w:tr w:rsidR="00D617A1" w14:paraId="39D1502B" w14:textId="77777777" w:rsidTr="00CC71C7">
        <w:trPr>
          <w:trHeight w:val="14155"/>
          <w:jc w:val="center"/>
        </w:trPr>
        <w:tc>
          <w:tcPr>
            <w:tcW w:w="10343" w:type="dxa"/>
            <w:gridSpan w:val="2"/>
            <w:tcBorders>
              <w:bottom w:val="single" w:sz="4" w:space="0" w:color="auto"/>
            </w:tcBorders>
          </w:tcPr>
          <w:p w14:paraId="40949FC4" w14:textId="77777777" w:rsidR="00D617A1" w:rsidRDefault="00000000">
            <w:pPr>
              <w:spacing w:beforeLines="50" w:before="156" w:line="360" w:lineRule="auto"/>
              <w:ind w:firstLine="422"/>
              <w:rPr>
                <w:rFonts w:ascii="楷体_GB2312" w:eastAsia="楷体_GB2312"/>
                <w:b/>
                <w:szCs w:val="21"/>
              </w:rPr>
            </w:pPr>
            <w:r>
              <w:rPr>
                <w:rFonts w:ascii="楷体_GB2312" w:eastAsia="楷体_GB2312" w:hint="eastAsia"/>
                <w:b/>
                <w:szCs w:val="21"/>
              </w:rPr>
              <w:lastRenderedPageBreak/>
              <w:t>国外的研究动态及发展趋势：</w:t>
            </w:r>
          </w:p>
          <w:bookmarkEnd w:id="1"/>
          <w:bookmarkEnd w:id="2"/>
          <w:p>
            <w:pPr>
              <w:spacing w:line="312" w:lineRule="auto" w:before="160" w:after="100"/>
              <w:ind w:firstLine="0"/>
              <w:jc w:val="left"/>
            </w:pPr>
            <w:r>
              <w:rPr>
                <w:rFonts w:ascii="Times New Roman" w:hAnsi="Times New Roman" w:eastAsia="宋体"/>
                <w:b/>
                <w:i w:val="0"/>
                <w:color w:val="000000"/>
                <w:sz w:val="24"/>
              </w:rPr>
              <w:t>一 国外实例分割方法的发展</w:t>
            </w:r>
          </w:p>
          <w:p>
            <w:pPr>
              <w:spacing w:line="312" w:lineRule="auto" w:after="80"/>
              <w:ind w:firstLine="480"/>
              <w:jc w:val="both"/>
            </w:pPr>
            <w:r>
              <w:rPr>
                <w:rFonts w:ascii="Times New Roman" w:hAnsi="Times New Roman" w:eastAsia="宋体"/>
                <w:b w:val="0"/>
                <w:i w:val="0"/>
                <w:color w:val="000000"/>
                <w:sz w:val="24"/>
              </w:rPr>
              <w:t>国外的通用分割研究提供了两种不同的起点。2015年，Ronneberger等提出U-Net，借助编码器—解码器和跨层连接保留像素细节，适合建立果实前景的语义分割基线</w:t>
            </w:r>
            <w:r>
              <w:rPr>
                <w:rFonts w:ascii="Times New Roman" w:hAnsi="Times New Roman" w:eastAsia="宋体"/>
                <w:b w:val="0"/>
                <w:i w:val="0"/>
                <w:color w:val="000000"/>
                <w:sz w:val="19"/>
                <w:vertAlign w:val="superscript"/>
              </w:rPr>
              <w:t>[26]</w:t>
            </w:r>
            <w:r>
              <w:rPr>
                <w:rFonts w:ascii="Times New Roman" w:hAnsi="Times New Roman" w:eastAsia="宋体"/>
                <w:b w:val="0"/>
                <w:i w:val="0"/>
                <w:color w:val="000000"/>
                <w:sz w:val="24"/>
              </w:rPr>
              <w:t>；但两颗接触的同类果实仍需额外拆分。2019年，Bolya等提出YOLACT，用共享原型掩膜和逐实例系数生成结果，以较低成本完成单阶段实例分割</w:t>
            </w:r>
            <w:r>
              <w:rPr>
                <w:rFonts w:ascii="Times New Roman" w:hAnsi="Times New Roman" w:eastAsia="宋体"/>
                <w:b w:val="0"/>
                <w:i w:val="0"/>
                <w:color w:val="000000"/>
                <w:sz w:val="19"/>
                <w:vertAlign w:val="superscript"/>
              </w:rPr>
              <w:t>[16]</w:t>
            </w:r>
            <w:r>
              <w:rPr>
                <w:rFonts w:ascii="Times New Roman" w:hAnsi="Times New Roman" w:eastAsia="宋体"/>
                <w:b w:val="0"/>
                <w:i w:val="0"/>
                <w:color w:val="000000"/>
                <w:sz w:val="24"/>
              </w:rPr>
              <w:t>。本研究将分别借鉴其细节保留和高效掩膜表示，同时检验它们面对深凹轮廓与贴邻果实时的局限。</w:t>
            </w:r>
          </w:p>
          <w:p>
            <w:pPr>
              <w:spacing w:line="312" w:lineRule="auto" w:before="160" w:after="100"/>
              <w:ind w:firstLine="0"/>
              <w:jc w:val="left"/>
            </w:pPr>
            <w:r>
              <w:rPr>
                <w:rFonts w:ascii="Times New Roman" w:hAnsi="Times New Roman" w:eastAsia="宋体"/>
                <w:b/>
                <w:i w:val="0"/>
                <w:color w:val="000000"/>
                <w:sz w:val="24"/>
              </w:rPr>
              <w:t>二 小目标与可见边界的精细表达</w:t>
            </w:r>
          </w:p>
          <w:p>
            <w:pPr>
              <w:spacing w:line="312" w:lineRule="auto" w:after="80"/>
              <w:ind w:firstLine="480"/>
              <w:jc w:val="both"/>
            </w:pPr>
            <w:r>
              <w:rPr>
                <w:rFonts w:ascii="Times New Roman" w:hAnsi="Times New Roman" w:eastAsia="宋体"/>
                <w:b w:val="0"/>
                <w:i w:val="0"/>
                <w:color w:val="000000"/>
                <w:sz w:val="24"/>
              </w:rPr>
              <w:t>2020年，Kirillov等提出PointRend，把细粒度计算集中在需要修补的边界位置</w:t>
            </w:r>
            <w:r>
              <w:rPr>
                <w:rFonts w:ascii="Times New Roman" w:hAnsi="Times New Roman" w:eastAsia="宋体"/>
                <w:b w:val="0"/>
                <w:i w:val="0"/>
                <w:color w:val="000000"/>
                <w:sz w:val="19"/>
                <w:vertAlign w:val="superscript"/>
              </w:rPr>
              <w:t>[24]</w:t>
            </w:r>
            <w:r>
              <w:rPr>
                <w:rFonts w:ascii="Times New Roman" w:hAnsi="Times New Roman" w:eastAsia="宋体"/>
                <w:b w:val="0"/>
                <w:i w:val="0"/>
                <w:color w:val="000000"/>
                <w:sz w:val="24"/>
              </w:rPr>
              <w:t>；Bolya等同年提出TIDE，把检测错误拆成不同类型，以便找出指标变化的原因</w:t>
            </w:r>
            <w:r>
              <w:rPr>
                <w:rFonts w:ascii="Times New Roman" w:hAnsi="Times New Roman" w:eastAsia="宋体"/>
                <w:b w:val="0"/>
                <w:i w:val="0"/>
                <w:color w:val="000000"/>
                <w:sz w:val="19"/>
                <w:vertAlign w:val="superscript"/>
              </w:rPr>
              <w:t>[31]</w:t>
            </w:r>
            <w:r>
              <w:rPr>
                <w:rFonts w:ascii="Times New Roman" w:hAnsi="Times New Roman" w:eastAsia="宋体"/>
                <w:b w:val="0"/>
                <w:i w:val="0"/>
                <w:color w:val="000000"/>
                <w:sz w:val="24"/>
              </w:rPr>
              <w:t>。2022年，Akyon等提出SAHI，通过切片训练与推理让小目标占据更多输入像素</w:t>
            </w:r>
            <w:r>
              <w:rPr>
                <w:rFonts w:ascii="Times New Roman" w:hAnsi="Times New Roman" w:eastAsia="宋体"/>
                <w:b w:val="0"/>
                <w:i w:val="0"/>
                <w:color w:val="000000"/>
                <w:sz w:val="19"/>
                <w:vertAlign w:val="superscript"/>
              </w:rPr>
              <w:t>[22]</w:t>
            </w:r>
            <w:r>
              <w:rPr>
                <w:rFonts w:ascii="Times New Roman" w:hAnsi="Times New Roman" w:eastAsia="宋体"/>
                <w:b w:val="0"/>
                <w:i w:val="0"/>
                <w:color w:val="000000"/>
                <w:sz w:val="24"/>
              </w:rPr>
              <w:t>。三项工作对应着本课题的三个实际选择：哪里值得增加计算、该把错误归给哪一环、何时需要放大原图。切片也会带来跨片截断和重复预测，这部分成本必须算进完整图像的处理时间。</w:t>
            </w:r>
          </w:p>
          <w:p>
            <w:pPr>
              <w:spacing w:line="312" w:lineRule="auto" w:after="80"/>
              <w:ind w:firstLine="480"/>
              <w:jc w:val="both"/>
            </w:pPr>
            <w:r>
              <w:rPr>
                <w:rFonts w:ascii="Times New Roman" w:hAnsi="Times New Roman" w:eastAsia="宋体"/>
                <w:b w:val="0"/>
                <w:i w:val="0"/>
                <w:color w:val="000000"/>
                <w:sz w:val="24"/>
              </w:rPr>
              <w:t>2024年，Sapkota和Karkee以未成熟绿苹果为对象，发布了比较YOLOv11与YOLOv8在遮挡和无遮挡场景中分割表现的预印本</w:t>
            </w:r>
            <w:r>
              <w:rPr>
                <w:rFonts w:ascii="Times New Roman" w:hAnsi="Times New Roman" w:eastAsia="宋体"/>
                <w:b w:val="0"/>
                <w:i w:val="0"/>
                <w:color w:val="000000"/>
                <w:sz w:val="19"/>
                <w:vertAlign w:val="superscript"/>
              </w:rPr>
              <w:t>[9]</w:t>
            </w:r>
            <w:r>
              <w:rPr>
                <w:rFonts w:ascii="Times New Roman" w:hAnsi="Times New Roman" w:eastAsia="宋体"/>
                <w:b w:val="0"/>
                <w:i w:val="0"/>
                <w:color w:val="000000"/>
                <w:sz w:val="24"/>
              </w:rPr>
              <w:t>。其按遮挡情况拆分结果的做法值得参考；但绿苹果并非柑橘，该文也仍是预印本。本研究将另外报告凹陷遮挡、邻果接触、边界质量以及分裂和合并错误，使平均Mask AP的变化有具体解释。</w:t>
            </w:r>
          </w:p>
          <w:p>
            <w:pPr>
              <w:spacing w:line="312" w:lineRule="auto" w:before="160" w:after="100"/>
              <w:ind w:firstLine="0"/>
              <w:jc w:val="left"/>
            </w:pPr>
            <w:r>
              <w:rPr>
                <w:rFonts w:ascii="Times New Roman" w:hAnsi="Times New Roman" w:eastAsia="宋体"/>
                <w:b/>
                <w:i w:val="0"/>
                <w:color w:val="000000"/>
                <w:sz w:val="24"/>
              </w:rPr>
              <w:t>三 国外研究趋势与本课题定位</w:t>
            </w:r>
          </w:p>
          <w:p>
            <w:pPr>
              <w:spacing w:line="312" w:lineRule="auto" w:after="80"/>
              <w:ind w:firstLine="480"/>
              <w:jc w:val="both"/>
            </w:pPr>
            <w:r>
              <w:rPr>
                <w:rFonts w:ascii="Times New Roman" w:hAnsi="Times New Roman" w:eastAsia="宋体"/>
                <w:b w:val="0"/>
                <w:i w:val="0"/>
                <w:color w:val="000000"/>
                <w:sz w:val="24"/>
              </w:rPr>
              <w:t>这些国外工作从语义前景、实时实例掩膜，逐步走向按需边界处理、小目标放大和遮挡分层评价</w:t>
            </w:r>
            <w:r>
              <w:rPr>
                <w:rFonts w:ascii="Times New Roman" w:hAnsi="Times New Roman" w:eastAsia="宋体"/>
                <w:b w:val="0"/>
                <w:i w:val="0"/>
                <w:color w:val="000000"/>
                <w:sz w:val="19"/>
                <w:vertAlign w:val="superscript"/>
              </w:rPr>
              <w:t>[9,16,22,24,26,31]</w:t>
            </w:r>
            <w:r>
              <w:rPr>
                <w:rFonts w:ascii="Times New Roman" w:hAnsi="Times New Roman" w:eastAsia="宋体"/>
                <w:b w:val="0"/>
                <w:i w:val="0"/>
                <w:color w:val="000000"/>
                <w:sz w:val="24"/>
              </w:rPr>
              <w:t>。它们给本课题的启发并非照搬某个网络，而是把计算和评价落到真正困难的位置。第一项研究将检验幼果的可见掩膜与邻果分离，第二项研究再检验同果连接点定位；两项结果最终都要回到本课题的数据和作业定义中解释。</w:t>
            </w:r>
          </w:p>
          <w:p>
            <w:pPr>
              <w:spacing w:line="312" w:lineRule="auto" w:before="160" w:after="100"/>
              <w:ind w:firstLine="0"/>
              <w:jc w:val="center"/>
            </w:pPr>
            <w:r>
              <w:rPr>
                <w:rFonts w:ascii="Times New Roman" w:hAnsi="Times New Roman" w:eastAsia="黑体"/>
                <w:b/>
                <w:i w:val="0"/>
                <w:color w:val="000000"/>
                <w:sz w:val="28"/>
              </w:rPr>
              <w:t>开题报告</w:t>
            </w:r>
          </w:p>
          <w:p>
            <w:pPr>
              <w:spacing w:line="312" w:lineRule="auto" w:after="80"/>
              <w:ind w:firstLine="480"/>
              <w:jc w:val="both"/>
            </w:pPr>
            <w:r>
              <w:rPr>
                <w:rFonts w:ascii="Times New Roman" w:hAnsi="Times New Roman" w:eastAsia="宋体"/>
                <w:b w:val="0"/>
                <w:i w:val="0"/>
                <w:color w:val="000000"/>
                <w:sz w:val="24"/>
              </w:rPr>
              <w:t>立题的依据，选题必须对国民经济或在学术上有一定意义。</w:t>
            </w:r>
          </w:p>
          <w:p>
            <w:pPr>
              <w:spacing w:line="312" w:lineRule="auto" w:after="80"/>
              <w:ind w:firstLine="480"/>
              <w:jc w:val="both"/>
            </w:pPr>
            <w:r>
              <w:rPr>
                <w:rFonts w:ascii="Times New Roman" w:hAnsi="Times New Roman" w:eastAsia="宋体"/>
                <w:b w:val="0"/>
                <w:i w:val="0"/>
                <w:color w:val="000000"/>
                <w:sz w:val="24"/>
              </w:rPr>
              <w:t>课题进行的途径，步骤的设想。</w:t>
            </w:r>
          </w:p>
          <w:p>
            <w:pPr>
              <w:spacing w:line="312" w:lineRule="auto" w:after="80"/>
              <w:ind w:firstLine="480"/>
              <w:jc w:val="both"/>
            </w:pPr>
            <w:r>
              <w:rPr>
                <w:rFonts w:ascii="Times New Roman" w:hAnsi="Times New Roman" w:eastAsia="宋体"/>
                <w:b w:val="0"/>
                <w:i w:val="0"/>
                <w:color w:val="000000"/>
                <w:sz w:val="24"/>
              </w:rPr>
              <w:t>需使用的仪器，一般应以选择本院现有仪器及设备为主，估计需要经费多少？</w:t>
            </w:r>
          </w:p>
          <w:p>
            <w:pPr>
              <w:spacing w:line="312" w:lineRule="auto" w:after="80"/>
              <w:ind w:firstLine="480"/>
              <w:jc w:val="both"/>
            </w:pPr>
            <w:r>
              <w:rPr>
                <w:rFonts w:ascii="Times New Roman" w:hAnsi="Times New Roman" w:eastAsia="宋体"/>
                <w:b w:val="0"/>
                <w:i w:val="0"/>
                <w:color w:val="000000"/>
                <w:sz w:val="24"/>
              </w:rPr>
              <w:t>课题进行时可能出现的问题及准备采取的应变措施。</w:t>
            </w:r>
          </w:p>
          <w:p>
            <w:pPr>
              <w:spacing w:line="312" w:lineRule="auto" w:before="160" w:after="100"/>
              <w:ind w:firstLine="0"/>
              <w:jc w:val="left"/>
            </w:pPr>
            <w:r>
              <w:rPr>
                <w:rFonts w:ascii="Times New Roman" w:hAnsi="Times New Roman" w:eastAsia="宋体"/>
                <w:b/>
                <w:i w:val="0"/>
                <w:color w:val="000000"/>
                <w:sz w:val="24"/>
              </w:rPr>
              <w:t>1 立题依据</w:t>
            </w:r>
          </w:p>
          <w:p>
            <w:pPr>
              <w:spacing w:line="312" w:lineRule="auto" w:before="100" w:after="100"/>
              <w:ind w:firstLine="0"/>
              <w:jc w:val="left"/>
            </w:pPr>
            <w:r>
              <w:rPr>
                <w:rFonts w:ascii="Times New Roman" w:hAnsi="Times New Roman" w:eastAsia="宋体"/>
                <w:b/>
                <w:i w:val="0"/>
                <w:color w:val="000000"/>
                <w:sz w:val="24"/>
              </w:rPr>
              <w:t>1.1 研究对象与问题定义</w:t>
            </w:r>
          </w:p>
          <w:p>
            <w:pPr>
              <w:spacing w:line="312" w:lineRule="auto" w:after="80"/>
              <w:ind w:firstLine="480"/>
              <w:jc w:val="both"/>
            </w:pPr>
            <w:r>
              <w:rPr>
                <w:rFonts w:ascii="Times New Roman" w:hAnsi="Times New Roman" w:eastAsia="宋体"/>
                <w:b w:val="0"/>
                <w:i w:val="0"/>
                <w:color w:val="000000"/>
                <w:sz w:val="24"/>
              </w:rPr>
              <w:t>本课题研究自然果园RGB图像中的绿色未成熟柑橘。第一阶段为每颗果实输出可见实例掩膜和置信分数；第二阶段对被接受的果实估计二维果梗连接点，给出实例归属与可定位状态。研究暂不涉及遮挡后完整果体恢复、深度感知和机械臂运动控制，以免把视觉问题与尚无数据支撑的执行问题混在一起。</w:t>
            </w:r>
          </w:p>
          <w:p>
            <w:pPr>
              <w:spacing w:line="312" w:lineRule="auto" w:after="80"/>
              <w:ind w:firstLine="480"/>
              <w:jc w:val="both"/>
            </w:pPr>
            <w:r>
              <w:rPr>
                <w:rFonts w:ascii="Times New Roman" w:hAnsi="Times New Roman" w:eastAsia="宋体"/>
                <w:b w:val="0"/>
                <w:i w:val="0"/>
                <w:color w:val="000000"/>
                <w:sz w:val="24"/>
              </w:rPr>
              <w:t>套袋场景还要求把视觉数据和真实作业时期对上。研究开始时将核对现有图像的品种、物候及采集日期；如果目标作业期的果实外观与已有样本明显不同，就补采该时期的图像并单独标记批次。这样，报告中的“套袋视觉”才能与实际可能使用的场景对应，而不是仅凭果实颜色推断物候。</w:t>
            </w:r>
          </w:p>
          <w:p>
            <w:pPr>
              <w:spacing w:line="312" w:lineRule="auto" w:before="100" w:after="100"/>
              <w:ind w:firstLine="0"/>
              <w:jc w:val="left"/>
            </w:pPr>
            <w:r>
              <w:rPr>
                <w:rFonts w:ascii="Times New Roman" w:hAnsi="Times New Roman" w:eastAsia="宋体"/>
                <w:b/>
                <w:i w:val="0"/>
                <w:color w:val="000000"/>
                <w:sz w:val="24"/>
              </w:rPr>
              <w:t>1.2 数据基础与可量化困难</w:t>
            </w:r>
          </w:p>
          <w:p>
            <w:pPr>
              <w:spacing w:line="312" w:lineRule="auto" w:after="80"/>
              <w:ind w:firstLine="480"/>
              <w:jc w:val="both"/>
            </w:pPr>
            <w:r>
              <w:rPr>
                <w:rFonts w:ascii="Times New Roman" w:hAnsi="Times New Roman" w:eastAsia="宋体"/>
                <w:b w:val="0"/>
                <w:i w:val="0"/>
                <w:color w:val="000000"/>
                <w:sz w:val="24"/>
              </w:rPr>
              <w:t>前期已经形成按采集组划分并去除明确重复实例的数据版本。其规模为965张图像、5,890个可见果实实例，训练、验证和测试分别为676、193和96张；对应实例数为4,120、1,181和589。303个采集组分别分入三个集合，现有规则下未发现跨集合采集组或完全相同图像。该划分用于减少近重复样本造成的评价偏差，但尚不能替代独立果园或独立品种验证。</w:t>
            </w:r>
          </w:p>
          <w:p>
            <w:pPr>
              <w:spacing w:before="120" w:after="60"/>
              <w:ind w:firstLine="0"/>
              <w:jc w:val="center"/>
            </w:pPr>
            <w:r>
              <w:rPr>
                <w:rFonts w:ascii="Times New Roman" w:hAnsi="Times New Roman" w:eastAsia="宋体"/>
                <w:b/>
                <w:i w:val="0"/>
                <w:color w:val="000000"/>
                <w:sz w:val="21"/>
              </w:rPr>
              <w:t>表1 正式数据划分及来源说明</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069"/>
              <w:gridCol w:w="2069"/>
              <w:gridCol w:w="2069"/>
              <w:gridCol w:w="2069"/>
              <w:gridCol w:w="2069"/>
            </w:tblGrid>
            <w:tr>
              <w:tc>
                <w:tcPr>
                  <w:tcW w:type="dxa" w:w="977"/>
                  <w:vAlign w:val="center"/>
                  <w:shd w:val="clear" w:fill="E9EEEB"/>
                </w:tcPr>
                <w:p>
                  <w:pPr>
                    <w:spacing w:after="0" w:line="276" w:lineRule="auto"/>
                    <w:ind w:firstLine="0"/>
                    <w:jc w:val="center"/>
                  </w:pPr>
                  <w:r>
                    <w:rPr>
                      <w:rFonts w:ascii="Times New Roman" w:hAnsi="Times New Roman" w:eastAsia="宋体"/>
                      <w:b/>
                      <w:i w:val="0"/>
                      <w:color w:val="000000"/>
                      <w:sz w:val="21"/>
                    </w:rPr>
                    <w:t>集合</w:t>
                  </w:r>
                </w:p>
              </w:tc>
              <w:tc>
                <w:tcPr>
                  <w:tcW w:type="dxa" w:w="977"/>
                  <w:vAlign w:val="center"/>
                  <w:shd w:val="clear" w:fill="E9EEEB"/>
                </w:tcPr>
                <w:p>
                  <w:pPr>
                    <w:spacing w:after="0" w:line="276" w:lineRule="auto"/>
                    <w:ind w:firstLine="0"/>
                    <w:jc w:val="center"/>
                  </w:pPr>
                  <w:r>
                    <w:rPr>
                      <w:rFonts w:ascii="Times New Roman" w:hAnsi="Times New Roman" w:eastAsia="宋体"/>
                      <w:b/>
                      <w:i w:val="0"/>
                      <w:color w:val="000000"/>
                      <w:sz w:val="21"/>
                    </w:rPr>
                    <w:t>图像数</w:t>
                  </w:r>
                </w:p>
              </w:tc>
              <w:tc>
                <w:tcPr>
                  <w:tcW w:type="dxa" w:w="1119"/>
                  <w:vAlign w:val="center"/>
                  <w:shd w:val="clear" w:fill="E9EEEB"/>
                </w:tcPr>
                <w:p>
                  <w:pPr>
                    <w:spacing w:after="0" w:line="276" w:lineRule="auto"/>
                    <w:ind w:firstLine="0"/>
                    <w:jc w:val="center"/>
                  </w:pPr>
                  <w:r>
                    <w:rPr>
                      <w:rFonts w:ascii="Times New Roman" w:hAnsi="Times New Roman" w:eastAsia="宋体"/>
                      <w:b/>
                      <w:i w:val="0"/>
                      <w:color w:val="000000"/>
                      <w:sz w:val="21"/>
                    </w:rPr>
                    <w:t>实例数</w:t>
                  </w:r>
                </w:p>
              </w:tc>
              <w:tc>
                <w:tcPr>
                  <w:tcW w:type="dxa" w:w="977"/>
                  <w:vAlign w:val="center"/>
                  <w:shd w:val="clear" w:fill="E9EEEB"/>
                </w:tcPr>
                <w:p>
                  <w:pPr>
                    <w:spacing w:after="0" w:line="276" w:lineRule="auto"/>
                    <w:ind w:firstLine="0"/>
                    <w:jc w:val="center"/>
                  </w:pPr>
                  <w:r>
                    <w:rPr>
                      <w:rFonts w:ascii="Times New Roman" w:hAnsi="Times New Roman" w:eastAsia="宋体"/>
                      <w:b/>
                      <w:i w:val="0"/>
                      <w:color w:val="000000"/>
                      <w:sz w:val="21"/>
                    </w:rPr>
                    <w:t>采集组数</w:t>
                  </w:r>
                </w:p>
              </w:tc>
              <w:tc>
                <w:tcPr>
                  <w:tcW w:type="dxa" w:w="4794"/>
                  <w:vAlign w:val="center"/>
                  <w:shd w:val="clear" w:fill="E9EEEB"/>
                </w:tcPr>
                <w:p>
                  <w:pPr>
                    <w:spacing w:after="0" w:line="276" w:lineRule="auto"/>
                    <w:ind w:firstLine="0"/>
                    <w:jc w:val="center"/>
                  </w:pPr>
                  <w:r>
                    <w:rPr>
                      <w:rFonts w:ascii="Times New Roman" w:hAnsi="Times New Roman" w:eastAsia="宋体"/>
                      <w:b/>
                      <w:i w:val="0"/>
                      <w:color w:val="000000"/>
                      <w:sz w:val="21"/>
                    </w:rPr>
                    <w:t>来源与用途</w:t>
                  </w:r>
                </w:p>
              </w:tc>
            </w:tr>
            <w:tr>
              <w:tc>
                <w:tcPr>
                  <w:tcW w:type="dxa" w:w="977"/>
                  <w:vAlign w:val="center"/>
                </w:tcPr>
                <w:p>
                  <w:pPr>
                    <w:spacing w:after="0" w:line="276" w:lineRule="auto"/>
                    <w:ind w:firstLine="0"/>
                    <w:jc w:val="center"/>
                  </w:pPr>
                  <w:r>
                    <w:rPr>
                      <w:rFonts w:ascii="Times New Roman" w:hAnsi="Times New Roman" w:eastAsia="宋体"/>
                      <w:b w:val="0"/>
                      <w:i w:val="0"/>
                      <w:color w:val="000000"/>
                      <w:sz w:val="21"/>
                    </w:rPr>
                    <w:t>训练集</w:t>
                  </w:r>
                </w:p>
              </w:tc>
              <w:tc>
                <w:tcPr>
                  <w:tcW w:type="dxa" w:w="977"/>
                  <w:vAlign w:val="center"/>
                </w:tcPr>
                <w:p>
                  <w:pPr>
                    <w:spacing w:after="0" w:line="276" w:lineRule="auto"/>
                    <w:ind w:firstLine="0"/>
                    <w:jc w:val="left"/>
                  </w:pPr>
                  <w:r>
                    <w:rPr>
                      <w:rFonts w:ascii="Times New Roman" w:hAnsi="Times New Roman" w:eastAsia="宋体"/>
                      <w:b w:val="0"/>
                      <w:i w:val="0"/>
                      <w:color w:val="000000"/>
                      <w:sz w:val="21"/>
                    </w:rPr>
                    <w:t>676</w:t>
                  </w:r>
                </w:p>
              </w:tc>
              <w:tc>
                <w:tcPr>
                  <w:tcW w:type="dxa" w:w="1119"/>
                  <w:vAlign w:val="center"/>
                </w:tcPr>
                <w:p>
                  <w:pPr>
                    <w:spacing w:after="0" w:line="276" w:lineRule="auto"/>
                    <w:ind w:firstLine="0"/>
                    <w:jc w:val="left"/>
                  </w:pPr>
                  <w:r>
                    <w:rPr>
                      <w:rFonts w:ascii="Times New Roman" w:hAnsi="Times New Roman" w:eastAsia="宋体"/>
                      <w:b w:val="0"/>
                      <w:i w:val="0"/>
                      <w:color w:val="000000"/>
                      <w:sz w:val="21"/>
                    </w:rPr>
                    <w:t>4,120</w:t>
                  </w:r>
                </w:p>
              </w:tc>
              <w:tc>
                <w:tcPr>
                  <w:tcW w:type="dxa" w:w="977"/>
                  <w:vAlign w:val="center"/>
                </w:tcPr>
                <w:p>
                  <w:pPr>
                    <w:spacing w:after="0" w:line="276" w:lineRule="auto"/>
                    <w:ind w:firstLine="0"/>
                    <w:jc w:val="left"/>
                  </w:pPr>
                  <w:r>
                    <w:rPr>
                      <w:rFonts w:ascii="Times New Roman" w:hAnsi="Times New Roman" w:eastAsia="宋体"/>
                      <w:b w:val="0"/>
                      <w:i w:val="0"/>
                      <w:color w:val="000000"/>
                      <w:sz w:val="21"/>
                    </w:rPr>
                    <w:t>180</w:t>
                  </w:r>
                </w:p>
              </w:tc>
              <w:tc>
                <w:tcPr>
                  <w:tcW w:type="dxa" w:w="4794"/>
                  <w:vAlign w:val="center"/>
                </w:tcPr>
                <w:p>
                  <w:pPr>
                    <w:spacing w:after="0" w:line="276" w:lineRule="auto"/>
                    <w:ind w:firstLine="0"/>
                    <w:jc w:val="left"/>
                  </w:pPr>
                  <w:r>
                    <w:rPr>
                      <w:rFonts w:ascii="Times New Roman" w:hAnsi="Times New Roman" w:eastAsia="宋体"/>
                      <w:b w:val="0"/>
                      <w:i w:val="0"/>
                      <w:color w:val="000000"/>
                      <w:sz w:val="21"/>
                    </w:rPr>
                    <w:t>644张相机图、29张视频来源图、3张生成图；仅用于学习</w:t>
                  </w:r>
                </w:p>
              </w:tc>
            </w:tr>
            <w:tr>
              <w:tc>
                <w:tcPr>
                  <w:tcW w:type="dxa" w:w="977"/>
                  <w:vAlign w:val="center"/>
                </w:tcPr>
                <w:p>
                  <w:pPr>
                    <w:spacing w:after="0" w:line="276" w:lineRule="auto"/>
                    <w:ind w:firstLine="0"/>
                    <w:jc w:val="center"/>
                  </w:pPr>
                  <w:r>
                    <w:rPr>
                      <w:rFonts w:ascii="Times New Roman" w:hAnsi="Times New Roman" w:eastAsia="宋体"/>
                      <w:b w:val="0"/>
                      <w:i w:val="0"/>
                      <w:color w:val="000000"/>
                      <w:sz w:val="21"/>
                    </w:rPr>
                    <w:t>验证集</w:t>
                  </w:r>
                </w:p>
              </w:tc>
              <w:tc>
                <w:tcPr>
                  <w:tcW w:type="dxa" w:w="977"/>
                  <w:vAlign w:val="center"/>
                </w:tcPr>
                <w:p>
                  <w:pPr>
                    <w:spacing w:after="0" w:line="276" w:lineRule="auto"/>
                    <w:ind w:firstLine="0"/>
                    <w:jc w:val="left"/>
                  </w:pPr>
                  <w:r>
                    <w:rPr>
                      <w:rFonts w:ascii="Times New Roman" w:hAnsi="Times New Roman" w:eastAsia="宋体"/>
                      <w:b w:val="0"/>
                      <w:i w:val="0"/>
                      <w:color w:val="000000"/>
                      <w:sz w:val="21"/>
                    </w:rPr>
                    <w:t>193</w:t>
                  </w:r>
                </w:p>
              </w:tc>
              <w:tc>
                <w:tcPr>
                  <w:tcW w:type="dxa" w:w="1119"/>
                  <w:vAlign w:val="center"/>
                </w:tcPr>
                <w:p>
                  <w:pPr>
                    <w:spacing w:after="0" w:line="276" w:lineRule="auto"/>
                    <w:ind w:firstLine="0"/>
                    <w:jc w:val="left"/>
                  </w:pPr>
                  <w:r>
                    <w:rPr>
                      <w:rFonts w:ascii="Times New Roman" w:hAnsi="Times New Roman" w:eastAsia="宋体"/>
                      <w:b w:val="0"/>
                      <w:i w:val="0"/>
                      <w:color w:val="000000"/>
                      <w:sz w:val="21"/>
                    </w:rPr>
                    <w:t>1,181</w:t>
                  </w:r>
                </w:p>
              </w:tc>
              <w:tc>
                <w:tcPr>
                  <w:tcW w:type="dxa" w:w="977"/>
                  <w:vAlign w:val="center"/>
                </w:tcPr>
                <w:p>
                  <w:pPr>
                    <w:spacing w:after="0" w:line="276" w:lineRule="auto"/>
                    <w:ind w:firstLine="0"/>
                    <w:jc w:val="left"/>
                  </w:pPr>
                  <w:r>
                    <w:rPr>
                      <w:rFonts w:ascii="Times New Roman" w:hAnsi="Times New Roman" w:eastAsia="宋体"/>
                      <w:b w:val="0"/>
                      <w:i w:val="0"/>
                      <w:color w:val="000000"/>
                      <w:sz w:val="21"/>
                    </w:rPr>
                    <w:t>77</w:t>
                  </w:r>
                </w:p>
              </w:tc>
              <w:tc>
                <w:tcPr>
                  <w:tcW w:type="dxa" w:w="4794"/>
                  <w:vAlign w:val="center"/>
                </w:tcPr>
                <w:p>
                  <w:pPr>
                    <w:spacing w:after="0" w:line="276" w:lineRule="auto"/>
                    <w:ind w:firstLine="0"/>
                    <w:jc w:val="left"/>
                  </w:pPr>
                  <w:r>
                    <w:rPr>
                      <w:rFonts w:ascii="Times New Roman" w:hAnsi="Times New Roman" w:eastAsia="宋体"/>
                      <w:b w:val="0"/>
                      <w:i w:val="0"/>
                      <w:color w:val="000000"/>
                      <w:sz w:val="21"/>
                    </w:rPr>
                    <w:t>相机图；模型选择、阈值与后处理选择</w:t>
                  </w:r>
                </w:p>
              </w:tc>
            </w:tr>
            <w:tr>
              <w:tc>
                <w:tcPr>
                  <w:tcW w:type="dxa" w:w="977"/>
                  <w:vAlign w:val="center"/>
                </w:tcPr>
                <w:p>
                  <w:pPr>
                    <w:spacing w:after="0" w:line="276" w:lineRule="auto"/>
                    <w:ind w:firstLine="0"/>
                    <w:jc w:val="center"/>
                  </w:pPr>
                  <w:r>
                    <w:rPr>
                      <w:rFonts w:ascii="Times New Roman" w:hAnsi="Times New Roman" w:eastAsia="宋体"/>
                      <w:b w:val="0"/>
                      <w:i w:val="0"/>
                      <w:color w:val="000000"/>
                      <w:sz w:val="21"/>
                    </w:rPr>
                    <w:t>测试集</w:t>
                  </w:r>
                </w:p>
              </w:tc>
              <w:tc>
                <w:tcPr>
                  <w:tcW w:type="dxa" w:w="977"/>
                  <w:vAlign w:val="center"/>
                </w:tcPr>
                <w:p>
                  <w:pPr>
                    <w:spacing w:after="0" w:line="276" w:lineRule="auto"/>
                    <w:ind w:firstLine="0"/>
                    <w:jc w:val="left"/>
                  </w:pPr>
                  <w:r>
                    <w:rPr>
                      <w:rFonts w:ascii="Times New Roman" w:hAnsi="Times New Roman" w:eastAsia="宋体"/>
                      <w:b w:val="0"/>
                      <w:i w:val="0"/>
                      <w:color w:val="000000"/>
                      <w:sz w:val="21"/>
                    </w:rPr>
                    <w:t>96</w:t>
                  </w:r>
                </w:p>
              </w:tc>
              <w:tc>
                <w:tcPr>
                  <w:tcW w:type="dxa" w:w="1119"/>
                  <w:vAlign w:val="center"/>
                </w:tcPr>
                <w:p>
                  <w:pPr>
                    <w:spacing w:after="0" w:line="276" w:lineRule="auto"/>
                    <w:ind w:firstLine="0"/>
                    <w:jc w:val="left"/>
                  </w:pPr>
                  <w:r>
                    <w:rPr>
                      <w:rFonts w:ascii="Times New Roman" w:hAnsi="Times New Roman" w:eastAsia="宋体"/>
                      <w:b w:val="0"/>
                      <w:i w:val="0"/>
                      <w:color w:val="000000"/>
                      <w:sz w:val="21"/>
                    </w:rPr>
                    <w:t>589</w:t>
                  </w:r>
                </w:p>
              </w:tc>
              <w:tc>
                <w:tcPr>
                  <w:tcW w:type="dxa" w:w="977"/>
                  <w:vAlign w:val="center"/>
                </w:tcPr>
                <w:p>
                  <w:pPr>
                    <w:spacing w:after="0" w:line="276" w:lineRule="auto"/>
                    <w:ind w:firstLine="0"/>
                    <w:jc w:val="left"/>
                  </w:pPr>
                  <w:r>
                    <w:rPr>
                      <w:rFonts w:ascii="Times New Roman" w:hAnsi="Times New Roman" w:eastAsia="宋体"/>
                      <w:b w:val="0"/>
                      <w:i w:val="0"/>
                      <w:color w:val="000000"/>
                      <w:sz w:val="21"/>
                    </w:rPr>
                    <w:t>46</w:t>
                  </w:r>
                </w:p>
              </w:tc>
              <w:tc>
                <w:tcPr>
                  <w:tcW w:type="dxa" w:w="4794"/>
                  <w:vAlign w:val="center"/>
                </w:tcPr>
                <w:p>
                  <w:pPr>
                    <w:spacing w:after="0" w:line="276" w:lineRule="auto"/>
                    <w:ind w:firstLine="0"/>
                    <w:jc w:val="left"/>
                  </w:pPr>
                  <w:r>
                    <w:rPr>
                      <w:rFonts w:ascii="Times New Roman" w:hAnsi="Times New Roman" w:eastAsia="宋体"/>
                      <w:b w:val="0"/>
                      <w:i w:val="0"/>
                      <w:color w:val="000000"/>
                      <w:sz w:val="21"/>
                    </w:rPr>
                    <w:t>相机图；模型冻结后的最终评价</w:t>
                  </w:r>
                </w:p>
              </w:tc>
            </w:tr>
            <w:tr>
              <w:tc>
                <w:tcPr>
                  <w:tcW w:type="dxa" w:w="977"/>
                  <w:vAlign w:val="center"/>
                </w:tcPr>
                <w:p>
                  <w:pPr>
                    <w:spacing w:after="0" w:line="276" w:lineRule="auto"/>
                    <w:ind w:firstLine="0"/>
                    <w:jc w:val="center"/>
                  </w:pPr>
                  <w:r>
                    <w:rPr>
                      <w:rFonts w:ascii="Times New Roman" w:hAnsi="Times New Roman" w:eastAsia="宋体"/>
                      <w:b w:val="0"/>
                      <w:i w:val="0"/>
                      <w:color w:val="000000"/>
                      <w:sz w:val="21"/>
                    </w:rPr>
                    <w:t>合计</w:t>
                  </w:r>
                </w:p>
              </w:tc>
              <w:tc>
                <w:tcPr>
                  <w:tcW w:type="dxa" w:w="977"/>
                  <w:vAlign w:val="center"/>
                </w:tcPr>
                <w:p>
                  <w:pPr>
                    <w:spacing w:after="0" w:line="276" w:lineRule="auto"/>
                    <w:ind w:firstLine="0"/>
                    <w:jc w:val="left"/>
                  </w:pPr>
                  <w:r>
                    <w:rPr>
                      <w:rFonts w:ascii="Times New Roman" w:hAnsi="Times New Roman" w:eastAsia="宋体"/>
                      <w:b w:val="0"/>
                      <w:i w:val="0"/>
                      <w:color w:val="000000"/>
                      <w:sz w:val="21"/>
                    </w:rPr>
                    <w:t>965</w:t>
                  </w:r>
                </w:p>
              </w:tc>
              <w:tc>
                <w:tcPr>
                  <w:tcW w:type="dxa" w:w="1119"/>
                  <w:vAlign w:val="center"/>
                </w:tcPr>
                <w:p>
                  <w:pPr>
                    <w:spacing w:after="0" w:line="276" w:lineRule="auto"/>
                    <w:ind w:firstLine="0"/>
                    <w:jc w:val="left"/>
                  </w:pPr>
                  <w:r>
                    <w:rPr>
                      <w:rFonts w:ascii="Times New Roman" w:hAnsi="Times New Roman" w:eastAsia="宋体"/>
                      <w:b w:val="0"/>
                      <w:i w:val="0"/>
                      <w:color w:val="000000"/>
                      <w:sz w:val="21"/>
                    </w:rPr>
                    <w:t>5,890</w:t>
                  </w:r>
                </w:p>
              </w:tc>
              <w:tc>
                <w:tcPr>
                  <w:tcW w:type="dxa" w:w="977"/>
                  <w:vAlign w:val="center"/>
                </w:tcPr>
                <w:p>
                  <w:pPr>
                    <w:spacing w:after="0" w:line="276" w:lineRule="auto"/>
                    <w:ind w:firstLine="0"/>
                    <w:jc w:val="left"/>
                  </w:pPr>
                  <w:r>
                    <w:rPr>
                      <w:rFonts w:ascii="Times New Roman" w:hAnsi="Times New Roman" w:eastAsia="宋体"/>
                      <w:b w:val="0"/>
                      <w:i w:val="0"/>
                      <w:color w:val="000000"/>
                      <w:sz w:val="21"/>
                    </w:rPr>
                    <w:t>303</w:t>
                  </w:r>
                </w:p>
              </w:tc>
              <w:tc>
                <w:tcPr>
                  <w:tcW w:type="dxa" w:w="4794"/>
                  <w:vAlign w:val="center"/>
                </w:tcPr>
                <w:p>
                  <w:pPr>
                    <w:spacing w:after="0" w:line="276" w:lineRule="auto"/>
                    <w:ind w:firstLine="0"/>
                    <w:jc w:val="left"/>
                  </w:pPr>
                  <w:r>
                    <w:rPr>
                      <w:rFonts w:ascii="Times New Roman" w:hAnsi="Times New Roman" w:eastAsia="宋体"/>
                      <w:b w:val="0"/>
                      <w:i w:val="0"/>
                      <w:color w:val="000000"/>
                      <w:sz w:val="21"/>
                    </w:rPr>
                    <w:t>单类绿色未成熟柑橘可见实例</w:t>
                  </w:r>
                </w:p>
              </w:tc>
            </w:tr>
          </w:tbl>
          <w:p/>
          <w:p/>
          <w:p>
            <w:pPr>
              <w:spacing w:line="312" w:lineRule="auto" w:after="80"/>
              <w:ind w:firstLine="480"/>
              <w:jc w:val="both"/>
            </w:pPr>
            <w:r>
              <w:rPr>
                <w:rFonts w:ascii="Times New Roman" w:hAnsi="Times New Roman" w:eastAsia="宋体"/>
                <w:b w:val="0"/>
                <w:i w:val="0"/>
                <w:color w:val="000000"/>
                <w:sz w:val="24"/>
              </w:rPr>
              <w:t>训练集中有3张生成图，另有29张视频来源图，均在数据说明中保留来源标记。主实验继续使用已冻结的数据版本，同时增加一个去掉3张生成图的训练对照，检查结果是否受其影响。已有清理解决了明确的重复问题；在正式训练前，还要抽查极小果、贴边果、深凹轮廓和密集邻果的标签质量。若修订标签，所有比较方法都使用同一新版本。</w:t>
            </w:r>
          </w:p>
          <w:p>
            <w:pPr>
              <w:spacing w:line="312" w:lineRule="auto" w:after="80"/>
              <w:ind w:firstLine="480"/>
              <w:jc w:val="both"/>
            </w:pPr>
            <w:r>
              <w:rPr>
                <w:rFonts w:ascii="Times New Roman" w:hAnsi="Times New Roman" w:eastAsia="宋体"/>
                <w:b w:val="0"/>
                <w:i w:val="0"/>
                <w:color w:val="000000"/>
                <w:sz w:val="24"/>
              </w:rPr>
              <w:t>根据前期对正式标签的几何统计，在保持长宽比、长边缩放至640像素的等效尺度下，2,853个实例的外接框短边不足32像素，占48.4%；1,170个不足16像素，占19.9%。这一口径用于描述输入缩放后的位置分辨能力，与COCO按面积定义的小目标分档不同，二者在报告中分别列出，不能混称。</w:t>
            </w:r>
          </w:p>
          <w:p>
            <w:pPr>
              <w:spacing w:line="312" w:lineRule="auto" w:after="80"/>
              <w:ind w:firstLine="480"/>
              <w:jc w:val="both"/>
            </w:pPr>
            <w:r>
              <w:rPr>
                <w:rFonts w:ascii="Times New Roman" w:hAnsi="Times New Roman" w:eastAsia="宋体"/>
                <w:b w:val="0"/>
                <w:i w:val="0"/>
                <w:color w:val="000000"/>
                <w:sz w:val="24"/>
              </w:rPr>
              <w:t>以可见果面面积除以凸包面积得到solidity。现有实例中，约24.2%低于0.90，约7.7%低于0.80；低值说明轮廓较凹，但原因可能是遮挡、图像边缘截断或标注误差，后续将人工复核。全数据有800张图包含至少两颗果实；这些图内最大与最小实例的面积比中位数约为10.5，对应线性尺度比中位数约为3.25。图8汇总了这些几何特征，说明单图内尺度差异不可忽略。</w:t>
            </w:r>
          </w:p>
          <w:p>
            <w:pPr>
              <w:spacing w:before="120" w:after="40" w:line="240" w:lineRule="auto"/>
              <w:ind w:firstLine="0"/>
              <w:jc w:val="center"/>
            </w:pPr>
            <w:r>
              <w:drawing>
                <wp:inline xmlns:a="http://schemas.openxmlformats.org/drawingml/2006/main" xmlns:pic="http://schemas.openxmlformats.org/drawingml/2006/picture">
                  <wp:extent cx="5220000" cy="2320000"/>
                  <wp:docPr id="2133873094" name="Picture 2133873094"/>
                  <wp:cNvGraphicFramePr>
                    <a:graphicFrameLocks noChangeAspect="1"/>
                  </wp:cNvGraphicFramePr>
                  <a:graphic>
                    <a:graphicData uri="http://schemas.openxmlformats.org/drawingml/2006/picture">
                      <pic:pic>
                        <pic:nvPicPr>
                          <pic:cNvPr id="0" name="fig03_profile.png"/>
                          <pic:cNvPicPr/>
                        </pic:nvPicPr>
                        <pic:blipFill>
                          <a:blip r:embed="rId103"/>
                          <a:stretch>
                            <a:fillRect/>
                          </a:stretch>
                        </pic:blipFill>
                        <pic:spPr>
                          <a:xfrm>
                            <a:off x="0" y="0"/>
                            <a:ext cx="5220000" cy="2320000"/>
                          </a:xfrm>
                          <a:prstGeom prst="rect"/>
                        </pic:spPr>
                      </pic:pic>
                    </a:graphicData>
                  </a:graphic>
                </wp:inline>
              </w:drawing>
            </w:r>
          </w:p>
          <w:p>
            <w:pPr>
              <w:spacing w:after="160" w:line="276" w:lineRule="auto"/>
              <w:ind w:firstLine="0"/>
              <w:jc w:val="center"/>
            </w:pPr>
            <w:r>
              <w:rPr>
                <w:rFonts w:ascii="Times New Roman" w:hAnsi="Times New Roman" w:eastAsia="宋体"/>
                <w:b w:val="0"/>
                <w:i w:val="0"/>
                <w:color w:val="000000"/>
                <w:sz w:val="21"/>
              </w:rPr>
              <w:t>图8 正式标注的尺度与形状画像及数据划分</w:t>
            </w:r>
          </w:p>
          <w:p>
            <w:pPr>
              <w:spacing w:line="312" w:lineRule="auto" w:before="100" w:after="100"/>
              <w:ind w:firstLine="0"/>
              <w:jc w:val="left"/>
            </w:pPr>
            <w:r>
              <w:rPr>
                <w:rFonts w:ascii="Times New Roman" w:hAnsi="Times New Roman" w:eastAsia="宋体"/>
                <w:b/>
                <w:i w:val="0"/>
                <w:color w:val="000000"/>
                <w:sz w:val="24"/>
              </w:rPr>
              <w:t>1.3 核心矛盾与研究假设</w:t>
            </w:r>
          </w:p>
          <w:p>
            <w:pPr>
              <w:spacing w:line="312" w:lineRule="auto" w:after="80"/>
              <w:ind w:firstLine="480"/>
              <w:jc w:val="both"/>
            </w:pPr>
            <w:r>
              <w:rPr>
                <w:rFonts w:ascii="Times New Roman" w:hAnsi="Times New Roman" w:eastAsia="宋体"/>
                <w:b w:val="0"/>
                <w:i w:val="0"/>
                <w:color w:val="000000"/>
                <w:sz w:val="24"/>
              </w:rPr>
              <w:t>首先要处理的是“看得广”与“看得细”的冲突。果实和叶片近色，局部像素不足以判断归属；远处小果和邻果窄缝又怕高层特征的下采样。假设H1是：在相同资源预算下，让浅层细节与深层语义分别发挥作用，并按位置控制融合强度，比单纯加宽网络或整体提高输入分辨率更有利于小果和边界。</w:t>
            </w:r>
          </w:p>
          <w:p>
            <w:pPr>
              <w:spacing w:line="312" w:lineRule="auto" w:after="80"/>
              <w:ind w:firstLine="480"/>
              <w:jc w:val="both"/>
            </w:pPr>
            <w:r>
              <w:rPr>
                <w:rFonts w:ascii="Times New Roman" w:hAnsi="Times New Roman" w:eastAsia="宋体"/>
                <w:b w:val="0"/>
                <w:i w:val="0"/>
                <w:color w:val="000000"/>
                <w:sz w:val="24"/>
              </w:rPr>
              <w:t>另一处冲突发生在果实之间和果实内部。叶片横穿一颗果实，模型应保持其同一实例身份，却只分出真实可见果面；两颗贴在一起的果实则必须分开。假设H2是：用可见掩膜的凹边界和邻果局部关系作监督，可以同时减少同果分裂和异果合并。两类错误将分别统计，防止模型只顾一头。</w:t>
            </w:r>
          </w:p>
          <w:p>
            <w:pPr>
              <w:spacing w:before="120" w:after="40" w:line="240" w:lineRule="auto"/>
              <w:ind w:firstLine="0"/>
              <w:jc w:val="center"/>
            </w:pPr>
            <w:r>
              <w:drawing>
                <wp:inline xmlns:a="http://schemas.openxmlformats.org/drawingml/2006/main" xmlns:pic="http://schemas.openxmlformats.org/drawingml/2006/picture">
                  <wp:extent cx="5220000" cy="2465000"/>
                  <wp:docPr id="2133873095" name="Picture 2133873095"/>
                  <wp:cNvGraphicFramePr>
                    <a:graphicFrameLocks noChangeAspect="1"/>
                  </wp:cNvGraphicFramePr>
                  <a:graphic>
                    <a:graphicData uri="http://schemas.openxmlformats.org/drawingml/2006/picture">
                      <pic:pic>
                        <pic:nvPicPr>
                          <pic:cNvPr id="0" name="fig04_topology.png"/>
                          <pic:cNvPicPr/>
                        </pic:nvPicPr>
                        <pic:blipFill>
                          <a:blip r:embed="rId104"/>
                          <a:stretch>
                            <a:fillRect/>
                          </a:stretch>
                        </pic:blipFill>
                        <pic:spPr>
                          <a:xfrm>
                            <a:off x="0" y="0"/>
                            <a:ext cx="5220000" cy="2465000"/>
                          </a:xfrm>
                          <a:prstGeom prst="rect"/>
                        </pic:spPr>
                      </pic:pic>
                    </a:graphicData>
                  </a:graphic>
                </wp:inline>
              </w:drawing>
            </w:r>
          </w:p>
          <w:p>
            <w:pPr>
              <w:spacing w:after="160" w:line="276" w:lineRule="auto"/>
              <w:ind w:firstLine="0"/>
              <w:jc w:val="center"/>
            </w:pPr>
            <w:r>
              <w:rPr>
                <w:rFonts w:ascii="Times New Roman" w:hAnsi="Times New Roman" w:eastAsia="宋体"/>
                <w:b w:val="0"/>
                <w:i w:val="0"/>
                <w:color w:val="000000"/>
                <w:sz w:val="21"/>
              </w:rPr>
              <w:t>图9 条带遮挡与邻果接触的任务冲突示意</w:t>
            </w:r>
          </w:p>
          <w:p>
            <w:pPr>
              <w:spacing w:line="312" w:lineRule="auto" w:after="80"/>
              <w:ind w:firstLine="480"/>
              <w:jc w:val="both"/>
            </w:pPr>
            <w:r>
              <w:rPr>
                <w:rFonts w:ascii="Times New Roman" w:hAnsi="Times New Roman" w:eastAsia="宋体"/>
                <w:b w:val="0"/>
                <w:i w:val="0"/>
                <w:color w:val="000000"/>
                <w:sz w:val="24"/>
              </w:rPr>
              <w:t>连接点定位还要权衡准确性与覆盖率。ROI放大能保留枝梗线索，也容易带入邻果；硬裁掉掩膜外像素又可能把真正的果梗删掉。假设H3是：保留局部RGB，以指定果实掩膜作软提示，并单独判断连接区是否可定位，能够在相同输出覆盖率下减少错配与错误接受。评价将同时看点误差和实际输出了多少可靠结果。</w:t>
            </w:r>
          </w:p>
          <w:p>
            <w:pPr>
              <w:spacing w:line="312" w:lineRule="auto" w:before="160" w:after="100"/>
              <w:ind w:firstLine="0"/>
              <w:jc w:val="left"/>
            </w:pPr>
            <w:r>
              <w:rPr>
                <w:rFonts w:ascii="Times New Roman" w:hAnsi="Times New Roman" w:eastAsia="宋体"/>
                <w:b/>
                <w:i w:val="0"/>
                <w:color w:val="000000"/>
                <w:sz w:val="24"/>
              </w:rPr>
              <w:t>2 课题进行的途径和步骤设想</w:t>
            </w:r>
          </w:p>
          <w:p>
            <w:pPr>
              <w:spacing w:line="312" w:lineRule="auto" w:before="100" w:after="100"/>
              <w:ind w:firstLine="0"/>
              <w:jc w:val="left"/>
            </w:pPr>
            <w:r>
              <w:rPr>
                <w:rFonts w:ascii="Times New Roman" w:hAnsi="Times New Roman" w:eastAsia="宋体"/>
                <w:b/>
                <w:i w:val="0"/>
                <w:color w:val="000000"/>
                <w:sz w:val="24"/>
              </w:rPr>
              <w:t>2.1 总体目标与研究内容</w:t>
            </w:r>
          </w:p>
          <w:p>
            <w:pPr>
              <w:spacing w:line="312" w:lineRule="auto" w:after="80"/>
              <w:ind w:firstLine="480"/>
              <w:jc w:val="both"/>
            </w:pPr>
            <w:r>
              <w:rPr>
                <w:rFonts w:ascii="Times New Roman" w:hAnsi="Times New Roman" w:eastAsia="宋体"/>
                <w:b w:val="0"/>
                <w:i w:val="0"/>
                <w:color w:val="000000"/>
                <w:sz w:val="24"/>
              </w:rPr>
              <w:t>研究目标是建立一套可复核的两阶段视觉方法：在自然场景中分出每颗未成熟柑橘的可见区域，再对图像证据充分的果实定位果梗连接点。评价既看掩膜和实例身份，也看局部点误差、有效输出比例及计算成本。“轻量高精度”最终由相同协议下的精度与效率结果判断，不预先写入未经实验支持的提升数字。</w:t>
            </w:r>
          </w:p>
          <w:p>
            <w:pPr>
              <w:spacing w:line="312" w:lineRule="auto" w:after="80"/>
              <w:ind w:firstLine="480"/>
              <w:jc w:val="both"/>
            </w:pPr>
            <w:r>
              <w:rPr>
                <w:rFonts w:ascii="Times New Roman" w:hAnsi="Times New Roman" w:eastAsia="宋体"/>
                <w:b w:val="0"/>
                <w:i w:val="0"/>
                <w:color w:val="000000"/>
                <w:sz w:val="24"/>
              </w:rPr>
              <w:t>工作从数据开始。先固定采集组、图像成员和实例编号，补齐难例属性与连接点标注规则；然后围绕H1、H2研究可见实例分割，比较细节保留、语义协同及局部监督各自的作用；最后围绕H3训练单果连接点网络，并把上游预测实际送入下游，量化两阶段之间的误差传递。这样的顺序既便于控制变量，也能让每一步的结果为下一步提供可靠输入。</w:t>
            </w:r>
          </w:p>
          <w:p>
            <w:pPr>
              <w:spacing w:line="312" w:lineRule="auto" w:before="100" w:after="100"/>
              <w:ind w:firstLine="0"/>
              <w:jc w:val="left"/>
            </w:pPr>
            <w:r>
              <w:rPr>
                <w:rFonts w:ascii="Times New Roman" w:hAnsi="Times New Roman" w:eastAsia="宋体"/>
                <w:b/>
                <w:i w:val="0"/>
                <w:color w:val="000000"/>
                <w:sz w:val="24"/>
              </w:rPr>
              <w:t>2.2 数据整理与标注方案</w:t>
            </w:r>
          </w:p>
          <w:p>
            <w:pPr>
              <w:spacing w:line="312" w:lineRule="auto" w:before="100" w:after="100"/>
              <w:ind w:firstLine="0"/>
              <w:jc w:val="left"/>
            </w:pPr>
            <w:r>
              <w:rPr>
                <w:rFonts w:ascii="Times New Roman" w:hAnsi="Times New Roman" w:eastAsia="宋体"/>
                <w:b/>
                <w:i w:val="0"/>
                <w:color w:val="000000"/>
                <w:sz w:val="24"/>
              </w:rPr>
              <w:t>2.2.1 可见实例标注核查</w:t>
            </w:r>
          </w:p>
          <w:p>
            <w:pPr>
              <w:spacing w:line="312" w:lineRule="auto" w:after="80"/>
              <w:ind w:firstLine="480"/>
              <w:jc w:val="both"/>
            </w:pPr>
            <w:r>
              <w:rPr>
                <w:rFonts w:ascii="Times New Roman" w:hAnsi="Times New Roman" w:eastAsia="宋体"/>
                <w:b w:val="0"/>
                <w:i w:val="0"/>
                <w:color w:val="000000"/>
                <w:sz w:val="24"/>
              </w:rPr>
              <w:t>首先复核图像路径、实例数、类别和图像尺寸，逐项检查YOLO多边形与COCO掩膜的坐标一致性。对可见区域不连通的同果样本，检查标注格式是否能保留共同实例身份；若不能，需按版本化规则修订数据表示和转换程序，不能通过人工连接背景像素使其变为单个凸区域。保留合法空图用于背景学习，不因目标太小而删除难例。</w:t>
            </w:r>
          </w:p>
          <w:p>
            <w:pPr>
              <w:spacing w:line="312" w:lineRule="auto" w:after="80"/>
              <w:ind w:firstLine="480"/>
              <w:jc w:val="both"/>
            </w:pPr>
            <w:r>
              <w:rPr>
                <w:rFonts w:ascii="Times New Roman" w:hAnsi="Times New Roman" w:eastAsia="宋体"/>
                <w:b w:val="0"/>
                <w:i w:val="0"/>
                <w:color w:val="000000"/>
                <w:sz w:val="24"/>
              </w:rPr>
              <w:t>分层抽检将覆盖小目标、低solidity、贴边截断和密集邻果，并记录问题类型及处理结果。标签修订依据事先写好的规范，不随某个模型的预测结果改变。如果测试标签确需纠错，先冻结新版本，再让所有方法重新评价，避免只修订最终方法受益的样本。</w:t>
            </w:r>
          </w:p>
          <w:p>
            <w:pPr>
              <w:spacing w:line="312" w:lineRule="auto" w:before="100" w:after="100"/>
              <w:ind w:firstLine="0"/>
              <w:jc w:val="left"/>
            </w:pPr>
            <w:r>
              <w:rPr>
                <w:rFonts w:ascii="Times New Roman" w:hAnsi="Times New Roman" w:eastAsia="宋体"/>
                <w:b/>
                <w:i w:val="0"/>
                <w:color w:val="000000"/>
                <w:sz w:val="24"/>
              </w:rPr>
              <w:t>2.2.2 难例子集定义</w:t>
            </w:r>
          </w:p>
          <w:p>
            <w:pPr>
              <w:spacing w:line="312" w:lineRule="auto" w:after="80"/>
              <w:ind w:firstLine="480"/>
              <w:jc w:val="both"/>
            </w:pPr>
            <w:r>
              <w:rPr>
                <w:rFonts w:ascii="Times New Roman" w:hAnsi="Times New Roman" w:eastAsia="宋体"/>
                <w:b w:val="0"/>
                <w:i w:val="0"/>
                <w:color w:val="000000"/>
                <w:sz w:val="24"/>
              </w:rPr>
              <w:t>拟从训练集分布和少量人工复核确定尺度、凸包缺损与邻接阈值，再将规则冻结后应用于验证和测试。对于掩膜Mi，记可见面积为Ai，凸包为Hi，则Si=Ai/|Hi|表示solidity，Di=1−Si表示凸包缺损比例；单图线性尺度比定义为最大与最小有效实例面积比的平方根。贴边实例单列，以减少截断对非凸统计的混淆。</w:t>
            </w:r>
          </w:p>
          <w:p>
            <w:pPr>
              <w:spacing w:line="312" w:lineRule="auto" w:after="80"/>
              <w:ind w:firstLine="480"/>
              <w:jc w:val="both"/>
            </w:pPr>
            <w:r>
              <w:rPr>
                <w:rFonts w:ascii="Times New Roman" w:hAnsi="Times New Roman" w:eastAsia="宋体"/>
                <w:b w:val="0"/>
                <w:i w:val="0"/>
                <w:color w:val="000000"/>
                <w:sz w:val="24"/>
              </w:rPr>
              <w:t>邻接关系采用原图坐标中的最短轮廓距离，并按两实例平均等效直径归一化。对掩膜间存在真实背景间隙的实例对，评价间隙是否被预测填充；对没有可见背景间隙、但标注显示两个实例接触的样本，评价实例归属与合并错误，不人为要求产生背景缝。各子集报告图像数、实例数或实例对数，并允许属性重叠。凹陷遮挡子集必须人工确认遮挡成因，几何阈值仅用于初筛。</w:t>
            </w:r>
          </w:p>
          <w:p>
            <w:pPr>
              <w:spacing w:line="312" w:lineRule="auto" w:before="100" w:after="100"/>
              <w:ind w:firstLine="0"/>
              <w:jc w:val="left"/>
            </w:pPr>
            <w:r>
              <w:rPr>
                <w:rFonts w:ascii="Times New Roman" w:hAnsi="Times New Roman" w:eastAsia="宋体"/>
                <w:b/>
                <w:i w:val="0"/>
                <w:color w:val="000000"/>
                <w:sz w:val="24"/>
              </w:rPr>
              <w:t>2.2.3 果梗连接点与可定位性标注</w:t>
            </w:r>
          </w:p>
          <w:p>
            <w:pPr>
              <w:spacing w:line="312" w:lineRule="auto" w:after="80"/>
              <w:ind w:firstLine="480"/>
              <w:jc w:val="both"/>
            </w:pPr>
            <w:r>
              <w:rPr>
                <w:rFonts w:ascii="Times New Roman" w:hAnsi="Times New Roman" w:eastAsia="宋体"/>
                <w:b w:val="0"/>
                <w:i w:val="0"/>
                <w:color w:val="000000"/>
                <w:sz w:val="24"/>
              </w:rPr>
              <w:t>现有标注主要是果实多边形，果梗连接点尚无完整、经过核实的数据集。研究计划先从训练侧选50—100张图像，让两名标注者独立试标：看定义是否足够清楚、ROI能否覆盖连接区、多少目标确实无法判断。先把这三件事弄明白，再决定正式补标的规模。试标样本不用于最终测试结论。</w:t>
            </w:r>
          </w:p>
          <w:p>
            <w:pPr>
              <w:spacing w:line="312" w:lineRule="auto" w:after="80"/>
              <w:ind w:firstLine="480"/>
              <w:jc w:val="both"/>
            </w:pPr>
            <w:r>
              <w:rPr>
                <w:rFonts w:ascii="Times New Roman" w:hAnsi="Times New Roman" w:eastAsia="宋体"/>
                <w:b w:val="0"/>
                <w:i w:val="0"/>
                <w:color w:val="000000"/>
                <w:sz w:val="24"/>
              </w:rPr>
              <w:t>标注把连接区分成三类：清晰可辨；有局部遮挡但仍能依据可见证据定位；完全遮挡、模糊或存在多个合理解释。前两类在双人能够一致判断时标坐标，第三类只记录状态和原因。连接区有一定宽度时，可附记允许范围，供后续分析点位本身的标注不确定性；主评价仍使用事先固定的代表点规则。</w:t>
            </w:r>
          </w:p>
          <w:p>
            <w:pPr>
              <w:spacing w:line="312" w:lineRule="auto" w:after="80"/>
              <w:ind w:firstLine="480"/>
              <w:jc w:val="both"/>
            </w:pPr>
            <w:r>
              <w:rPr>
                <w:rFonts w:ascii="Times New Roman" w:hAnsi="Times New Roman" w:eastAsia="宋体"/>
                <w:b w:val="0"/>
                <w:i w:val="0"/>
                <w:color w:val="000000"/>
                <w:sz w:val="24"/>
              </w:rPr>
              <w:t>双人点位差异同时以原图像素和目标真值框对角线归一化距离表示；状态标注则比较分布、一致率和分歧原因。争议样本先复核规则，必要时保留“不可判定”。正式补标尽量沿用原有实拍图像和组划分；若图像过远或过糊，再补采近距离样本，并记录新批次来源。点位样本量在试标后据可辨认比例确定。</w:t>
            </w:r>
          </w:p>
          <w:p>
            <w:pPr>
              <w:spacing w:line="312" w:lineRule="auto" w:before="100" w:after="100"/>
              <w:ind w:firstLine="0"/>
              <w:jc w:val="left"/>
            </w:pPr>
            <w:r>
              <w:rPr>
                <w:rFonts w:ascii="Times New Roman" w:hAnsi="Times New Roman" w:eastAsia="宋体"/>
                <w:b/>
                <w:i w:val="0"/>
                <w:color w:val="000000"/>
                <w:sz w:val="24"/>
              </w:rPr>
              <w:t>2.3 轻量柑橘幼果实例分割方法</w:t>
            </w:r>
          </w:p>
          <w:p>
            <w:pPr>
              <w:spacing w:line="312" w:lineRule="auto" w:before="100" w:after="100"/>
              <w:ind w:firstLine="0"/>
              <w:jc w:val="left"/>
            </w:pPr>
            <w:r>
              <w:rPr>
                <w:rFonts w:ascii="Times New Roman" w:hAnsi="Times New Roman" w:eastAsia="宋体"/>
                <w:b/>
                <w:i w:val="0"/>
                <w:color w:val="000000"/>
                <w:sz w:val="24"/>
              </w:rPr>
              <w:t>2.3.1 相关网络结构与基线选择</w:t>
            </w:r>
          </w:p>
          <w:p>
            <w:pPr>
              <w:spacing w:line="312" w:lineRule="auto" w:after="80"/>
              <w:ind w:firstLine="480"/>
              <w:jc w:val="both"/>
            </w:pPr>
            <w:r>
              <w:rPr>
                <w:rFonts w:ascii="Times New Roman" w:hAnsi="Times New Roman" w:eastAsia="宋体"/>
                <w:b w:val="0"/>
                <w:i w:val="0"/>
                <w:color w:val="000000"/>
                <w:sz w:val="24"/>
              </w:rPr>
              <w:t>分割方法以YOLO11n-seg为主消融基线，先与RTMDet-Ins-tiny在正式划分上进行50 epoch筛选，比较掩膜精度、训练稳定性和资源消耗。YOLO11n-seg已有完整的主干、颈部和分割头，适合逐项检验新设计。李欣洋等2026年的橙果网络也在这一框架内加入局部可变形卷积与边界引导GSConv，结构见图10</w:t>
            </w:r>
            <w:r>
              <w:rPr>
                <w:rFonts w:ascii="Times New Roman" w:hAnsi="Times New Roman" w:eastAsia="宋体"/>
                <w:b w:val="0"/>
                <w:i w:val="0"/>
                <w:color w:val="000000"/>
                <w:sz w:val="19"/>
                <w:vertAlign w:val="superscript"/>
              </w:rPr>
              <w:t>[34]</w:t>
            </w:r>
            <w:r>
              <w:rPr>
                <w:rFonts w:ascii="Times New Roman" w:hAnsi="Times New Roman" w:eastAsia="宋体"/>
                <w:b w:val="0"/>
                <w:i w:val="0"/>
                <w:color w:val="000000"/>
                <w:sz w:val="24"/>
              </w:rPr>
              <w:t>。这一先例使本研究的重点更明确：改动必须服务于绿果深凹可见边界和实例归属，而非仅换用已有模块。</w:t>
            </w:r>
          </w:p>
          <w:p>
            <w:pPr>
              <w:spacing w:before="120" w:after="40" w:line="240" w:lineRule="auto"/>
              <w:ind w:firstLine="0"/>
              <w:jc w:val="center"/>
            </w:pPr>
            <w:r>
              <w:drawing>
                <wp:inline xmlns:a="http://schemas.openxmlformats.org/drawingml/2006/main" xmlns:pic="http://schemas.openxmlformats.org/drawingml/2006/picture">
                  <wp:extent cx="5185620" cy="3168000"/>
                  <wp:docPr id="2133873096" name="Picture 2133873096"/>
                  <wp:cNvGraphicFramePr>
                    <a:graphicFrameLocks noChangeAspect="1"/>
                  </wp:cNvGraphicFramePr>
                  <a:graphic>
                    <a:graphicData uri="http://schemas.openxmlformats.org/drawingml/2006/picture">
                      <pic:pic>
                        <pic:nvPicPr>
                          <pic:cNvPr id="0" name="paper_orange_yolo11_network_fig12.png"/>
                          <pic:cNvPicPr/>
                        </pic:nvPicPr>
                        <pic:blipFill>
                          <a:blip r:embed="rId105"/>
                          <a:stretch>
                            <a:fillRect/>
                          </a:stretch>
                        </pic:blipFill>
                        <pic:spPr>
                          <a:xfrm>
                            <a:off x="0" y="0"/>
                            <a:ext cx="5185620" cy="3168000"/>
                          </a:xfrm>
                          <a:prstGeom prst="rect"/>
                        </pic:spPr>
                      </pic:pic>
                    </a:graphicData>
                  </a:graphic>
                </wp:inline>
              </w:drawing>
            </w:r>
          </w:p>
          <w:p>
            <w:pPr>
              <w:spacing w:after="160" w:line="276" w:lineRule="auto"/>
              <w:ind w:firstLine="0"/>
              <w:jc w:val="center"/>
            </w:pPr>
            <w:r>
              <w:rPr>
                <w:rFonts w:ascii="Times New Roman" w:hAnsi="Times New Roman" w:eastAsia="宋体"/>
                <w:b w:val="0"/>
                <w:i w:val="0"/>
                <w:color w:val="000000"/>
                <w:sz w:val="21"/>
              </w:rPr>
              <w:t>图10 橙果改进YOLO11n-Seg总体网络（引自李欣洋等[34]原文图12，CC BY 4.0）</w:t>
            </w:r>
          </w:p>
          <w:p>
            <w:pPr>
              <w:spacing w:line="312" w:lineRule="auto" w:after="80"/>
              <w:ind w:firstLine="480"/>
              <w:jc w:val="both"/>
            </w:pPr>
            <w:r>
              <w:rPr>
                <w:rFonts w:ascii="Times New Roman" w:hAnsi="Times New Roman" w:eastAsia="宋体"/>
                <w:b w:val="0"/>
                <w:i w:val="0"/>
                <w:color w:val="000000"/>
                <w:sz w:val="24"/>
              </w:rPr>
              <w:t>跨网络比较先统一图像成员、输入尺度、掩膜恢复和评价器，再记录预训练权重及实际生效的训练参数。Mask R-CNN按候选ROI处理，文献</w:t>
            </w:r>
            <w:r>
              <w:rPr>
                <w:rFonts w:ascii="Times New Roman" w:hAnsi="Times New Roman" w:eastAsia="宋体"/>
                <w:b w:val="0"/>
                <w:i w:val="0"/>
                <w:color w:val="000000"/>
                <w:sz w:val="19"/>
                <w:vertAlign w:val="superscript"/>
              </w:rPr>
              <w:t>[34]</w:t>
            </w:r>
            <w:r>
              <w:rPr>
                <w:rFonts w:ascii="Times New Roman" w:hAnsi="Times New Roman" w:eastAsia="宋体"/>
                <w:b w:val="0"/>
                <w:i w:val="0"/>
                <w:color w:val="000000"/>
                <w:sz w:val="24"/>
              </w:rPr>
              <w:t>改造YOLO主干与融合层，本研究的主线则保留共享原型掩膜。三者的表示方式不同，若训练预算也不同，最终AP差异就很难归因；因此实验表将分别列出方法结构与训练条件。</w:t>
            </w:r>
          </w:p>
          <w:p>
            <w:pPr>
              <w:spacing w:line="312" w:lineRule="auto" w:before="100" w:after="100"/>
              <w:ind w:firstLine="0"/>
              <w:jc w:val="left"/>
            </w:pPr>
            <w:r>
              <w:rPr>
                <w:rFonts w:ascii="Times New Roman" w:hAnsi="Times New Roman" w:eastAsia="宋体"/>
                <w:b/>
                <w:i w:val="0"/>
                <w:color w:val="000000"/>
                <w:sz w:val="24"/>
              </w:rPr>
              <w:t>2.3.2 拟研究的语义—细节协同网络</w:t>
            </w:r>
          </w:p>
          <w:p>
            <w:pPr>
              <w:spacing w:line="312" w:lineRule="auto" w:after="80"/>
              <w:ind w:firstLine="480"/>
              <w:jc w:val="both"/>
            </w:pPr>
            <w:r>
              <w:rPr>
                <w:rFonts w:ascii="Times New Roman" w:hAnsi="Times New Roman" w:eastAsia="宋体"/>
                <w:b w:val="0"/>
                <w:i w:val="0"/>
                <w:color w:val="000000"/>
                <w:sz w:val="24"/>
              </w:rPr>
              <w:t>图11是拟研究网络的信息流。RGB图像按640像素协议输入后，主干产生不同步长的特征；P3、P4、P5继续负责多尺度果实发现，P2只在细节通路中使用，避免整网都承担高分辨率计算。深层P4/P5帮助区分果叶，浅层P2/P3保留小果边缘和窄缝。两路对齐后进入掩膜原型表示，检测框与实例系数仍由成熟分割头产生。这样可以先检验掩膜细节的作用，不把分类、定位和掩膜三处同时改动。</w:t>
            </w:r>
          </w:p>
          <w:p>
            <w:pPr>
              <w:spacing w:before="120" w:after="40" w:line="240" w:lineRule="auto"/>
              <w:ind w:firstLine="0"/>
              <w:jc w:val="center"/>
            </w:pPr>
            <w:r>
              <w:drawing>
                <wp:inline xmlns:a="http://schemas.openxmlformats.org/drawingml/2006/main" xmlns:pic="http://schemas.openxmlformats.org/drawingml/2006/picture">
                  <wp:extent cx="5220000" cy="3074000"/>
                  <wp:docPr id="2133873097" name="Picture 2133873097"/>
                  <wp:cNvGraphicFramePr>
                    <a:graphicFrameLocks noChangeAspect="1"/>
                  </wp:cNvGraphicFramePr>
                  <a:graphic>
                    <a:graphicData uri="http://schemas.openxmlformats.org/drawingml/2006/picture">
                      <pic:pic>
                        <pic:nvPicPr>
                          <pic:cNvPr id="0" name="fig05_segmentation.png"/>
                          <pic:cNvPicPr/>
                        </pic:nvPicPr>
                        <pic:blipFill>
                          <a:blip r:embed="rId106"/>
                          <a:stretch>
                            <a:fillRect/>
                          </a:stretch>
                        </pic:blipFill>
                        <pic:spPr>
                          <a:xfrm>
                            <a:off x="0" y="0"/>
                            <a:ext cx="5220000" cy="3074000"/>
                          </a:xfrm>
                          <a:prstGeom prst="rect"/>
                        </pic:spPr>
                      </pic:pic>
                    </a:graphicData>
                  </a:graphic>
                </wp:inline>
              </w:drawing>
            </w:r>
          </w:p>
          <w:p>
            <w:pPr>
              <w:spacing w:after="160" w:line="276" w:lineRule="auto"/>
              <w:ind w:firstLine="0"/>
              <w:jc w:val="center"/>
            </w:pPr>
            <w:r>
              <w:rPr>
                <w:rFonts w:ascii="Times New Roman" w:hAnsi="Times New Roman" w:eastAsia="宋体"/>
                <w:b w:val="0"/>
                <w:i w:val="0"/>
                <w:color w:val="000000"/>
                <w:sz w:val="21"/>
              </w:rPr>
              <w:t>图11 拟研究的语义—细节协同实例分割网络与监督位置示意（本课题绘制，结构待消融验证）</w:t>
            </w:r>
          </w:p>
          <w:p>
            <w:pPr>
              <w:spacing w:line="312" w:lineRule="auto" w:after="80"/>
              <w:ind w:firstLine="480"/>
              <w:jc w:val="both"/>
            </w:pPr>
            <w:r>
              <w:rPr>
                <w:rFonts w:ascii="Times New Roman" w:hAnsi="Times New Roman" w:eastAsia="宋体"/>
                <w:b w:val="0"/>
                <w:i w:val="0"/>
                <w:color w:val="000000"/>
                <w:sz w:val="24"/>
              </w:rPr>
              <w:t>设细节特征为Fd，对齐后的语义特征为Fs，逐位置门控为G，融合输出写作F=Fd+α·G⊙(Fs−Fd)。门控控制每个位置引入多少语义信息；α从零开始，并限制幅度，使初始网络尽量接近基线。这是为降低训练初期扰动而设的实现选择，效果仍由消融决定。原型掩膜与实例系数组合得到当前图像中真实可见的果面，不补全叶片后的果体。</w:t>
            </w:r>
          </w:p>
          <w:p>
            <w:pPr>
              <w:spacing w:line="312" w:lineRule="auto" w:after="80"/>
              <w:ind w:firstLine="480"/>
              <w:jc w:val="both"/>
            </w:pPr>
            <w:r>
              <w:rPr>
                <w:rFonts w:ascii="Times New Roman" w:hAnsi="Times New Roman" w:eastAsia="宋体"/>
                <w:b w:val="0"/>
                <w:i w:val="0"/>
                <w:color w:val="000000"/>
                <w:sz w:val="24"/>
              </w:rPr>
              <w:t>实验先比较无P2、P2直接相加、全局标量融合和逐位置门控四种设置，并统一输入、初始化和训练安排。除Mask AP外，重点检查小果、窄缝和绿叶误报，同时记录参数、GFLOPs及整图时延。若复杂门控的收益落在种子波动内，就采用更简单的融合；预训练可继承的层和新初始化的层也分别记录，方便解释差异。</w:t>
            </w:r>
          </w:p>
          <w:p>
            <w:pPr>
              <w:spacing w:line="312" w:lineRule="auto" w:before="100" w:after="100"/>
              <w:ind w:firstLine="0"/>
              <w:jc w:val="left"/>
            </w:pPr>
            <w:r>
              <w:rPr>
                <w:rFonts w:ascii="Times New Roman" w:hAnsi="Times New Roman" w:eastAsia="宋体"/>
                <w:b/>
                <w:i w:val="0"/>
                <w:color w:val="000000"/>
                <w:sz w:val="24"/>
              </w:rPr>
              <w:t>2.3.3 可见边界与相邻实例监督</w:t>
            </w:r>
          </w:p>
          <w:p>
            <w:pPr>
              <w:spacing w:line="312" w:lineRule="auto" w:after="80"/>
              <w:ind w:firstLine="480"/>
              <w:jc w:val="both"/>
            </w:pPr>
            <w:r>
              <w:rPr>
                <w:rFonts w:ascii="Times New Roman" w:hAnsi="Times New Roman" w:eastAsia="宋体"/>
                <w:b w:val="0"/>
                <w:i w:val="0"/>
                <w:color w:val="000000"/>
                <w:sz w:val="24"/>
              </w:rPr>
              <w:t>石等在2025年提出BorderMask，将多尺度边界信息和检测、掩膜分支的交互纳入网络，结构见图12</w:t>
            </w:r>
            <w:r>
              <w:rPr>
                <w:rFonts w:ascii="Times New Roman" w:hAnsi="Times New Roman" w:eastAsia="宋体"/>
                <w:b w:val="0"/>
                <w:i w:val="0"/>
                <w:color w:val="000000"/>
                <w:sz w:val="19"/>
                <w:vertAlign w:val="superscript"/>
              </w:rPr>
              <w:t>[36]</w:t>
            </w:r>
            <w:r>
              <w:rPr>
                <w:rFonts w:ascii="Times New Roman" w:hAnsi="Times New Roman" w:eastAsia="宋体"/>
                <w:b w:val="0"/>
                <w:i w:val="0"/>
                <w:color w:val="000000"/>
                <w:sz w:val="24"/>
              </w:rPr>
              <w:t>。它证明边界可以在特征阶段处理，而不必只在输出后平滑。但其ResNet-50和ROI路径较重。本研究面对的两类边界又有不同含义：叶枝遮挡形成的凹陷要真实保留，贴邻果实的边界则关乎两个实例是否被合并。</w:t>
            </w:r>
          </w:p>
          <w:p>
            <w:pPr>
              <w:spacing w:before="120" w:after="40" w:line="240" w:lineRule="auto"/>
              <w:ind w:firstLine="0"/>
              <w:jc w:val="center"/>
            </w:pPr>
            <w:r>
              <w:drawing>
                <wp:inline xmlns:a="http://schemas.openxmlformats.org/drawingml/2006/main" xmlns:pic="http://schemas.openxmlformats.org/drawingml/2006/picture">
                  <wp:extent cx="5220000" cy="2342739"/>
                  <wp:docPr id="2133873098" name="Picture 2133873098"/>
                  <wp:cNvGraphicFramePr>
                    <a:graphicFrameLocks noChangeAspect="1"/>
                  </wp:cNvGraphicFramePr>
                  <a:graphic>
                    <a:graphicData uri="http://schemas.openxmlformats.org/drawingml/2006/picture">
                      <pic:pic>
                        <pic:nvPicPr>
                          <pic:cNvPr id="0" name="paper_bordermask_network_fig1.png"/>
                          <pic:cNvPicPr/>
                        </pic:nvPicPr>
                        <pic:blipFill>
                          <a:blip r:embed="rId107"/>
                          <a:stretch>
                            <a:fillRect/>
                          </a:stretch>
                        </pic:blipFill>
                        <pic:spPr>
                          <a:xfrm>
                            <a:off x="0" y="0"/>
                            <a:ext cx="5220000" cy="2342739"/>
                          </a:xfrm>
                          <a:prstGeom prst="rect"/>
                        </pic:spPr>
                      </pic:pic>
                    </a:graphicData>
                  </a:graphic>
                </wp:inline>
              </w:drawing>
            </w:r>
          </w:p>
          <w:p>
            <w:pPr>
              <w:spacing w:after="160" w:line="276" w:lineRule="auto"/>
              <w:ind w:firstLine="0"/>
              <w:jc w:val="center"/>
            </w:pPr>
            <w:r>
              <w:rPr>
                <w:rFonts w:ascii="Times New Roman" w:hAnsi="Times New Roman" w:eastAsia="宋体"/>
                <w:b w:val="0"/>
                <w:i w:val="0"/>
                <w:color w:val="000000"/>
                <w:sz w:val="21"/>
              </w:rPr>
              <w:t>图12 BorderMask边界感知实例分割网络（引自石等[36]原文图1，CC BY-NC-ND 4.0）</w:t>
            </w:r>
          </w:p>
          <w:p>
            <w:pPr>
              <w:spacing w:line="312" w:lineRule="auto" w:after="80"/>
              <w:ind w:firstLine="480"/>
              <w:jc w:val="both"/>
            </w:pPr>
            <w:r>
              <w:rPr>
                <w:rFonts w:ascii="Times New Roman" w:hAnsi="Times New Roman" w:eastAsia="宋体"/>
                <w:b w:val="0"/>
                <w:i w:val="0"/>
                <w:color w:val="000000"/>
                <w:sz w:val="24"/>
              </w:rPr>
              <w:t>边界监督只以真实可见掩膜为依据。在基础BCE与Dice损失之外，先分别试验有限宽度的可见边界带损失和邻果关系损失：前者关注经人工复核的遮挡凹边界，不把叶片填进果面；后者只在有真实背景间隙时惩罚跨缝预测，果实实物接触时改查实例归属。总损失记作L=L基础+λbL边界+λnL邻接。两个附加项分别有效后再组合，权重由训练集和验证集选择。</w:t>
            </w:r>
          </w:p>
          <w:p>
            <w:pPr>
              <w:spacing w:line="312" w:lineRule="auto" w:after="80"/>
              <w:ind w:firstLine="480"/>
              <w:jc w:val="both"/>
            </w:pPr>
            <w:r>
              <w:rPr>
                <w:rFonts w:ascii="Times New Roman" w:hAnsi="Times New Roman" w:eastAsia="宋体"/>
                <w:b w:val="0"/>
                <w:i w:val="0"/>
                <w:color w:val="000000"/>
                <w:sz w:val="24"/>
              </w:rPr>
              <w:t>边界变清楚并不意味着实例分对了：模型可能把一颗果实切碎，也可能把两颗果实连在一起。评价时先固定真值与预测的覆盖关系，再统计一对多分裂和多对一合并，临界样本人工复核。Mask AP、Boundary F1和两个难例子集一起报告；若一种错误下降却带来另一种明显增加，边界损失仍需调整。</w:t>
            </w:r>
          </w:p>
          <w:p>
            <w:pPr>
              <w:spacing w:line="312" w:lineRule="auto" w:before="100" w:after="100"/>
              <w:ind w:firstLine="0"/>
              <w:jc w:val="left"/>
            </w:pPr>
            <w:r>
              <w:rPr>
                <w:rFonts w:ascii="Times New Roman" w:hAnsi="Times New Roman" w:eastAsia="宋体"/>
                <w:b/>
                <w:i w:val="0"/>
                <w:color w:val="000000"/>
                <w:sz w:val="24"/>
              </w:rPr>
              <w:t>2.3.4 输入尺度与按需计算</w:t>
            </w:r>
          </w:p>
          <w:p>
            <w:pPr>
              <w:spacing w:line="312" w:lineRule="auto" w:after="80"/>
              <w:ind w:firstLine="480"/>
              <w:jc w:val="both"/>
            </w:pPr>
            <w:r>
              <w:rPr>
                <w:rFonts w:ascii="Times New Roman" w:hAnsi="Times New Roman" w:eastAsia="宋体"/>
                <w:b w:val="0"/>
                <w:i w:val="0"/>
                <w:color w:val="000000"/>
                <w:sz w:val="24"/>
              </w:rPr>
              <w:t>现有标签中近半数目标在640等效尺度下外接框短边不足32像素，说明低分辨率输入本身会丢失一部分局部证据。拟分别比较整图640输入、训练阶段原图与局部视图混合、固定栅格切片推理。切片沿用原图所属集合，训练切片只由训练图生成；验证和测试结果必须回映完整原图，经相同去重与掩膜恢复后计算指标，不能以切片数充当独立测试样本数。</w:t>
            </w:r>
          </w:p>
          <w:p>
            <w:pPr>
              <w:spacing w:line="312" w:lineRule="auto" w:after="80"/>
              <w:ind w:firstLine="480"/>
              <w:jc w:val="both"/>
            </w:pPr>
            <w:r>
              <w:rPr>
                <w:rFonts w:ascii="Times New Roman" w:hAnsi="Times New Roman" w:eastAsia="宋体"/>
                <w:b w:val="0"/>
                <w:i w:val="0"/>
                <w:color w:val="000000"/>
                <w:sz w:val="24"/>
              </w:rPr>
              <w:t>切片使小果占据更多像素，也可能产生目标截断、跨片重复和时延增长。比较中同时报告切片尺寸、重叠率、合并策略及整图处理时间。若小目标收益主要来自局部放大，将其归于输入策略；若成本超过预设预算，优先保留单图路径。局部精修不能恢复第一阶段完全漏检的果实，这类失败须在全流程评价中保留。</w:t>
            </w:r>
          </w:p>
          <w:p>
            <w:pPr>
              <w:spacing w:line="312" w:lineRule="auto" w:before="100" w:after="100"/>
              <w:ind w:firstLine="0"/>
              <w:jc w:val="left"/>
            </w:pPr>
            <w:r>
              <w:rPr>
                <w:rFonts w:ascii="Times New Roman" w:hAnsi="Times New Roman" w:eastAsia="宋体"/>
                <w:b/>
                <w:i w:val="0"/>
                <w:color w:val="000000"/>
                <w:sz w:val="24"/>
              </w:rPr>
              <w:t>2.3.5 独立对象表示的备选研究</w:t>
            </w:r>
          </w:p>
          <w:p>
            <w:pPr>
              <w:spacing w:line="312" w:lineRule="auto" w:after="80"/>
              <w:ind w:firstLine="480"/>
              <w:jc w:val="both"/>
            </w:pPr>
            <w:r>
              <w:rPr>
                <w:rFonts w:ascii="Times New Roman" w:hAnsi="Times New Roman" w:eastAsia="宋体"/>
                <w:b w:val="0"/>
                <w:i w:val="0"/>
                <w:color w:val="000000"/>
                <w:sz w:val="24"/>
              </w:rPr>
              <w:t>除主线外，前期代码实现了对象集合表示的备选支线，包括轻量编码器、一对一匹配及对象—场景交互；目前只完成实现与小样本链路检查，尚无正式收益结论。该支线借鉴SparseInst和FastInst</w:t>
            </w:r>
            <w:r>
              <w:rPr>
                <w:rFonts w:ascii="Times New Roman" w:hAnsi="Times New Roman" w:eastAsia="宋体"/>
                <w:b w:val="0"/>
                <w:i w:val="0"/>
                <w:color w:val="000000"/>
                <w:sz w:val="19"/>
                <w:vertAlign w:val="superscript"/>
              </w:rPr>
              <w:t>[19-20]</w:t>
            </w:r>
            <w:r>
              <w:rPr>
                <w:rFonts w:ascii="Times New Roman" w:hAnsi="Times New Roman" w:eastAsia="宋体"/>
                <w:b w:val="0"/>
                <w:i w:val="0"/>
                <w:color w:val="000000"/>
                <w:sz w:val="24"/>
              </w:rPr>
              <w:t>，拟用有限的50 epoch筛选检验其对同色背景与邻果分离是否有帮助。由于预训练条件与YOLO不同，将另设从头训练的YOLO对照；若无稳定收益，就不继续叠加模块。</w:t>
            </w:r>
          </w:p>
          <w:p>
            <w:pPr>
              <w:spacing w:line="312" w:lineRule="auto" w:before="100" w:after="100"/>
              <w:ind w:firstLine="0"/>
              <w:jc w:val="left"/>
            </w:pPr>
            <w:r>
              <w:rPr>
                <w:rFonts w:ascii="Times New Roman" w:hAnsi="Times New Roman" w:eastAsia="宋体"/>
                <w:b/>
                <w:i w:val="0"/>
                <w:color w:val="000000"/>
                <w:sz w:val="24"/>
              </w:rPr>
              <w:t>2.4 实例条件果梗连接点定位方法</w:t>
            </w:r>
          </w:p>
          <w:p>
            <w:pPr>
              <w:spacing w:line="312" w:lineRule="auto" w:before="100" w:after="100"/>
              <w:ind w:firstLine="0"/>
              <w:jc w:val="left"/>
            </w:pPr>
            <w:r>
              <w:rPr>
                <w:rFonts w:ascii="Times New Roman" w:hAnsi="Times New Roman" w:eastAsia="宋体"/>
                <w:b/>
                <w:i w:val="0"/>
                <w:color w:val="000000"/>
                <w:sz w:val="24"/>
              </w:rPr>
              <w:t>2.4.1 上游网络与单果输入的衔接</w:t>
            </w:r>
          </w:p>
          <w:p>
            <w:pPr>
              <w:spacing w:line="312" w:lineRule="auto" w:after="80"/>
              <w:ind w:firstLine="480"/>
              <w:jc w:val="both"/>
            </w:pPr>
            <w:r>
              <w:rPr>
                <w:rFonts w:ascii="Times New Roman" w:hAnsi="Times New Roman" w:eastAsia="宋体"/>
                <w:b w:val="0"/>
                <w:i w:val="0"/>
                <w:color w:val="000000"/>
                <w:sz w:val="24"/>
              </w:rPr>
              <w:t>李等2025年在柑橘任务中先用改进YOLOv8n-seg分割果实和果梗，再通过匹配、形态学及骨架处理求采摘点，图13给出其网络结构</w:t>
            </w:r>
            <w:r>
              <w:rPr>
                <w:rFonts w:ascii="Times New Roman" w:hAnsi="Times New Roman" w:eastAsia="宋体"/>
                <w:b w:val="0"/>
                <w:i w:val="0"/>
                <w:color w:val="000000"/>
                <w:sz w:val="19"/>
                <w:vertAlign w:val="superscript"/>
              </w:rPr>
              <w:t>[12]</w:t>
            </w:r>
            <w:r>
              <w:rPr>
                <w:rFonts w:ascii="Times New Roman" w:hAnsi="Times New Roman" w:eastAsia="宋体"/>
                <w:b w:val="0"/>
                <w:i w:val="0"/>
                <w:color w:val="000000"/>
                <w:sz w:val="24"/>
              </w:rPr>
              <w:t>。这说明“先分割、再局部求点”已有明确先例。本课题要找的是果梗与指定果实的二维连接点，标注与评价需另定。图13也提醒我们：细果梗若在整图下采样时已经消失，单纯加大全图主干未必能把它找回来。</w:t>
            </w:r>
          </w:p>
          <w:p>
            <w:pPr>
              <w:spacing w:before="120" w:after="40" w:line="240" w:lineRule="auto"/>
              <w:ind w:firstLine="0"/>
              <w:jc w:val="center"/>
            </w:pPr>
            <w:r>
              <w:drawing>
                <wp:inline xmlns:a="http://schemas.openxmlformats.org/drawingml/2006/main" xmlns:pic="http://schemas.openxmlformats.org/drawingml/2006/picture">
                  <wp:extent cx="5220000" cy="4174410"/>
                  <wp:docPr id="2133873099" name="Picture 2133873099"/>
                  <wp:cNvGraphicFramePr>
                    <a:graphicFrameLocks noChangeAspect="1"/>
                  </wp:cNvGraphicFramePr>
                  <a:graphic>
                    <a:graphicData uri="http://schemas.openxmlformats.org/drawingml/2006/picture">
                      <pic:pic>
                        <pic:nvPicPr>
                          <pic:cNvPr id="0" name="paper_citrus_stem_network_fig3.png"/>
                          <pic:cNvPicPr/>
                        </pic:nvPicPr>
                        <pic:blipFill>
                          <a:blip r:embed="rId108"/>
                          <a:stretch>
                            <a:fillRect/>
                          </a:stretch>
                        </pic:blipFill>
                        <pic:spPr>
                          <a:xfrm>
                            <a:off x="0" y="0"/>
                            <a:ext cx="5220000" cy="4174410"/>
                          </a:xfrm>
                          <a:prstGeom prst="rect"/>
                        </pic:spPr>
                      </pic:pic>
                    </a:graphicData>
                  </a:graphic>
                </wp:inline>
              </w:drawing>
            </w:r>
          </w:p>
          <w:p>
            <w:pPr>
              <w:spacing w:after="160" w:line="276" w:lineRule="auto"/>
              <w:ind w:firstLine="0"/>
              <w:jc w:val="center"/>
            </w:pPr>
            <w:r>
              <w:rPr>
                <w:rFonts w:ascii="Times New Roman" w:hAnsi="Times New Roman" w:eastAsia="宋体"/>
                <w:b w:val="0"/>
                <w:i w:val="0"/>
                <w:color w:val="000000"/>
                <w:sz w:val="21"/>
              </w:rPr>
              <w:t>图13 柑橘果实与果梗分割网络（引自李等[12]原文图3，CC BY 4.0）</w:t>
            </w:r>
          </w:p>
          <w:p>
            <w:pPr>
              <w:spacing w:line="312" w:lineRule="auto" w:after="80"/>
              <w:ind w:firstLine="480"/>
              <w:jc w:val="both"/>
            </w:pPr>
            <w:r>
              <w:rPr>
                <w:rFonts w:ascii="Times New Roman" w:hAnsi="Times New Roman" w:eastAsia="宋体"/>
                <w:b w:val="0"/>
                <w:i w:val="0"/>
                <w:color w:val="000000"/>
                <w:sz w:val="24"/>
              </w:rPr>
              <w:t>第一阶段输出每颗果实后，以其预测框为中心提取单果ROI，并按验证集选定的比例外扩，让果体外的枝梗和邻域仍留在图中。裁剪时保存位置、缩放和填充参数，供点位回映原图。一个ROI中常有邻果，所以局部网络除RGB外还接收目标果实的概率掩膜，必要时加入轮廓距离提示，告诉网络“这一颗才是目标”。掩膜是软提示，果体外像素仍保留；图14展示输入与输出关系。</w:t>
            </w:r>
          </w:p>
          <w:p>
            <w:pPr>
              <w:spacing w:before="120" w:after="40" w:line="240" w:lineRule="auto"/>
              <w:ind w:firstLine="0"/>
              <w:jc w:val="center"/>
            </w:pPr>
            <w:r>
              <w:drawing>
                <wp:inline xmlns:a="http://schemas.openxmlformats.org/drawingml/2006/main" xmlns:pic="http://schemas.openxmlformats.org/drawingml/2006/picture">
                  <wp:extent cx="5220000" cy="2755000"/>
                  <wp:docPr id="2133873100" name="Picture 2133873100"/>
                  <wp:cNvGraphicFramePr>
                    <a:graphicFrameLocks noChangeAspect="1"/>
                  </wp:cNvGraphicFramePr>
                  <a:graphic>
                    <a:graphicData uri="http://schemas.openxmlformats.org/drawingml/2006/picture">
                      <pic:pic>
                        <pic:nvPicPr>
                          <pic:cNvPr id="0" name="fig06_localization.png"/>
                          <pic:cNvPicPr/>
                        </pic:nvPicPr>
                        <pic:blipFill>
                          <a:blip r:embed="rId109"/>
                          <a:stretch>
                            <a:fillRect/>
                          </a:stretch>
                        </pic:blipFill>
                        <pic:spPr>
                          <a:xfrm>
                            <a:off x="0" y="0"/>
                            <a:ext cx="5220000" cy="2755000"/>
                          </a:xfrm>
                          <a:prstGeom prst="rect"/>
                        </pic:spPr>
                      </pic:pic>
                    </a:graphicData>
                  </a:graphic>
                </wp:inline>
              </w:drawing>
            </w:r>
          </w:p>
          <w:p>
            <w:pPr>
              <w:spacing w:after="160" w:line="276" w:lineRule="auto"/>
              <w:ind w:firstLine="0"/>
              <w:jc w:val="center"/>
            </w:pPr>
            <w:r>
              <w:rPr>
                <w:rFonts w:ascii="Times New Roman" w:hAnsi="Times New Roman" w:eastAsia="宋体"/>
                <w:b w:val="0"/>
                <w:i w:val="0"/>
                <w:color w:val="000000"/>
                <w:sz w:val="21"/>
              </w:rPr>
              <w:t>图14 实例条件连接点定位与可定位性输出（本课题绘制）</w:t>
            </w:r>
          </w:p>
          <w:p>
            <w:pPr>
              <w:spacing w:line="312" w:lineRule="auto" w:before="100" w:after="100"/>
              <w:ind w:firstLine="0"/>
              <w:jc w:val="left"/>
            </w:pPr>
            <w:r>
              <w:rPr>
                <w:rFonts w:ascii="Times New Roman" w:hAnsi="Times New Roman" w:eastAsia="宋体"/>
                <w:b/>
                <w:i w:val="0"/>
                <w:color w:val="000000"/>
                <w:sz w:val="24"/>
              </w:rPr>
              <w:t>2.4.2 ROI热图网络与实例提示</w:t>
            </w:r>
          </w:p>
          <w:p>
            <w:pPr>
              <w:spacing w:line="312" w:lineRule="auto" w:after="80"/>
              <w:ind w:firstLine="480"/>
              <w:jc w:val="both"/>
            </w:pPr>
            <w:r>
              <w:rPr>
                <w:rFonts w:ascii="Times New Roman" w:hAnsi="Times New Roman" w:eastAsia="宋体"/>
                <w:b w:val="0"/>
                <w:i w:val="0"/>
                <w:color w:val="000000"/>
                <w:sz w:val="24"/>
              </w:rPr>
              <w:t>庄等2026年的TSP-Net在串番茄任务中已使用检测ROI、热图回归和连续坐标解码定位采摘切割点，流程见图15</w:t>
            </w:r>
            <w:r>
              <w:rPr>
                <w:rFonts w:ascii="Times New Roman" w:hAnsi="Times New Roman" w:eastAsia="宋体"/>
                <w:b w:val="0"/>
                <w:i w:val="0"/>
                <w:color w:val="000000"/>
                <w:sz w:val="19"/>
                <w:vertAlign w:val="superscript"/>
              </w:rPr>
              <w:t>[14]</w:t>
            </w:r>
            <w:r>
              <w:rPr>
                <w:rFonts w:ascii="Times New Roman" w:hAnsi="Times New Roman" w:eastAsia="宋体"/>
                <w:b w:val="0"/>
                <w:i w:val="0"/>
                <w:color w:val="000000"/>
                <w:sz w:val="24"/>
              </w:rPr>
              <w:t>。局部热图网络因此是合理的起点，不是本课题的独创之处。我们要检验的是，把指定柑橘的掩膜加入局部输入后，网络能否在邻果干扰下找到正确连接处，并识别完全看不清的样本。</w:t>
            </w:r>
          </w:p>
          <w:p>
            <w:pPr>
              <w:spacing w:before="120" w:after="40" w:line="240" w:lineRule="auto"/>
              <w:ind w:firstLine="0"/>
              <w:jc w:val="center"/>
            </w:pPr>
            <w:r>
              <w:drawing>
                <wp:inline xmlns:a="http://schemas.openxmlformats.org/drawingml/2006/main" xmlns:pic="http://schemas.openxmlformats.org/drawingml/2006/picture">
                  <wp:extent cx="5220000" cy="3977623"/>
                  <wp:docPr id="2133873101" name="Picture 2133873101"/>
                  <wp:cNvGraphicFramePr>
                    <a:graphicFrameLocks noChangeAspect="1"/>
                  </wp:cNvGraphicFramePr>
                  <a:graphic>
                    <a:graphicData uri="http://schemas.openxmlformats.org/drawingml/2006/picture">
                      <pic:pic>
                        <pic:nvPicPr>
                          <pic:cNvPr id="0" name="paper_tsp_roi_heatmap_fig5.png"/>
                          <pic:cNvPicPr/>
                        </pic:nvPicPr>
                        <pic:blipFill>
                          <a:blip r:embed="rId110"/>
                          <a:stretch>
                            <a:fillRect/>
                          </a:stretch>
                        </pic:blipFill>
                        <pic:spPr>
                          <a:xfrm>
                            <a:off x="0" y="0"/>
                            <a:ext cx="5220000" cy="3977623"/>
                          </a:xfrm>
                          <a:prstGeom prst="rect"/>
                        </pic:spPr>
                      </pic:pic>
                    </a:graphicData>
                  </a:graphic>
                </wp:inline>
              </w:drawing>
            </w:r>
          </w:p>
          <w:p>
            <w:pPr>
              <w:spacing w:after="160" w:line="276" w:lineRule="auto"/>
              <w:ind w:firstLine="0"/>
              <w:jc w:val="center"/>
            </w:pPr>
            <w:r>
              <w:rPr>
                <w:rFonts w:ascii="Times New Roman" w:hAnsi="Times New Roman" w:eastAsia="宋体"/>
                <w:b w:val="0"/>
                <w:i w:val="0"/>
                <w:color w:val="000000"/>
                <w:sz w:val="21"/>
              </w:rPr>
              <w:t>图15 TSP-Net的ROI热图定位网络（引自庄等[14]原文图5，CC BY 4.0；原图为串番茄切割点）</w:t>
            </w:r>
          </w:p>
          <w:p>
            <w:pPr>
              <w:spacing w:line="312" w:lineRule="auto" w:after="80"/>
              <w:ind w:firstLine="480"/>
              <w:jc w:val="both"/>
            </w:pPr>
            <w:r>
              <w:rPr>
                <w:rFonts w:ascii="Times New Roman" w:hAnsi="Times New Roman" w:eastAsia="宋体"/>
                <w:b w:val="0"/>
                <w:i w:val="0"/>
                <w:color w:val="000000"/>
                <w:sz w:val="24"/>
              </w:rPr>
              <w:t>先训练只输入RGB外扩ROI的轻量热图基线，使用真值点附近的高斯热图，并固定峰值或软坐标解码规则；再与高分辨率特征网络及SimCC坐标分类方法比较，必要时参考RTMPose的轻量实现</w:t>
            </w:r>
            <w:r>
              <w:rPr>
                <w:rFonts w:ascii="Times New Roman" w:hAnsi="Times New Roman" w:eastAsia="宋体"/>
                <w:b w:val="0"/>
                <w:i w:val="0"/>
                <w:color w:val="000000"/>
                <w:sz w:val="19"/>
                <w:vertAlign w:val="superscript"/>
              </w:rPr>
              <w:t>[27-29]</w:t>
            </w:r>
            <w:r>
              <w:rPr>
                <w:rFonts w:ascii="Times New Roman" w:hAnsi="Times New Roman" w:eastAsia="宋体"/>
                <w:b w:val="0"/>
                <w:i w:val="0"/>
                <w:color w:val="000000"/>
                <w:sz w:val="24"/>
              </w:rPr>
              <w:t>。比较时保持标注、ROI变换和样本一致，记录坐标分辨率、模型成本及遮挡样本误差。这样才能分清收益来自网络，还是来自更大的裁剪区域。</w:t>
            </w:r>
          </w:p>
          <w:p>
            <w:pPr>
              <w:spacing w:line="312" w:lineRule="auto" w:after="80"/>
              <w:ind w:firstLine="480"/>
              <w:jc w:val="both"/>
            </w:pPr>
            <w:r>
              <w:rPr>
                <w:rFonts w:ascii="Times New Roman" w:hAnsi="Times New Roman" w:eastAsia="宋体"/>
                <w:b w:val="0"/>
                <w:i w:val="0"/>
                <w:color w:val="000000"/>
                <w:sz w:val="24"/>
              </w:rPr>
              <w:t>随后把目标概率掩膜作为软提示与RGB特征融合，同时保留果体外的枝梗纹理。纯RGB、硬掩膜裁剪、软掩膜提示和轮廓距离提示分别作对照。训练时可用训练侧按组交叉预测得到的掩膜，或加入有限边界扰动，模拟上游分割误差；最终验证与测试使用冻结的真实预测。若方法只在真值掩膜下有效，说明它还不能用于实际级联。连接处完全不可见的样本只学习状态，不制造点位热图。</w:t>
            </w:r>
          </w:p>
          <w:p>
            <w:pPr>
              <w:spacing w:line="312" w:lineRule="auto" w:before="100" w:after="100"/>
              <w:ind w:firstLine="0"/>
              <w:jc w:val="left"/>
            </w:pPr>
            <w:r>
              <w:rPr>
                <w:rFonts w:ascii="Times New Roman" w:hAnsi="Times New Roman" w:eastAsia="宋体"/>
                <w:b/>
                <w:i w:val="0"/>
                <w:color w:val="000000"/>
                <w:sz w:val="24"/>
              </w:rPr>
              <w:t>2.4.3 可定位性与拒识机制</w:t>
            </w:r>
          </w:p>
          <w:p>
            <w:pPr>
              <w:spacing w:line="312" w:lineRule="auto" w:after="80"/>
              <w:ind w:firstLine="480"/>
              <w:jc w:val="both"/>
            </w:pPr>
            <w:r>
              <w:rPr>
                <w:rFonts w:ascii="Times New Roman" w:hAnsi="Times New Roman" w:eastAsia="宋体"/>
                <w:b w:val="0"/>
                <w:i w:val="0"/>
                <w:color w:val="000000"/>
                <w:sz w:val="24"/>
              </w:rPr>
              <w:t>点位头与可定位性头共享局部编码特征。点位损失只对有可信坐标的样本计算，可定位性损失对所有已判定状态的样本计算，形式为L点位+λ状态L状态；其中不可判定样本对坐标损失的权重为零。可见与局部遮挡可定位样本分别统计，避免网络只对清晰连接区表现良好而被总体均值掩盖。</w:t>
            </w:r>
          </w:p>
          <w:p>
            <w:pPr>
              <w:spacing w:line="312" w:lineRule="auto" w:after="80"/>
              <w:ind w:firstLine="480"/>
              <w:jc w:val="both"/>
            </w:pPr>
            <w:r>
              <w:rPr>
                <w:rFonts w:ascii="Times New Roman" w:hAnsi="Times New Roman" w:eastAsia="宋体"/>
                <w:b w:val="0"/>
                <w:i w:val="0"/>
                <w:color w:val="000000"/>
                <w:sz w:val="24"/>
              </w:rPr>
              <w:t>推理时结合可定位分数、热图分布和验证集校准结果决定是否输出坐标。被拒识的果实仍保留编号及拒识状态。评价同时给出输出覆盖率、接受样本的点误差、不可判定样本的错误接受率，以及风险随覆盖率变化的曲线。只有在相同覆盖率下错误确实减少，拒识机制才算有用。</w:t>
            </w:r>
          </w:p>
          <w:p>
            <w:pPr>
              <w:spacing w:line="312" w:lineRule="auto" w:before="100" w:after="100"/>
              <w:ind w:firstLine="0"/>
              <w:jc w:val="left"/>
            </w:pPr>
            <w:r>
              <w:rPr>
                <w:rFonts w:ascii="Times New Roman" w:hAnsi="Times New Roman" w:eastAsia="宋体"/>
                <w:b/>
                <w:i w:val="0"/>
                <w:color w:val="000000"/>
                <w:sz w:val="24"/>
              </w:rPr>
              <w:t>2.5 实验设计与评价方法</w:t>
            </w:r>
          </w:p>
          <w:p>
            <w:pPr>
              <w:spacing w:line="312" w:lineRule="auto" w:before="100" w:after="100"/>
              <w:ind w:firstLine="0"/>
              <w:jc w:val="left"/>
            </w:pPr>
            <w:r>
              <w:rPr>
                <w:rFonts w:ascii="Times New Roman" w:hAnsi="Times New Roman" w:eastAsia="宋体"/>
                <w:b/>
                <w:i w:val="0"/>
                <w:color w:val="000000"/>
                <w:sz w:val="24"/>
              </w:rPr>
              <w:t>2.5.1 实验协议与比较对象</w:t>
            </w:r>
          </w:p>
          <w:p>
            <w:pPr>
              <w:spacing w:line="312" w:lineRule="auto" w:after="80"/>
              <w:ind w:firstLine="480"/>
              <w:jc w:val="both"/>
            </w:pPr>
            <w:r>
              <w:rPr>
                <w:rFonts w:ascii="Times New Roman" w:hAnsi="Times New Roman" w:eastAsia="宋体"/>
                <w:b w:val="0"/>
                <w:i w:val="0"/>
                <w:color w:val="000000"/>
                <w:sz w:val="24"/>
              </w:rPr>
              <w:t>正式比较采用固定组划分、图像成员清单与标签版本。每次运行记录实际生效参数，包括输入大小、掩膜分辨率、增强、优化器、学习率、训练精度模式、预训练权重、随机种子和评价器版本。仅使用同名配置文件并不足以证明协议一致，脚本覆盖项也需纳入记录。训练之前核查不同框架的缩放、填充、掩膜恢复和类别映射，避免将实现差异误判为算法差异。</w:t>
            </w:r>
          </w:p>
          <w:p>
            <w:pPr>
              <w:spacing w:line="312" w:lineRule="auto" w:after="80"/>
              <w:ind w:firstLine="480"/>
              <w:jc w:val="both"/>
            </w:pPr>
            <w:r>
              <w:rPr>
                <w:rFonts w:ascii="Times New Roman" w:hAnsi="Times New Roman" w:eastAsia="宋体"/>
                <w:b w:val="0"/>
                <w:i w:val="0"/>
                <w:color w:val="000000"/>
                <w:sz w:val="24"/>
              </w:rPr>
              <w:t>分割主基线为YOLO11n-seg，最少跨系列比较包括YOLOv8n-seg、YOLO26n-seg、RTMDet-Ins-tiny、Mask R-CNN R50-FPN与RF-DETR Seg Nano</w:t>
            </w:r>
            <w:r>
              <w:rPr>
                <w:rFonts w:ascii="Times New Roman" w:hAnsi="Times New Roman" w:eastAsia="宋体"/>
                <w:b w:val="0"/>
                <w:i w:val="0"/>
                <w:color w:val="000000"/>
                <w:sz w:val="19"/>
                <w:vertAlign w:val="superscript"/>
              </w:rPr>
              <w:t>[15,18,32-33]</w:t>
            </w:r>
            <w:r>
              <w:rPr>
                <w:rFonts w:ascii="Times New Roman" w:hAnsi="Times New Roman" w:eastAsia="宋体"/>
                <w:b w:val="0"/>
                <w:i w:val="0"/>
                <w:color w:val="000000"/>
                <w:sz w:val="24"/>
              </w:rPr>
              <w:t>。期刊加强比较加入SOLOv2-Light R18-FPN</w:t>
            </w:r>
            <w:r>
              <w:rPr>
                <w:rFonts w:ascii="Times New Roman" w:hAnsi="Times New Roman" w:eastAsia="宋体"/>
                <w:b w:val="0"/>
                <w:i w:val="0"/>
                <w:color w:val="000000"/>
                <w:sz w:val="19"/>
                <w:vertAlign w:val="superscript"/>
              </w:rPr>
              <w:t>[17]</w:t>
            </w:r>
            <w:r>
              <w:rPr>
                <w:rFonts w:ascii="Times New Roman" w:hAnsi="Times New Roman" w:eastAsia="宋体"/>
                <w:b w:val="0"/>
                <w:i w:val="0"/>
                <w:color w:val="000000"/>
                <w:sz w:val="24"/>
              </w:rPr>
              <w:t>。U-Net加标记控制分水岭作为辅助流程，语义前景由实例并集合成，分水岭阈值只在验证集调节，并同时报告Dice、mIoU及实例Mask AP</w:t>
            </w:r>
            <w:r>
              <w:rPr>
                <w:rFonts w:ascii="Times New Roman" w:hAnsi="Times New Roman" w:eastAsia="宋体"/>
                <w:b w:val="0"/>
                <w:i w:val="0"/>
                <w:color w:val="000000"/>
                <w:sz w:val="19"/>
                <w:vertAlign w:val="superscript"/>
              </w:rPr>
              <w:t>[26]</w:t>
            </w:r>
            <w:r>
              <w:rPr>
                <w:rFonts w:ascii="Times New Roman" w:hAnsi="Times New Roman" w:eastAsia="宋体"/>
                <w:b w:val="0"/>
                <w:i w:val="0"/>
                <w:color w:val="000000"/>
                <w:sz w:val="24"/>
              </w:rPr>
              <w:t>。若最终采用对象集合支线，还需加入机制最近的SparseInst或FastInst对照。</w:t>
            </w:r>
          </w:p>
          <w:p>
            <w:pPr>
              <w:spacing w:line="312" w:lineRule="auto" w:after="80"/>
              <w:ind w:firstLine="480"/>
              <w:jc w:val="both"/>
            </w:pPr>
            <w:r>
              <w:rPr>
                <w:rFonts w:ascii="Times New Roman" w:hAnsi="Times New Roman" w:eastAsia="宋体"/>
                <w:b w:val="0"/>
                <w:i w:val="0"/>
                <w:color w:val="000000"/>
                <w:sz w:val="24"/>
              </w:rPr>
              <w:t>同架构消融保持初始化和训练参数一致，主实验按640输入、1—3 epoch烟测、50 epoch筛选和300 epoch最终训练推进；最终主基线与最终方法使用相同的42、43、44三个随机种子。跨框架比较明确区分统一预算协议与官方推荐训练方案，不强行把不适用的优化设置复制到所有架构，也不在同一结果栏混用两类协议。每个框架享有相同且事先记录的验证选择预算。</w:t>
            </w:r>
          </w:p>
          <w:p>
            <w:pPr>
              <w:spacing w:before="120" w:after="60"/>
              <w:ind w:firstLine="0"/>
              <w:jc w:val="center"/>
            </w:pPr>
            <w:r>
              <w:rPr>
                <w:rFonts w:ascii="Times New Roman" w:hAnsi="Times New Roman" w:eastAsia="宋体"/>
                <w:b/>
                <w:i w:val="0"/>
                <w:color w:val="000000"/>
                <w:sz w:val="21"/>
              </w:rPr>
              <w:t>表2 主要消融与需要回答的问题</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48"/>
              <w:gridCol w:w="3448"/>
              <w:gridCol w:w="3448"/>
            </w:tblGrid>
            <w:tr>
              <w:tc>
                <w:tcPr>
                  <w:tcW w:type="dxa" w:w="1003"/>
                  <w:vAlign w:val="center"/>
                  <w:shd w:val="clear" w:fill="E9EEEB"/>
                </w:tcPr>
                <w:p>
                  <w:pPr>
                    <w:spacing w:after="0" w:line="276" w:lineRule="auto"/>
                    <w:ind w:firstLine="0"/>
                    <w:jc w:val="center"/>
                  </w:pPr>
                  <w:r>
                    <w:rPr>
                      <w:rFonts w:ascii="Times New Roman" w:hAnsi="Times New Roman" w:eastAsia="宋体"/>
                      <w:b/>
                      <w:i w:val="0"/>
                      <w:color w:val="000000"/>
                      <w:sz w:val="21"/>
                    </w:rPr>
                    <w:t>实验组</w:t>
                  </w:r>
                </w:p>
              </w:tc>
              <w:tc>
                <w:tcPr>
                  <w:tcW w:type="dxa" w:w="4091"/>
                  <w:vAlign w:val="center"/>
                  <w:shd w:val="clear" w:fill="E9EEEB"/>
                </w:tcPr>
                <w:p>
                  <w:pPr>
                    <w:spacing w:after="0" w:line="276" w:lineRule="auto"/>
                    <w:ind w:firstLine="0"/>
                    <w:jc w:val="center"/>
                  </w:pPr>
                  <w:r>
                    <w:rPr>
                      <w:rFonts w:ascii="Times New Roman" w:hAnsi="Times New Roman" w:eastAsia="宋体"/>
                      <w:b/>
                      <w:i w:val="0"/>
                      <w:color w:val="000000"/>
                      <w:sz w:val="21"/>
                    </w:rPr>
                    <w:t>控制与变化因素</w:t>
                  </w:r>
                </w:p>
              </w:tc>
              <w:tc>
                <w:tcPr>
                  <w:tcW w:type="dxa" w:w="3750"/>
                  <w:vAlign w:val="center"/>
                  <w:shd w:val="clear" w:fill="E9EEEB"/>
                </w:tcPr>
                <w:p>
                  <w:pPr>
                    <w:spacing w:after="0" w:line="276" w:lineRule="auto"/>
                    <w:ind w:firstLine="0"/>
                    <w:jc w:val="center"/>
                  </w:pPr>
                  <w:r>
                    <w:rPr>
                      <w:rFonts w:ascii="Times New Roman" w:hAnsi="Times New Roman" w:eastAsia="宋体"/>
                      <w:b/>
                      <w:i w:val="0"/>
                      <w:color w:val="000000"/>
                      <w:sz w:val="21"/>
                    </w:rPr>
                    <w:t>判断依据</w:t>
                  </w:r>
                </w:p>
              </w:tc>
            </w:tr>
            <w:tr>
              <w:tc>
                <w:tcPr>
                  <w:tcW w:type="dxa" w:w="1003"/>
                  <w:vAlign w:val="center"/>
                </w:tcPr>
                <w:p>
                  <w:pPr>
                    <w:spacing w:after="0" w:line="276" w:lineRule="auto"/>
                    <w:ind w:firstLine="0"/>
                    <w:jc w:val="center"/>
                  </w:pPr>
                  <w:r>
                    <w:rPr>
                      <w:rFonts w:ascii="Times New Roman" w:hAnsi="Times New Roman" w:eastAsia="宋体"/>
                      <w:b w:val="0"/>
                      <w:i w:val="0"/>
                      <w:color w:val="000000"/>
                      <w:sz w:val="21"/>
                    </w:rPr>
                    <w:t>分割A</w:t>
                  </w:r>
                </w:p>
              </w:tc>
              <w:tc>
                <w:tcPr>
                  <w:tcW w:type="dxa" w:w="4091"/>
                  <w:vAlign w:val="center"/>
                </w:tcPr>
                <w:p>
                  <w:pPr>
                    <w:spacing w:after="0" w:line="276" w:lineRule="auto"/>
                    <w:ind w:firstLine="0"/>
                    <w:jc w:val="left"/>
                  </w:pPr>
                  <w:r>
                    <w:rPr>
                      <w:rFonts w:ascii="Times New Roman" w:hAnsi="Times New Roman" w:eastAsia="宋体"/>
                      <w:b w:val="0"/>
                      <w:i w:val="0"/>
                      <w:color w:val="000000"/>
                      <w:sz w:val="21"/>
                    </w:rPr>
                    <w:t>基线、细节保留、语义协同；保持输入与损失相同</w:t>
                  </w:r>
                </w:p>
              </w:tc>
              <w:tc>
                <w:tcPr>
                  <w:tcW w:type="dxa" w:w="3750"/>
                  <w:vAlign w:val="center"/>
                </w:tcPr>
                <w:p>
                  <w:pPr>
                    <w:spacing w:after="0" w:line="276" w:lineRule="auto"/>
                    <w:ind w:firstLine="0"/>
                    <w:jc w:val="left"/>
                  </w:pPr>
                  <w:r>
                    <w:rPr>
                      <w:rFonts w:ascii="Times New Roman" w:hAnsi="Times New Roman" w:eastAsia="宋体"/>
                      <w:b w:val="0"/>
                      <w:i w:val="0"/>
                      <w:color w:val="000000"/>
                      <w:sz w:val="21"/>
                    </w:rPr>
                    <w:t>小目标AP、背景误差及实际延迟</w:t>
                  </w:r>
                </w:p>
              </w:tc>
            </w:tr>
            <w:tr>
              <w:tc>
                <w:tcPr>
                  <w:tcW w:type="dxa" w:w="1003"/>
                  <w:vAlign w:val="center"/>
                </w:tcPr>
                <w:p>
                  <w:pPr>
                    <w:spacing w:after="0" w:line="276" w:lineRule="auto"/>
                    <w:ind w:firstLine="0"/>
                    <w:jc w:val="center"/>
                  </w:pPr>
                  <w:r>
                    <w:rPr>
                      <w:rFonts w:ascii="Times New Roman" w:hAnsi="Times New Roman" w:eastAsia="宋体"/>
                      <w:b w:val="0"/>
                      <w:i w:val="0"/>
                      <w:color w:val="000000"/>
                      <w:sz w:val="21"/>
                    </w:rPr>
                    <w:t>分割B</w:t>
                  </w:r>
                </w:p>
              </w:tc>
              <w:tc>
                <w:tcPr>
                  <w:tcW w:type="dxa" w:w="4091"/>
                  <w:vAlign w:val="center"/>
                </w:tcPr>
                <w:p>
                  <w:pPr>
                    <w:spacing w:after="0" w:line="276" w:lineRule="auto"/>
                    <w:ind w:firstLine="0"/>
                    <w:jc w:val="left"/>
                  </w:pPr>
                  <w:r>
                    <w:rPr>
                      <w:rFonts w:ascii="Times New Roman" w:hAnsi="Times New Roman" w:eastAsia="宋体"/>
                      <w:b w:val="0"/>
                      <w:i w:val="0"/>
                      <w:color w:val="000000"/>
                      <w:sz w:val="21"/>
                    </w:rPr>
                    <w:t>简单融合、标量融合、逐位置门控</w:t>
                  </w:r>
                </w:p>
              </w:tc>
              <w:tc>
                <w:tcPr>
                  <w:tcW w:type="dxa" w:w="3750"/>
                  <w:vAlign w:val="center"/>
                </w:tcPr>
                <w:p>
                  <w:pPr>
                    <w:spacing w:after="0" w:line="276" w:lineRule="auto"/>
                    <w:ind w:firstLine="0"/>
                    <w:jc w:val="left"/>
                  </w:pPr>
                  <w:r>
                    <w:rPr>
                      <w:rFonts w:ascii="Times New Roman" w:hAnsi="Times New Roman" w:eastAsia="宋体"/>
                      <w:b w:val="0"/>
                      <w:i w:val="0"/>
                      <w:color w:val="000000"/>
                      <w:sz w:val="21"/>
                    </w:rPr>
                    <w:t>同预算下是否存在独立融合收益</w:t>
                  </w:r>
                </w:p>
              </w:tc>
            </w:tr>
            <w:tr>
              <w:tc>
                <w:tcPr>
                  <w:tcW w:type="dxa" w:w="1003"/>
                  <w:vAlign w:val="center"/>
                </w:tcPr>
                <w:p>
                  <w:pPr>
                    <w:spacing w:after="0" w:line="276" w:lineRule="auto"/>
                    <w:ind w:firstLine="0"/>
                    <w:jc w:val="center"/>
                  </w:pPr>
                  <w:r>
                    <w:rPr>
                      <w:rFonts w:ascii="Times New Roman" w:hAnsi="Times New Roman" w:eastAsia="宋体"/>
                      <w:b w:val="0"/>
                      <w:i w:val="0"/>
                      <w:color w:val="000000"/>
                      <w:sz w:val="21"/>
                    </w:rPr>
                    <w:t>分割C</w:t>
                  </w:r>
                </w:p>
              </w:tc>
              <w:tc>
                <w:tcPr>
                  <w:tcW w:type="dxa" w:w="4091"/>
                  <w:vAlign w:val="center"/>
                </w:tcPr>
                <w:p>
                  <w:pPr>
                    <w:spacing w:after="0" w:line="276" w:lineRule="auto"/>
                    <w:ind w:firstLine="0"/>
                    <w:jc w:val="left"/>
                  </w:pPr>
                  <w:r>
                    <w:rPr>
                      <w:rFonts w:ascii="Times New Roman" w:hAnsi="Times New Roman" w:eastAsia="宋体"/>
                      <w:b w:val="0"/>
                      <w:i w:val="0"/>
                      <w:color w:val="000000"/>
                      <w:sz w:val="21"/>
                    </w:rPr>
                    <w:t>基础损失、凹边界、邻接、二者组合</w:t>
                  </w:r>
                </w:p>
              </w:tc>
              <w:tc>
                <w:tcPr>
                  <w:tcW w:type="dxa" w:w="3750"/>
                  <w:vAlign w:val="center"/>
                </w:tcPr>
                <w:p>
                  <w:pPr>
                    <w:spacing w:after="0" w:line="276" w:lineRule="auto"/>
                    <w:ind w:firstLine="0"/>
                    <w:jc w:val="left"/>
                  </w:pPr>
                  <w:r>
                    <w:rPr>
                      <w:rFonts w:ascii="Times New Roman" w:hAnsi="Times New Roman" w:eastAsia="宋体"/>
                      <w:b w:val="0"/>
                      <w:i w:val="0"/>
                      <w:color w:val="000000"/>
                      <w:sz w:val="21"/>
                    </w:rPr>
                    <w:t>边界质量与split/merge同时评价</w:t>
                  </w:r>
                </w:p>
              </w:tc>
            </w:tr>
            <w:tr>
              <w:tc>
                <w:tcPr>
                  <w:tcW w:type="dxa" w:w="1003"/>
                  <w:vAlign w:val="center"/>
                </w:tcPr>
                <w:p>
                  <w:pPr>
                    <w:spacing w:after="0" w:line="276" w:lineRule="auto"/>
                    <w:ind w:firstLine="0"/>
                    <w:jc w:val="center"/>
                  </w:pPr>
                  <w:r>
                    <w:rPr>
                      <w:rFonts w:ascii="Times New Roman" w:hAnsi="Times New Roman" w:eastAsia="宋体"/>
                      <w:b w:val="0"/>
                      <w:i w:val="0"/>
                      <w:color w:val="000000"/>
                      <w:sz w:val="21"/>
                    </w:rPr>
                    <w:t>输入D</w:t>
                  </w:r>
                </w:p>
              </w:tc>
              <w:tc>
                <w:tcPr>
                  <w:tcW w:type="dxa" w:w="4091"/>
                  <w:vAlign w:val="center"/>
                </w:tcPr>
                <w:p>
                  <w:pPr>
                    <w:spacing w:after="0" w:line="276" w:lineRule="auto"/>
                    <w:ind w:firstLine="0"/>
                    <w:jc w:val="left"/>
                  </w:pPr>
                  <w:r>
                    <w:rPr>
                      <w:rFonts w:ascii="Times New Roman" w:hAnsi="Times New Roman" w:eastAsia="宋体"/>
                      <w:b w:val="0"/>
                      <w:i w:val="0"/>
                      <w:color w:val="000000"/>
                      <w:sz w:val="21"/>
                    </w:rPr>
                    <w:t>整图、混合训练视图、固定切片推理</w:t>
                  </w:r>
                </w:p>
              </w:tc>
              <w:tc>
                <w:tcPr>
                  <w:tcW w:type="dxa" w:w="3750"/>
                  <w:vAlign w:val="center"/>
                </w:tcPr>
                <w:p>
                  <w:pPr>
                    <w:spacing w:after="0" w:line="276" w:lineRule="auto"/>
                    <w:ind w:firstLine="0"/>
                    <w:jc w:val="left"/>
                  </w:pPr>
                  <w:r>
                    <w:rPr>
                      <w:rFonts w:ascii="Times New Roman" w:hAnsi="Times New Roman" w:eastAsia="宋体"/>
                      <w:b w:val="0"/>
                      <w:i w:val="0"/>
                      <w:color w:val="000000"/>
                      <w:sz w:val="21"/>
                    </w:rPr>
                    <w:t>原图指标、跨片重复与完整延迟</w:t>
                  </w:r>
                </w:p>
              </w:tc>
            </w:tr>
            <w:tr>
              <w:tc>
                <w:tcPr>
                  <w:tcW w:type="dxa" w:w="1003"/>
                  <w:vAlign w:val="center"/>
                </w:tcPr>
                <w:p>
                  <w:pPr>
                    <w:spacing w:after="0" w:line="276" w:lineRule="auto"/>
                    <w:ind w:firstLine="0"/>
                    <w:jc w:val="center"/>
                  </w:pPr>
                  <w:r>
                    <w:rPr>
                      <w:rFonts w:ascii="Times New Roman" w:hAnsi="Times New Roman" w:eastAsia="宋体"/>
                      <w:b w:val="0"/>
                      <w:i w:val="0"/>
                      <w:color w:val="000000"/>
                      <w:sz w:val="21"/>
                    </w:rPr>
                    <w:t>定位E</w:t>
                  </w:r>
                </w:p>
              </w:tc>
              <w:tc>
                <w:tcPr>
                  <w:tcW w:type="dxa" w:w="4091"/>
                  <w:vAlign w:val="center"/>
                </w:tcPr>
                <w:p>
                  <w:pPr>
                    <w:spacing w:after="0" w:line="276" w:lineRule="auto"/>
                    <w:ind w:firstLine="0"/>
                    <w:jc w:val="left"/>
                  </w:pPr>
                  <w:r>
                    <w:rPr>
                      <w:rFonts w:ascii="Times New Roman" w:hAnsi="Times New Roman" w:eastAsia="宋体"/>
                      <w:b w:val="0"/>
                      <w:i w:val="0"/>
                      <w:color w:val="000000"/>
                      <w:sz w:val="21"/>
                    </w:rPr>
                    <w:t>RGB框ROI、硬掩膜、软掩膜/轮廓提示</w:t>
                  </w:r>
                </w:p>
              </w:tc>
              <w:tc>
                <w:tcPr>
                  <w:tcW w:type="dxa" w:w="3750"/>
                  <w:vAlign w:val="center"/>
                </w:tcPr>
                <w:p>
                  <w:pPr>
                    <w:spacing w:after="0" w:line="276" w:lineRule="auto"/>
                    <w:ind w:firstLine="0"/>
                    <w:jc w:val="left"/>
                  </w:pPr>
                  <w:r>
                    <w:rPr>
                      <w:rFonts w:ascii="Times New Roman" w:hAnsi="Times New Roman" w:eastAsia="宋体"/>
                      <w:b w:val="0"/>
                      <w:i w:val="0"/>
                      <w:color w:val="000000"/>
                      <w:sz w:val="21"/>
                    </w:rPr>
                    <w:t>归一化误差、邻果错配、遮挡分层</w:t>
                  </w:r>
                </w:p>
              </w:tc>
            </w:tr>
            <w:tr>
              <w:tc>
                <w:tcPr>
                  <w:tcW w:type="dxa" w:w="1003"/>
                  <w:vAlign w:val="center"/>
                </w:tcPr>
                <w:p>
                  <w:pPr>
                    <w:spacing w:after="0" w:line="276" w:lineRule="auto"/>
                    <w:ind w:firstLine="0"/>
                    <w:jc w:val="center"/>
                  </w:pPr>
                  <w:r>
                    <w:rPr>
                      <w:rFonts w:ascii="Times New Roman" w:hAnsi="Times New Roman" w:eastAsia="宋体"/>
                      <w:b w:val="0"/>
                      <w:i w:val="0"/>
                      <w:color w:val="000000"/>
                      <w:sz w:val="21"/>
                    </w:rPr>
                    <w:t>定位F</w:t>
                  </w:r>
                </w:p>
              </w:tc>
              <w:tc>
                <w:tcPr>
                  <w:tcW w:type="dxa" w:w="4091"/>
                  <w:vAlign w:val="center"/>
                </w:tcPr>
                <w:p>
                  <w:pPr>
                    <w:spacing w:after="0" w:line="276" w:lineRule="auto"/>
                    <w:ind w:firstLine="0"/>
                    <w:jc w:val="left"/>
                  </w:pPr>
                  <w:r>
                    <w:rPr>
                      <w:rFonts w:ascii="Times New Roman" w:hAnsi="Times New Roman" w:eastAsia="宋体"/>
                      <w:b w:val="0"/>
                      <w:i w:val="0"/>
                      <w:color w:val="000000"/>
                      <w:sz w:val="21"/>
                    </w:rPr>
                    <w:t>无状态头、有状态头与拒识</w:t>
                  </w:r>
                </w:p>
              </w:tc>
              <w:tc>
                <w:tcPr>
                  <w:tcW w:type="dxa" w:w="3750"/>
                  <w:vAlign w:val="center"/>
                </w:tcPr>
                <w:p>
                  <w:pPr>
                    <w:spacing w:after="0" w:line="276" w:lineRule="auto"/>
                    <w:ind w:firstLine="0"/>
                    <w:jc w:val="left"/>
                  </w:pPr>
                  <w:r>
                    <w:rPr>
                      <w:rFonts w:ascii="Times New Roman" w:hAnsi="Times New Roman" w:eastAsia="宋体"/>
                      <w:b w:val="0"/>
                      <w:i w:val="0"/>
                      <w:color w:val="000000"/>
                      <w:sz w:val="21"/>
                    </w:rPr>
                    <w:t>相同覆盖率下的风险及错误接受率</w:t>
                  </w:r>
                </w:p>
              </w:tc>
            </w:tr>
            <w:tr>
              <w:tc>
                <w:tcPr>
                  <w:tcW w:type="dxa" w:w="1003"/>
                  <w:vAlign w:val="center"/>
                </w:tcPr>
                <w:p>
                  <w:pPr>
                    <w:spacing w:after="0" w:line="276" w:lineRule="auto"/>
                    <w:ind w:firstLine="0"/>
                    <w:jc w:val="center"/>
                  </w:pPr>
                  <w:r>
                    <w:rPr>
                      <w:rFonts w:ascii="Times New Roman" w:hAnsi="Times New Roman" w:eastAsia="宋体"/>
                      <w:b w:val="0"/>
                      <w:i w:val="0"/>
                      <w:color w:val="000000"/>
                      <w:sz w:val="21"/>
                    </w:rPr>
                    <w:t>级联G</w:t>
                  </w:r>
                </w:p>
              </w:tc>
              <w:tc>
                <w:tcPr>
                  <w:tcW w:type="dxa" w:w="4091"/>
                  <w:vAlign w:val="center"/>
                </w:tcPr>
                <w:p>
                  <w:pPr>
                    <w:spacing w:after="0" w:line="276" w:lineRule="auto"/>
                    <w:ind w:firstLine="0"/>
                    <w:jc w:val="left"/>
                  </w:pPr>
                  <w:r>
                    <w:rPr>
                      <w:rFonts w:ascii="Times New Roman" w:hAnsi="Times New Roman" w:eastAsia="宋体"/>
                      <w:b w:val="0"/>
                      <w:i w:val="0"/>
                      <w:color w:val="000000"/>
                      <w:sz w:val="21"/>
                    </w:rPr>
                    <w:t>真值ROI/掩膜与预测ROI/掩膜</w:t>
                  </w:r>
                </w:p>
              </w:tc>
              <w:tc>
                <w:tcPr>
                  <w:tcW w:type="dxa" w:w="3750"/>
                  <w:vAlign w:val="center"/>
                </w:tcPr>
                <w:p>
                  <w:pPr>
                    <w:spacing w:after="0" w:line="276" w:lineRule="auto"/>
                    <w:ind w:firstLine="0"/>
                    <w:jc w:val="left"/>
                  </w:pPr>
                  <w:r>
                    <w:rPr>
                      <w:rFonts w:ascii="Times New Roman" w:hAnsi="Times New Roman" w:eastAsia="宋体"/>
                      <w:b w:val="0"/>
                      <w:i w:val="0"/>
                      <w:color w:val="000000"/>
                      <w:sz w:val="21"/>
                    </w:rPr>
                    <w:t>上游误差造成的点位与覆盖损失</w:t>
                  </w:r>
                </w:p>
              </w:tc>
            </w:tr>
          </w:tbl>
          <w:p/>
          <w:p/>
          <w:p>
            <w:pPr>
              <w:spacing w:line="312" w:lineRule="auto" w:before="100" w:after="100"/>
              <w:ind w:firstLine="0"/>
              <w:jc w:val="left"/>
            </w:pPr>
            <w:r>
              <w:rPr>
                <w:rFonts w:ascii="Times New Roman" w:hAnsi="Times New Roman" w:eastAsia="宋体"/>
                <w:b/>
                <w:i w:val="0"/>
                <w:color w:val="000000"/>
                <w:sz w:val="24"/>
              </w:rPr>
              <w:t>2.5.2 实例分割评价</w:t>
            </w:r>
          </w:p>
          <w:p>
            <w:pPr>
              <w:spacing w:line="312" w:lineRule="auto" w:after="80"/>
              <w:ind w:firstLine="480"/>
              <w:jc w:val="both"/>
            </w:pPr>
            <w:r>
              <w:rPr>
                <w:rFonts w:ascii="Times New Roman" w:hAnsi="Times New Roman" w:eastAsia="宋体"/>
                <w:b w:val="0"/>
                <w:i w:val="0"/>
                <w:color w:val="000000"/>
                <w:sz w:val="24"/>
              </w:rPr>
              <w:t>总体报告Mask AP50–95、AP50、precision和recall，并按照固定评估尺度提供小、中、大目标AP。AP采用完整置信度排序计算，不能先用较高置信阈值裁掉候选再与其他方法比较。作业阈值由验证集选择并冻结，在测试集报告其实际precision与recall；若目标为验证集precision不低于0.90，测试结果未达到该条件时如实列出，不利用测试集重新调阈值。</w:t>
            </w:r>
          </w:p>
          <w:p>
            <w:pPr>
              <w:spacing w:line="312" w:lineRule="auto" w:after="80"/>
              <w:ind w:firstLine="480"/>
              <w:jc w:val="both"/>
            </w:pPr>
            <w:r>
              <w:rPr>
                <w:rFonts w:ascii="Times New Roman" w:hAnsi="Times New Roman" w:eastAsia="宋体"/>
                <w:b w:val="0"/>
                <w:i w:val="0"/>
                <w:color w:val="000000"/>
                <w:sz w:val="24"/>
              </w:rPr>
              <w:t>难例分析包括小目标、经人工确认的凹陷遮挡、相邻接触和图内大尺度跨度。边界评价使用固定宽度容差及相同原图恢复方式；匹配成功实例的边界质量与包含漏检的总体检出指标共同报告。分裂、合并、重复和背景误差按预先固定的覆盖与匹配规则统计，并记录典型失败图。所谓背景误报需结合漏标抽检判定，不能把模型发现的所有未标目标都直接视为错误。</w:t>
            </w:r>
          </w:p>
          <w:p>
            <w:pPr>
              <w:spacing w:line="312" w:lineRule="auto" w:after="80"/>
              <w:ind w:firstLine="480"/>
              <w:jc w:val="both"/>
            </w:pPr>
            <w:r>
              <w:rPr>
                <w:rFonts w:ascii="Times New Roman" w:hAnsi="Times New Roman" w:eastAsia="宋体"/>
                <w:b w:val="0"/>
                <w:i w:val="0"/>
                <w:color w:val="000000"/>
                <w:sz w:val="24"/>
              </w:rPr>
              <w:t>对含其他非目标实例的难例子集计算AP时，保留图像内全部真实对象及明确的忽略规则，避免把正确检出的非子集果实误计为假阳性。对于实例对指标，以实例对作为统计对象；对于全图延迟与背景误差，以原图作为统计对象，二者不能混用分母。</w:t>
            </w:r>
          </w:p>
          <w:p>
            <w:pPr>
              <w:spacing w:line="312" w:lineRule="auto" w:before="100" w:after="100"/>
              <w:ind w:firstLine="0"/>
              <w:jc w:val="left"/>
            </w:pPr>
            <w:r>
              <w:rPr>
                <w:rFonts w:ascii="Times New Roman" w:hAnsi="Times New Roman" w:eastAsia="宋体"/>
                <w:b/>
                <w:i w:val="0"/>
                <w:color w:val="000000"/>
                <w:sz w:val="24"/>
              </w:rPr>
              <w:t>2.5.3 连接点与全流程评价</w:t>
            </w:r>
          </w:p>
          <w:p>
            <w:pPr>
              <w:spacing w:line="312" w:lineRule="auto" w:after="80"/>
              <w:ind w:firstLine="480"/>
              <w:jc w:val="both"/>
            </w:pPr>
            <w:r>
              <w:rPr>
                <w:rFonts w:ascii="Times New Roman" w:hAnsi="Times New Roman" w:eastAsia="宋体"/>
                <w:b w:val="0"/>
                <w:i w:val="0"/>
                <w:color w:val="000000"/>
                <w:sz w:val="24"/>
              </w:rPr>
              <w:t>对具有可信坐标的样本，定义归一化定位误差e为预测点与真值点的欧氏距离，除以真实目标外接框对角线。使用真实框而不是预测框，避免模型通过扩大预测框获得人为更小的归一化误差。报告误差中位数、均值和高分位数，并给出PCK随阈值变化的曲线，例如PCK@0.05与PCK@0.10；具体阈值在标注规范完成后预先冻结。原图像素误差同时保留，不将像素误差换算为未经标定的毫米误差。</w:t>
            </w:r>
          </w:p>
          <w:p>
            <w:pPr>
              <w:spacing w:line="312" w:lineRule="auto" w:after="80"/>
              <w:ind w:firstLine="480"/>
              <w:jc w:val="both"/>
            </w:pPr>
            <w:r>
              <w:rPr>
                <w:rFonts w:ascii="Times New Roman" w:hAnsi="Times New Roman" w:eastAsia="宋体"/>
                <w:b w:val="0"/>
                <w:i w:val="0"/>
                <w:color w:val="000000"/>
                <w:sz w:val="24"/>
              </w:rPr>
              <w:t>连接点评价分为两个条件。其一使用真值ROI与真值掩膜，测量局部定位器本身的能力；其二使用真实预测ROI与预测掩膜，测量完整感知流程。后者需要按实例匹配规则将预测与真实果实一一对应。只有实例匹配正确、点位在容差内且被接受输出，才计为一次全流程有效定位；上游漏检、错配或拒识均计入覆盖损失。额外预测产生的错误输出也纳入精度或每图错误输出数。</w:t>
            </w:r>
          </w:p>
          <w:p>
            <w:pPr>
              <w:spacing w:before="120" w:after="40" w:line="240" w:lineRule="auto"/>
              <w:ind w:firstLine="0"/>
              <w:jc w:val="center"/>
            </w:pPr>
            <w:r>
              <w:drawing>
                <wp:inline xmlns:a="http://schemas.openxmlformats.org/drawingml/2006/main" xmlns:pic="http://schemas.openxmlformats.org/drawingml/2006/picture">
                  <wp:extent cx="5220000" cy="2755000"/>
                  <wp:docPr id="2133873102" name="Picture 2133873102"/>
                  <wp:cNvGraphicFramePr>
                    <a:graphicFrameLocks noChangeAspect="1"/>
                  </wp:cNvGraphicFramePr>
                  <a:graphic>
                    <a:graphicData uri="http://schemas.openxmlformats.org/drawingml/2006/picture">
                      <pic:pic>
                        <pic:nvPicPr>
                          <pic:cNvPr id="0" name="fig07_evaluation.png"/>
                          <pic:cNvPicPr/>
                        </pic:nvPicPr>
                        <pic:blipFill>
                          <a:blip r:embed="rId111"/>
                          <a:stretch>
                            <a:fillRect/>
                          </a:stretch>
                        </pic:blipFill>
                        <pic:spPr>
                          <a:xfrm>
                            <a:off x="0" y="0"/>
                            <a:ext cx="5220000" cy="2755000"/>
                          </a:xfrm>
                          <a:prstGeom prst="rect"/>
                        </pic:spPr>
                      </pic:pic>
                    </a:graphicData>
                  </a:graphic>
                </wp:inline>
              </w:drawing>
            </w:r>
          </w:p>
          <w:p>
            <w:pPr>
              <w:spacing w:after="160" w:line="276" w:lineRule="auto"/>
              <w:ind w:firstLine="0"/>
              <w:jc w:val="center"/>
            </w:pPr>
            <w:r>
              <w:rPr>
                <w:rFonts w:ascii="Times New Roman" w:hAnsi="Times New Roman" w:eastAsia="宋体"/>
                <w:b w:val="0"/>
                <w:i w:val="0"/>
                <w:color w:val="000000"/>
                <w:sz w:val="21"/>
              </w:rPr>
              <w:t>图16 局部定位能力与全流程能力的分离评价</w:t>
            </w:r>
          </w:p>
          <w:p>
            <w:pPr>
              <w:spacing w:line="312" w:lineRule="auto" w:after="80"/>
              <w:ind w:firstLine="480"/>
              <w:jc w:val="both"/>
            </w:pPr>
            <w:r>
              <w:rPr>
                <w:rFonts w:ascii="Times New Roman" w:hAnsi="Times New Roman" w:eastAsia="宋体"/>
                <w:b w:val="0"/>
                <w:i w:val="0"/>
                <w:color w:val="000000"/>
                <w:sz w:val="24"/>
              </w:rPr>
              <w:t>对不可判定连接区，不计算没有真值依据的坐标误差，而报告状态识别与错误接受率。对可定位目标，将全流程有效定位数量除以全部可定位真实目标数，得到完整链路的有效定位召回；另以全部被接受输出为分母计算有效输出比例。两类指标共同防止只评价成功裁剪、成功匹配的容易样本。该评价反映二维感知能力，不称为套袋成功率。</w:t>
            </w:r>
          </w:p>
          <w:p>
            <w:pPr>
              <w:spacing w:line="312" w:lineRule="auto" w:before="100" w:after="100"/>
              <w:ind w:firstLine="0"/>
              <w:jc w:val="left"/>
            </w:pPr>
            <w:r>
              <w:rPr>
                <w:rFonts w:ascii="Times New Roman" w:hAnsi="Times New Roman" w:eastAsia="宋体"/>
                <w:b/>
                <w:i w:val="0"/>
                <w:color w:val="000000"/>
                <w:sz w:val="24"/>
              </w:rPr>
              <w:t>2.5.4 计算效率与统计分析</w:t>
            </w:r>
          </w:p>
          <w:p>
            <w:pPr>
              <w:spacing w:line="312" w:lineRule="auto" w:after="80"/>
              <w:ind w:firstLine="480"/>
              <w:jc w:val="both"/>
            </w:pPr>
            <w:r>
              <w:rPr>
                <w:rFonts w:ascii="Times New Roman" w:hAnsi="Times New Roman" w:eastAsia="宋体"/>
                <w:b w:val="0"/>
                <w:i w:val="0"/>
                <w:color w:val="000000"/>
                <w:sz w:val="24"/>
              </w:rPr>
              <w:t>在同一硬件、软件环境和精度模式下测量batch=1的参数量、GFLOPs、显存与时延，明确一次乘加的计数约定以及未支持的算子。进行预热和设备同步，报告多次测量的中位数及高分位数。分割全图模式与切片模式分别计时，后者包括裁剪、重复推理、合并及掩膜恢复；完整两阶段流程还需包括全部ROI处理和坐标映射，并按每图果实数量分组展示成本。</w:t>
            </w:r>
          </w:p>
          <w:p>
            <w:pPr>
              <w:spacing w:line="312" w:lineRule="auto" w:after="80"/>
              <w:ind w:firstLine="480"/>
              <w:jc w:val="both"/>
            </w:pPr>
            <w:r>
              <w:rPr>
                <w:rFonts w:ascii="Times New Roman" w:hAnsi="Times New Roman" w:eastAsia="宋体"/>
                <w:b w:val="0"/>
                <w:i w:val="0"/>
                <w:color w:val="000000"/>
                <w:sz w:val="24"/>
              </w:rPr>
              <w:t>主要方法与主基线报告三种子均值及标准差。需要区间估计时，以采集组为重采样单位进行配对bootstrap，比较相同图像组上的指标差异，不将同一连拍组中的多个实例视为完全独立重复。多种子反映训练随机性，组级重采样反映测试样本变化，两者分别说明。若差异小于波动范围，则将结论限定为表现相近，不使用“显著优于”等措辞。</w:t>
            </w:r>
          </w:p>
          <w:p>
            <w:pPr>
              <w:spacing w:line="312" w:lineRule="auto" w:before="100" w:after="100"/>
              <w:ind w:firstLine="0"/>
              <w:jc w:val="left"/>
            </w:pPr>
            <w:r>
              <w:rPr>
                <w:rFonts w:ascii="Times New Roman" w:hAnsi="Times New Roman" w:eastAsia="宋体"/>
                <w:b/>
                <w:i w:val="0"/>
                <w:color w:val="000000"/>
                <w:sz w:val="24"/>
              </w:rPr>
              <w:t>2.6 实施步骤与决策规则</w:t>
            </w:r>
          </w:p>
          <w:p>
            <w:pPr>
              <w:spacing w:line="312" w:lineRule="auto" w:after="80"/>
              <w:ind w:firstLine="480"/>
              <w:jc w:val="both"/>
            </w:pPr>
            <w:r>
              <w:rPr>
                <w:rFonts w:ascii="Times New Roman" w:hAnsi="Times New Roman" w:eastAsia="宋体"/>
                <w:b w:val="0"/>
                <w:i w:val="0"/>
                <w:color w:val="000000"/>
                <w:sz w:val="24"/>
              </w:rPr>
              <w:t>实验按先排错、再筛选、后确认的顺序推进。先冻结图像成员和生效训练参数，检查不同框架的坐标与掩膜恢复；随后做单批次过拟合、前向反向及1—3 epoch烟测，确认损失和输出都正常。通过后再进行50 epoch单种子筛选。基线、结构和输入策略分开比较，每次变化都有明确指向。</w:t>
            </w:r>
          </w:p>
          <w:p>
            <w:pPr>
              <w:spacing w:line="312" w:lineRule="auto" w:after="80"/>
              <w:ind w:firstLine="480"/>
              <w:jc w:val="both"/>
            </w:pPr>
            <w:r>
              <w:rPr>
                <w:rFonts w:ascii="Times New Roman" w:hAnsi="Times New Roman" w:eastAsia="宋体"/>
                <w:b w:val="0"/>
                <w:i w:val="0"/>
                <w:color w:val="000000"/>
                <w:sz w:val="24"/>
              </w:rPr>
              <w:t>筛选结果将结合总体指标、难例表现和实测开销，确定一条主要分割路线。无稳定收益的设计及时删减，再由最终方法与主基线完成三种子复跑。连接点研究待试标规则稳定后扩充；测试集留到模型与阈值冻结后使用。若测试结果暴露出新的问题，后续改法需要新的独立留出数据检验。</w:t>
            </w:r>
          </w:p>
          <w:p>
            <w:pPr>
              <w:spacing w:before="120" w:after="40" w:line="240" w:lineRule="auto"/>
              <w:ind w:firstLine="0"/>
              <w:jc w:val="center"/>
            </w:pPr>
            <w:r>
              <w:drawing>
                <wp:inline xmlns:a="http://schemas.openxmlformats.org/drawingml/2006/main" xmlns:pic="http://schemas.openxmlformats.org/drawingml/2006/picture">
                  <wp:extent cx="5220000" cy="2900000"/>
                  <wp:docPr id="2133873103" name="Picture 2133873103"/>
                  <wp:cNvGraphicFramePr>
                    <a:graphicFrameLocks noChangeAspect="1"/>
                  </wp:cNvGraphicFramePr>
                  <a:graphic>
                    <a:graphicData uri="http://schemas.openxmlformats.org/drawingml/2006/picture">
                      <pic:pic>
                        <pic:nvPicPr>
                          <pic:cNvPr id="0" name="fig08_protocol.png"/>
                          <pic:cNvPicPr/>
                        </pic:nvPicPr>
                        <pic:blipFill>
                          <a:blip r:embed="rId112"/>
                          <a:stretch>
                            <a:fillRect/>
                          </a:stretch>
                        </pic:blipFill>
                        <pic:spPr>
                          <a:xfrm>
                            <a:off x="0" y="0"/>
                            <a:ext cx="5220000" cy="2900000"/>
                          </a:xfrm>
                          <a:prstGeom prst="rect"/>
                        </pic:spPr>
                      </pic:pic>
                    </a:graphicData>
                  </a:graphic>
                </wp:inline>
              </w:drawing>
            </w:r>
          </w:p>
          <w:p>
            <w:pPr>
              <w:spacing w:after="160" w:line="276" w:lineRule="auto"/>
              <w:ind w:firstLine="0"/>
              <w:jc w:val="center"/>
            </w:pPr>
            <w:r>
              <w:rPr>
                <w:rFonts w:ascii="Times New Roman" w:hAnsi="Times New Roman" w:eastAsia="宋体"/>
                <w:b w:val="0"/>
                <w:i w:val="0"/>
                <w:color w:val="000000"/>
                <w:sz w:val="21"/>
              </w:rPr>
              <w:t>图17 实验推进步骤与方法保留规则</w:t>
            </w:r>
          </w:p>
          <w:p>
            <w:pPr>
              <w:spacing w:line="312" w:lineRule="auto" w:before="100" w:after="100"/>
              <w:ind w:firstLine="0"/>
              <w:jc w:val="left"/>
            </w:pPr>
            <w:r>
              <w:rPr>
                <w:rFonts w:ascii="Times New Roman" w:hAnsi="Times New Roman" w:eastAsia="宋体"/>
                <w:b/>
                <w:i w:val="0"/>
                <w:color w:val="000000"/>
                <w:sz w:val="24"/>
              </w:rPr>
              <w:t>2.7 拟创新点</w:t>
            </w:r>
          </w:p>
          <w:p>
            <w:pPr>
              <w:spacing w:line="312" w:lineRule="auto" w:after="80"/>
              <w:ind w:firstLine="480"/>
              <w:jc w:val="both"/>
            </w:pPr>
            <w:r>
              <w:rPr>
                <w:rFonts w:ascii="Times New Roman" w:hAnsi="Times New Roman" w:eastAsia="宋体"/>
                <w:b w:val="0"/>
                <w:i w:val="0"/>
                <w:color w:val="000000"/>
                <w:sz w:val="24"/>
              </w:rPr>
              <w:t>第一项预期贡献是面向凹陷可见轮廓与贴邻实例的轻量协同表示。在相同预算下比较语义—细节融合和局部监督，检验小果、凹边界、同果分裂及异果合并能否一起改善。若收益只来自增加计算，或仅在单一随机种子上出现，就不将其归为方法贡献。</w:t>
            </w:r>
          </w:p>
          <w:p>
            <w:pPr>
              <w:spacing w:line="312" w:lineRule="auto" w:after="80"/>
              <w:ind w:firstLine="480"/>
              <w:jc w:val="both"/>
            </w:pPr>
            <w:r>
              <w:rPr>
                <w:rFonts w:ascii="Times New Roman" w:hAnsi="Times New Roman" w:eastAsia="宋体"/>
                <w:b w:val="0"/>
                <w:i w:val="0"/>
                <w:color w:val="000000"/>
                <w:sz w:val="24"/>
              </w:rPr>
              <w:t>第二项预期贡献是让连接点定位保持明确的果实归属，并能够承认“看不清”。可见掩膜提示网络关注指定果实，果体外RGB仍提供枝梗线索。核心检验是预测掩膜条件下、相同输出覆盖率的点误差与错配率，而非是否首次使用ROI或热图。</w:t>
            </w:r>
          </w:p>
          <w:p>
            <w:pPr>
              <w:spacing w:line="312" w:lineRule="auto" w:after="80"/>
              <w:ind w:firstLine="480"/>
              <w:jc w:val="both"/>
            </w:pPr>
            <w:r>
              <w:rPr>
                <w:rFonts w:ascii="Times New Roman" w:hAnsi="Times New Roman" w:eastAsia="宋体"/>
                <w:b w:val="0"/>
                <w:i w:val="0"/>
                <w:color w:val="000000"/>
                <w:sz w:val="24"/>
              </w:rPr>
              <w:t>第三项工作是把两阶段的得失算清楚：用分组数据和真实预测ROI，分别统计上游漏检、实例错配、点位偏差与拒识造成的有效输出损失。这首先是一套可复核的评价方法；若研究过程中形成新的误差控制机制，再据实提炼为方法创新。</w:t>
            </w:r>
          </w:p>
          <w:p>
            <w:pPr>
              <w:spacing w:line="312" w:lineRule="auto" w:before="100" w:after="100"/>
              <w:ind w:firstLine="0"/>
              <w:jc w:val="left"/>
            </w:pPr>
            <w:r>
              <w:rPr>
                <w:rFonts w:ascii="Times New Roman" w:hAnsi="Times New Roman" w:eastAsia="宋体"/>
                <w:b/>
                <w:i w:val="0"/>
                <w:color w:val="000000"/>
                <w:sz w:val="24"/>
              </w:rPr>
              <w:t>2.8 前期基础与可行性</w:t>
            </w:r>
          </w:p>
          <w:p>
            <w:pPr>
              <w:spacing w:line="312" w:lineRule="auto" w:after="80"/>
              <w:ind w:firstLine="480"/>
              <w:jc w:val="both"/>
            </w:pPr>
            <w:r>
              <w:rPr>
                <w:rFonts w:ascii="Times New Roman" w:hAnsi="Times New Roman" w:eastAsia="宋体"/>
                <w:b w:val="0"/>
                <w:i w:val="0"/>
                <w:color w:val="000000"/>
                <w:sz w:val="24"/>
              </w:rPr>
              <w:t>前期已整理出实例分割数据、训练评价脚本和多系列模型配置，也留下了若干次结构与输入策略探索的代码及失败记录。这些材料能支撑基线重建和针对性消融。对象集合支线已完成初步实现和小样本链路检查，可作为有限筛选的备选方案。</w:t>
            </w:r>
          </w:p>
          <w:p>
            <w:pPr>
              <w:spacing w:line="312" w:lineRule="auto" w:after="80"/>
              <w:ind w:firstLine="480"/>
              <w:jc w:val="both"/>
            </w:pPr>
            <w:r>
              <w:rPr>
                <w:rFonts w:ascii="Times New Roman" w:hAnsi="Times New Roman" w:eastAsia="宋体"/>
                <w:b w:val="0"/>
                <w:i w:val="0"/>
                <w:color w:val="000000"/>
                <w:sz w:val="24"/>
              </w:rPr>
              <w:t>前期结果仍有一个必须正视的问题：部分服务器运行所用验证集与正式版本图像数相同，成员却不一致，而且多为单种子。不同推理模式下的最高AP因此不能并列，更不能写成课题已取得的正式优势。本报告把这些结果当作排查线索，最终结论以冻结划分上的同协议复跑为准。</w:t>
            </w:r>
          </w:p>
          <w:p>
            <w:pPr>
              <w:spacing w:line="312" w:lineRule="auto" w:after="80"/>
              <w:ind w:firstLine="480"/>
              <w:jc w:val="both"/>
            </w:pPr>
            <w:r>
              <w:rPr>
                <w:rFonts w:ascii="Times New Roman" w:hAnsi="Times New Roman" w:eastAsia="宋体"/>
                <w:b w:val="0"/>
                <w:i w:val="0"/>
                <w:color w:val="000000"/>
                <w:sz w:val="24"/>
              </w:rPr>
              <w:t>工作安排先围绕已有数据把实例分割做扎实，再从小规模双人试标确定连接点定义，随后扩充标注和训练局部网络。新架构、局部精修和设备移植都要等主线结果支持后再决定是否继续。这样既能控制研究量，也能在某个候选模块无效时，保留可信的基线、失败分析和完整级联评价。</w:t>
            </w:r>
          </w:p>
          <w:p>
            <w:pPr>
              <w:spacing w:line="312" w:lineRule="auto" w:before="160" w:after="100"/>
              <w:ind w:firstLine="0"/>
              <w:jc w:val="left"/>
            </w:pPr>
            <w:r>
              <w:rPr>
                <w:rFonts w:ascii="Times New Roman" w:hAnsi="Times New Roman" w:eastAsia="宋体"/>
                <w:b/>
                <w:i w:val="0"/>
                <w:color w:val="000000"/>
                <w:sz w:val="24"/>
              </w:rPr>
              <w:t>3 仪器条件及经费预算</w:t>
            </w:r>
          </w:p>
          <w:p>
            <w:pPr>
              <w:spacing w:line="312" w:lineRule="auto" w:before="100" w:after="100"/>
              <w:ind w:firstLine="0"/>
              <w:jc w:val="left"/>
            </w:pPr>
            <w:r>
              <w:rPr>
                <w:rFonts w:ascii="Times New Roman" w:hAnsi="Times New Roman" w:eastAsia="宋体"/>
                <w:b/>
                <w:i w:val="0"/>
                <w:color w:val="000000"/>
                <w:sz w:val="24"/>
              </w:rPr>
              <w:t>3.1 所需仪器与软件条件</w:t>
            </w:r>
          </w:p>
          <w:p>
            <w:pPr>
              <w:spacing w:line="312" w:lineRule="auto" w:after="80"/>
              <w:ind w:firstLine="480"/>
              <w:jc w:val="both"/>
            </w:pPr>
            <w:r>
              <w:rPr>
                <w:rFonts w:ascii="Times New Roman" w:hAnsi="Times New Roman" w:eastAsia="宋体"/>
                <w:b w:val="0"/>
                <w:i w:val="0"/>
                <w:color w:val="000000"/>
                <w:sz w:val="24"/>
              </w:rPr>
              <w:t>研究以RGB相机或可输出原始RGB图像的拍摄设备、稳定支架、计算机与可用训练服务器为主要条件。现有图像数据和代码已具备，后续补采需保存设备型号、分辨率、拍摄日期、批次与环境记录。实验开始前实录服务器CPU、GPU、显存及软件版本，不将尚未核实的设备型号写成已具备条件。</w:t>
            </w:r>
          </w:p>
          <w:p>
            <w:pPr>
              <w:spacing w:line="312" w:lineRule="auto" w:after="80"/>
              <w:ind w:firstLine="480"/>
              <w:jc w:val="both"/>
            </w:pPr>
            <w:r>
              <w:rPr>
                <w:rFonts w:ascii="Times New Roman" w:hAnsi="Times New Roman" w:eastAsia="宋体"/>
                <w:b w:val="0"/>
                <w:i w:val="0"/>
                <w:color w:val="000000"/>
                <w:sz w:val="24"/>
              </w:rPr>
              <w:t>软件采用Python、PyTorch及成熟实例分割和关键点评价工具，配置独立环境并记录版本。关键工程环节包括标注格式转换、实例对应保持、训练参数冻结、掩膜坐标恢复和结果汇总。若具备合适的边缘设备，可在算法稳定后做补充推理实验；没有真实设备测试时，结论限定为轻量化或高效算法，不写已完成端侧部署。</w:t>
            </w:r>
          </w:p>
          <w:p>
            <w:pPr>
              <w:spacing w:line="312" w:lineRule="auto" w:before="100" w:after="100"/>
              <w:ind w:firstLine="0"/>
              <w:jc w:val="left"/>
            </w:pPr>
            <w:r>
              <w:rPr>
                <w:rFonts w:ascii="Times New Roman" w:hAnsi="Times New Roman" w:eastAsia="宋体"/>
                <w:b/>
                <w:i w:val="0"/>
                <w:color w:val="000000"/>
                <w:sz w:val="24"/>
              </w:rPr>
              <w:t>3.2 拟新增经费</w:t>
            </w:r>
          </w:p>
          <w:p>
            <w:pPr>
              <w:spacing w:line="312" w:lineRule="auto" w:after="80"/>
              <w:ind w:firstLine="480"/>
              <w:jc w:val="both"/>
            </w:pPr>
            <w:r>
              <w:rPr>
                <w:rFonts w:ascii="Times New Roman" w:hAnsi="Times New Roman" w:eastAsia="宋体"/>
                <w:b w:val="0"/>
                <w:i w:val="0"/>
                <w:color w:val="000000"/>
                <w:sz w:val="24"/>
              </w:rPr>
              <w:t>经费以数据补采、标注整理和计算存储为主，优先使用已有拍摄和训练条件。表3为研究方案阶段的增量估算，不表示已发生支出或已获经费批准。服务器借用、算力额度及设备共享条件确定后再修订，不把购买机械臂或完整套袋样机列为完成两项核心研究的前提。</w:t>
            </w:r>
          </w:p>
          <w:p>
            <w:pPr>
              <w:spacing w:before="120" w:after="60"/>
              <w:ind w:firstLine="0"/>
              <w:jc w:val="center"/>
            </w:pPr>
            <w:r>
              <w:rPr>
                <w:rFonts w:ascii="Times New Roman" w:hAnsi="Times New Roman" w:eastAsia="宋体"/>
                <w:b/>
                <w:i w:val="0"/>
                <w:color w:val="000000"/>
                <w:sz w:val="21"/>
              </w:rPr>
              <w:t>表3 研究增量经费估算</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48"/>
              <w:gridCol w:w="3448"/>
              <w:gridCol w:w="3448"/>
            </w:tblGrid>
            <w:tr>
              <w:tc>
                <w:tcPr>
                  <w:tcW w:type="dxa" w:w="2358"/>
                  <w:vAlign w:val="center"/>
                  <w:shd w:val="clear" w:fill="E9EEEB"/>
                </w:tcPr>
                <w:p>
                  <w:pPr>
                    <w:spacing w:after="0" w:line="276" w:lineRule="auto"/>
                    <w:ind w:firstLine="0"/>
                    <w:jc w:val="center"/>
                  </w:pPr>
                  <w:r>
                    <w:rPr>
                      <w:rFonts w:ascii="Times New Roman" w:hAnsi="Times New Roman" w:eastAsia="宋体"/>
                      <w:b/>
                      <w:i w:val="0"/>
                      <w:color w:val="000000"/>
                      <w:sz w:val="21"/>
                    </w:rPr>
                    <w:t>项目</w:t>
                  </w:r>
                </w:p>
              </w:tc>
              <w:tc>
                <w:tcPr>
                  <w:tcW w:type="dxa" w:w="1572"/>
                  <w:vAlign w:val="center"/>
                  <w:shd w:val="clear" w:fill="E9EEEB"/>
                </w:tcPr>
                <w:p>
                  <w:pPr>
                    <w:spacing w:after="0" w:line="276" w:lineRule="auto"/>
                    <w:ind w:firstLine="0"/>
                    <w:jc w:val="center"/>
                  </w:pPr>
                  <w:r>
                    <w:rPr>
                      <w:rFonts w:ascii="Times New Roman" w:hAnsi="Times New Roman" w:eastAsia="宋体"/>
                      <w:b/>
                      <w:i w:val="0"/>
                      <w:color w:val="000000"/>
                      <w:sz w:val="21"/>
                    </w:rPr>
                    <w:t>预计金额 元</w:t>
                  </w:r>
                </w:p>
              </w:tc>
              <w:tc>
                <w:tcPr>
                  <w:tcW w:type="dxa" w:w="4913"/>
                  <w:vAlign w:val="center"/>
                  <w:shd w:val="clear" w:fill="E9EEEB"/>
                </w:tcPr>
                <w:p>
                  <w:pPr>
                    <w:spacing w:after="0" w:line="276" w:lineRule="auto"/>
                    <w:ind w:firstLine="0"/>
                    <w:jc w:val="center"/>
                  </w:pPr>
                  <w:r>
                    <w:rPr>
                      <w:rFonts w:ascii="Times New Roman" w:hAnsi="Times New Roman" w:eastAsia="宋体"/>
                      <w:b/>
                      <w:i w:val="0"/>
                      <w:color w:val="000000"/>
                      <w:sz w:val="21"/>
                    </w:rPr>
                    <w:t>用途与条件</w:t>
                  </w:r>
                </w:p>
              </w:tc>
            </w:tr>
            <w:tr>
              <w:tc>
                <w:tcPr>
                  <w:tcW w:type="dxa" w:w="2358"/>
                  <w:vAlign w:val="center"/>
                </w:tcPr>
                <w:p>
                  <w:pPr>
                    <w:spacing w:after="0" w:line="276" w:lineRule="auto"/>
                    <w:ind w:firstLine="0"/>
                    <w:jc w:val="center"/>
                  </w:pPr>
                  <w:r>
                    <w:rPr>
                      <w:rFonts w:ascii="Times New Roman" w:hAnsi="Times New Roman" w:eastAsia="宋体"/>
                      <w:b w:val="0"/>
                      <w:i w:val="0"/>
                      <w:color w:val="000000"/>
                      <w:sz w:val="21"/>
                    </w:rPr>
                    <w:t>果园补采与交通</w:t>
                  </w:r>
                </w:p>
              </w:tc>
              <w:tc>
                <w:tcPr>
                  <w:tcW w:type="dxa" w:w="1572"/>
                  <w:vAlign w:val="center"/>
                </w:tcPr>
                <w:p>
                  <w:pPr>
                    <w:spacing w:after="0" w:line="276" w:lineRule="auto"/>
                    <w:ind w:firstLine="0"/>
                    <w:jc w:val="left"/>
                  </w:pPr>
                  <w:r>
                    <w:rPr>
                      <w:rFonts w:ascii="Times New Roman" w:hAnsi="Times New Roman" w:eastAsia="宋体"/>
                      <w:b w:val="0"/>
                      <w:i w:val="0"/>
                      <w:color w:val="000000"/>
                      <w:sz w:val="21"/>
                    </w:rPr>
                    <w:t>1,500</w:t>
                  </w:r>
                </w:p>
              </w:tc>
              <w:tc>
                <w:tcPr>
                  <w:tcW w:type="dxa" w:w="4913"/>
                  <w:vAlign w:val="center"/>
                </w:tcPr>
                <w:p>
                  <w:pPr>
                    <w:spacing w:after="0" w:line="276" w:lineRule="auto"/>
                    <w:ind w:firstLine="0"/>
                    <w:jc w:val="left"/>
                  </w:pPr>
                  <w:r>
                    <w:rPr>
                      <w:rFonts w:ascii="Times New Roman" w:hAnsi="Times New Roman" w:eastAsia="宋体"/>
                      <w:b w:val="0"/>
                      <w:i w:val="0"/>
                      <w:color w:val="000000"/>
                      <w:sz w:val="21"/>
                    </w:rPr>
                    <w:t>补采作业期及局部清晰RGB图像，按实际安排执行</w:t>
                  </w:r>
                </w:p>
              </w:tc>
            </w:tr>
            <w:tr>
              <w:tc>
                <w:tcPr>
                  <w:tcW w:type="dxa" w:w="2358"/>
                  <w:vAlign w:val="center"/>
                </w:tcPr>
                <w:p>
                  <w:pPr>
                    <w:spacing w:after="0" w:line="276" w:lineRule="auto"/>
                    <w:ind w:firstLine="0"/>
                    <w:jc w:val="center"/>
                  </w:pPr>
                  <w:r>
                    <w:rPr>
                      <w:rFonts w:ascii="Times New Roman" w:hAnsi="Times New Roman" w:eastAsia="宋体"/>
                      <w:b w:val="0"/>
                      <w:i w:val="0"/>
                      <w:color w:val="000000"/>
                      <w:sz w:val="21"/>
                    </w:rPr>
                    <w:t>支架 标尺与采集耗材</w:t>
                  </w:r>
                </w:p>
              </w:tc>
              <w:tc>
                <w:tcPr>
                  <w:tcW w:type="dxa" w:w="1572"/>
                  <w:vAlign w:val="center"/>
                </w:tcPr>
                <w:p>
                  <w:pPr>
                    <w:spacing w:after="0" w:line="276" w:lineRule="auto"/>
                    <w:ind w:firstLine="0"/>
                    <w:jc w:val="left"/>
                  </w:pPr>
                  <w:r>
                    <w:rPr>
                      <w:rFonts w:ascii="Times New Roman" w:hAnsi="Times New Roman" w:eastAsia="宋体"/>
                      <w:b w:val="0"/>
                      <w:i w:val="0"/>
                      <w:color w:val="000000"/>
                      <w:sz w:val="21"/>
                    </w:rPr>
                    <w:t>500</w:t>
                  </w:r>
                </w:p>
              </w:tc>
              <w:tc>
                <w:tcPr>
                  <w:tcW w:type="dxa" w:w="4913"/>
                  <w:vAlign w:val="center"/>
                </w:tcPr>
                <w:p>
                  <w:pPr>
                    <w:spacing w:after="0" w:line="276" w:lineRule="auto"/>
                    <w:ind w:firstLine="0"/>
                    <w:jc w:val="left"/>
                  </w:pPr>
                  <w:r>
                    <w:rPr>
                      <w:rFonts w:ascii="Times New Roman" w:hAnsi="Times New Roman" w:eastAsia="宋体"/>
                      <w:b w:val="0"/>
                      <w:i w:val="0"/>
                      <w:color w:val="000000"/>
                      <w:sz w:val="21"/>
                    </w:rPr>
                    <w:t>改善记录和拍摄稳定性，非三维标定承诺</w:t>
                  </w:r>
                </w:p>
              </w:tc>
            </w:tr>
            <w:tr>
              <w:tc>
                <w:tcPr>
                  <w:tcW w:type="dxa" w:w="2358"/>
                  <w:vAlign w:val="center"/>
                </w:tcPr>
                <w:p>
                  <w:pPr>
                    <w:spacing w:after="0" w:line="276" w:lineRule="auto"/>
                    <w:ind w:firstLine="0"/>
                    <w:jc w:val="center"/>
                  </w:pPr>
                  <w:r>
                    <w:rPr>
                      <w:rFonts w:ascii="Times New Roman" w:hAnsi="Times New Roman" w:eastAsia="宋体"/>
                      <w:b w:val="0"/>
                      <w:i w:val="0"/>
                      <w:color w:val="000000"/>
                      <w:sz w:val="21"/>
                    </w:rPr>
                    <w:t>数据备份与存储</w:t>
                  </w:r>
                </w:p>
              </w:tc>
              <w:tc>
                <w:tcPr>
                  <w:tcW w:type="dxa" w:w="1572"/>
                  <w:vAlign w:val="center"/>
                </w:tcPr>
                <w:p>
                  <w:pPr>
                    <w:spacing w:after="0" w:line="276" w:lineRule="auto"/>
                    <w:ind w:firstLine="0"/>
                    <w:jc w:val="left"/>
                  </w:pPr>
                  <w:r>
                    <w:rPr>
                      <w:rFonts w:ascii="Times New Roman" w:hAnsi="Times New Roman" w:eastAsia="宋体"/>
                      <w:b w:val="0"/>
                      <w:i w:val="0"/>
                      <w:color w:val="000000"/>
                      <w:sz w:val="21"/>
                    </w:rPr>
                    <w:t>600</w:t>
                  </w:r>
                </w:p>
              </w:tc>
              <w:tc>
                <w:tcPr>
                  <w:tcW w:type="dxa" w:w="4913"/>
                  <w:vAlign w:val="center"/>
                </w:tcPr>
                <w:p>
                  <w:pPr>
                    <w:spacing w:after="0" w:line="276" w:lineRule="auto"/>
                    <w:ind w:firstLine="0"/>
                    <w:jc w:val="left"/>
                  </w:pPr>
                  <w:r>
                    <w:rPr>
                      <w:rFonts w:ascii="Times New Roman" w:hAnsi="Times New Roman" w:eastAsia="宋体"/>
                      <w:b w:val="0"/>
                      <w:i w:val="0"/>
                      <w:color w:val="000000"/>
                      <w:sz w:val="21"/>
                    </w:rPr>
                    <w:t>图像、标签版本和实验结果备份</w:t>
                  </w:r>
                </w:p>
              </w:tc>
            </w:tr>
            <w:tr>
              <w:tc>
                <w:tcPr>
                  <w:tcW w:type="dxa" w:w="2358"/>
                  <w:vAlign w:val="center"/>
                </w:tcPr>
                <w:p>
                  <w:pPr>
                    <w:spacing w:after="0" w:line="276" w:lineRule="auto"/>
                    <w:ind w:firstLine="0"/>
                    <w:jc w:val="center"/>
                  </w:pPr>
                  <w:r>
                    <w:rPr>
                      <w:rFonts w:ascii="Times New Roman" w:hAnsi="Times New Roman" w:eastAsia="宋体"/>
                      <w:b w:val="0"/>
                      <w:i w:val="0"/>
                      <w:color w:val="000000"/>
                      <w:sz w:val="21"/>
                    </w:rPr>
                    <w:t>算力补充</w:t>
                  </w:r>
                </w:p>
              </w:tc>
              <w:tc>
                <w:tcPr>
                  <w:tcW w:type="dxa" w:w="1572"/>
                  <w:vAlign w:val="center"/>
                </w:tcPr>
                <w:p>
                  <w:pPr>
                    <w:spacing w:after="0" w:line="276" w:lineRule="auto"/>
                    <w:ind w:firstLine="0"/>
                    <w:jc w:val="left"/>
                  </w:pPr>
                  <w:r>
                    <w:rPr>
                      <w:rFonts w:ascii="Times New Roman" w:hAnsi="Times New Roman" w:eastAsia="宋体"/>
                      <w:b w:val="0"/>
                      <w:i w:val="0"/>
                      <w:color w:val="000000"/>
                      <w:sz w:val="21"/>
                    </w:rPr>
                    <w:t>2,000</w:t>
                  </w:r>
                </w:p>
              </w:tc>
              <w:tc>
                <w:tcPr>
                  <w:tcW w:type="dxa" w:w="4913"/>
                  <w:vAlign w:val="center"/>
                </w:tcPr>
                <w:p>
                  <w:pPr>
                    <w:spacing w:after="0" w:line="276" w:lineRule="auto"/>
                    <w:ind w:firstLine="0"/>
                    <w:jc w:val="left"/>
                  </w:pPr>
                  <w:r>
                    <w:rPr>
                      <w:rFonts w:ascii="Times New Roman" w:hAnsi="Times New Roman" w:eastAsia="宋体"/>
                      <w:b w:val="0"/>
                      <w:i w:val="0"/>
                      <w:color w:val="000000"/>
                      <w:sz w:val="21"/>
                    </w:rPr>
                    <w:t>已有服务器不足时的机时估算，可随共享条件调整</w:t>
                  </w:r>
                </w:p>
              </w:tc>
            </w:tr>
            <w:tr>
              <w:tc>
                <w:tcPr>
                  <w:tcW w:type="dxa" w:w="2358"/>
                  <w:vAlign w:val="center"/>
                </w:tcPr>
                <w:p>
                  <w:pPr>
                    <w:spacing w:after="0" w:line="276" w:lineRule="auto"/>
                    <w:ind w:firstLine="0"/>
                    <w:jc w:val="center"/>
                  </w:pPr>
                  <w:r>
                    <w:rPr>
                      <w:rFonts w:ascii="Times New Roman" w:hAnsi="Times New Roman" w:eastAsia="宋体"/>
                      <w:b w:val="0"/>
                      <w:i w:val="0"/>
                      <w:color w:val="000000"/>
                      <w:sz w:val="21"/>
                    </w:rPr>
                    <w:t>打印与其他研究耗材</w:t>
                  </w:r>
                </w:p>
              </w:tc>
              <w:tc>
                <w:tcPr>
                  <w:tcW w:type="dxa" w:w="1572"/>
                  <w:vAlign w:val="center"/>
                </w:tcPr>
                <w:p>
                  <w:pPr>
                    <w:spacing w:after="0" w:line="276" w:lineRule="auto"/>
                    <w:ind w:firstLine="0"/>
                    <w:jc w:val="left"/>
                  </w:pPr>
                  <w:r>
                    <w:rPr>
                      <w:rFonts w:ascii="Times New Roman" w:hAnsi="Times New Roman" w:eastAsia="宋体"/>
                      <w:b w:val="0"/>
                      <w:i w:val="0"/>
                      <w:color w:val="000000"/>
                      <w:sz w:val="21"/>
                    </w:rPr>
                    <w:t>400</w:t>
                  </w:r>
                </w:p>
              </w:tc>
              <w:tc>
                <w:tcPr>
                  <w:tcW w:type="dxa" w:w="4913"/>
                  <w:vAlign w:val="center"/>
                </w:tcPr>
                <w:p>
                  <w:pPr>
                    <w:spacing w:after="0" w:line="276" w:lineRule="auto"/>
                    <w:ind w:firstLine="0"/>
                    <w:jc w:val="left"/>
                  </w:pPr>
                  <w:r>
                    <w:rPr>
                      <w:rFonts w:ascii="Times New Roman" w:hAnsi="Times New Roman" w:eastAsia="宋体"/>
                      <w:b w:val="0"/>
                      <w:i w:val="0"/>
                      <w:color w:val="000000"/>
                      <w:sz w:val="21"/>
                    </w:rPr>
                    <w:t>标注规范、阶段材料与论文整理</w:t>
                  </w:r>
                </w:p>
              </w:tc>
            </w:tr>
            <w:tr>
              <w:tc>
                <w:tcPr>
                  <w:tcW w:type="dxa" w:w="2358"/>
                  <w:vAlign w:val="center"/>
                </w:tcPr>
                <w:p>
                  <w:pPr>
                    <w:spacing w:after="0" w:line="276" w:lineRule="auto"/>
                    <w:ind w:firstLine="0"/>
                    <w:jc w:val="center"/>
                  </w:pPr>
                  <w:r>
                    <w:rPr>
                      <w:rFonts w:ascii="Times New Roman" w:hAnsi="Times New Roman" w:eastAsia="宋体"/>
                      <w:b w:val="0"/>
                      <w:i w:val="0"/>
                      <w:color w:val="000000"/>
                      <w:sz w:val="21"/>
                    </w:rPr>
                    <w:t>合计</w:t>
                  </w:r>
                </w:p>
              </w:tc>
              <w:tc>
                <w:tcPr>
                  <w:tcW w:type="dxa" w:w="1572"/>
                  <w:vAlign w:val="center"/>
                </w:tcPr>
                <w:p>
                  <w:pPr>
                    <w:spacing w:after="0" w:line="276" w:lineRule="auto"/>
                    <w:ind w:firstLine="0"/>
                    <w:jc w:val="left"/>
                  </w:pPr>
                  <w:r>
                    <w:rPr>
                      <w:rFonts w:ascii="Times New Roman" w:hAnsi="Times New Roman" w:eastAsia="宋体"/>
                      <w:b w:val="0"/>
                      <w:i w:val="0"/>
                      <w:color w:val="000000"/>
                      <w:sz w:val="21"/>
                    </w:rPr>
                    <w:t>5,000</w:t>
                  </w:r>
                </w:p>
              </w:tc>
              <w:tc>
                <w:tcPr>
                  <w:tcW w:type="dxa" w:w="4913"/>
                  <w:vAlign w:val="center"/>
                </w:tcPr>
                <w:p>
                  <w:pPr>
                    <w:spacing w:after="0" w:line="276" w:lineRule="auto"/>
                    <w:ind w:firstLine="0"/>
                    <w:jc w:val="left"/>
                  </w:pPr>
                  <w:r>
                    <w:rPr>
                      <w:rFonts w:ascii="Times New Roman" w:hAnsi="Times New Roman" w:eastAsia="宋体"/>
                      <w:b w:val="0"/>
                      <w:i w:val="0"/>
                      <w:color w:val="000000"/>
                      <w:sz w:val="21"/>
                    </w:rPr>
                    <w:t>预算估算，最终按实际资源条件核定</w:t>
                  </w:r>
                </w:p>
              </w:tc>
            </w:tr>
          </w:tbl>
          <w:p/>
          <w:p/>
          <w:p>
            <w:pPr>
              <w:spacing w:line="312" w:lineRule="auto" w:before="160" w:after="100"/>
              <w:ind w:firstLine="0"/>
              <w:jc w:val="left"/>
            </w:pPr>
            <w:r>
              <w:rPr>
                <w:rFonts w:ascii="Times New Roman" w:hAnsi="Times New Roman" w:eastAsia="宋体"/>
                <w:b/>
                <w:i w:val="0"/>
                <w:color w:val="000000"/>
                <w:sz w:val="24"/>
              </w:rPr>
              <w:t>4 可能出现的问题及应变措施</w:t>
            </w:r>
          </w:p>
          <w:p>
            <w:pPr>
              <w:spacing w:line="312" w:lineRule="auto" w:before="100" w:after="100"/>
              <w:ind w:firstLine="0"/>
              <w:jc w:val="left"/>
            </w:pPr>
            <w:r>
              <w:rPr>
                <w:rFonts w:ascii="Times New Roman" w:hAnsi="Times New Roman" w:eastAsia="宋体"/>
                <w:b/>
                <w:i w:val="0"/>
                <w:color w:val="000000"/>
                <w:sz w:val="24"/>
              </w:rPr>
              <w:t>4.1 数据与应用场景不完全对应</w:t>
            </w:r>
          </w:p>
          <w:p>
            <w:pPr>
              <w:spacing w:line="312" w:lineRule="auto" w:after="80"/>
              <w:ind w:firstLine="480"/>
              <w:jc w:val="both"/>
            </w:pPr>
            <w:r>
              <w:rPr>
                <w:rFonts w:ascii="Times New Roman" w:hAnsi="Times New Roman" w:eastAsia="宋体"/>
                <w:b w:val="0"/>
                <w:i w:val="0"/>
                <w:color w:val="000000"/>
                <w:sz w:val="24"/>
              </w:rPr>
              <w:t>现有样本并不自动证明某一品种的实际套袋适宜期。若目标作业时期与已有绿色果实数据不匹配，应补采并单列来源；无法补采时，将研究结论限定为绿色未成熟柑橘的视觉感知，不宣称已经满足特定果园作业全部要求。对生成图、视频来源图及相机图分别记录，使训练数据来源可追溯。</w:t>
            </w:r>
          </w:p>
          <w:p>
            <w:pPr>
              <w:spacing w:line="312" w:lineRule="auto" w:before="100" w:after="100"/>
              <w:ind w:firstLine="0"/>
              <w:jc w:val="left"/>
            </w:pPr>
            <w:r>
              <w:rPr>
                <w:rFonts w:ascii="Times New Roman" w:hAnsi="Times New Roman" w:eastAsia="宋体"/>
                <w:b/>
                <w:i w:val="0"/>
                <w:color w:val="000000"/>
                <w:sz w:val="24"/>
              </w:rPr>
              <w:t>4.2 小目标与边界标注噪声</w:t>
            </w:r>
          </w:p>
          <w:p>
            <w:pPr>
              <w:spacing w:line="312" w:lineRule="auto" w:after="80"/>
              <w:ind w:firstLine="480"/>
              <w:jc w:val="both"/>
            </w:pPr>
            <w:r>
              <w:rPr>
                <w:rFonts w:ascii="Times New Roman" w:hAnsi="Times New Roman" w:eastAsia="宋体"/>
                <w:b w:val="0"/>
                <w:i w:val="0"/>
                <w:color w:val="000000"/>
                <w:sz w:val="24"/>
              </w:rPr>
              <w:t>极小实例在原图上可能尚可辨认，但缩小后只有少量像素，掩膜误差既可能来自模型，也可能来自标注和栅格化。拟保留原图检查，报告标签容差与不同尺度表现；对争议样本标记质量属性，不通过删除难例提高成绩。若边界监督加重噪声，则降低其权重或仅用于可靠标注子集，并设置同样筛选条件的对照。</w:t>
            </w:r>
          </w:p>
          <w:p>
            <w:pPr>
              <w:spacing w:line="312" w:lineRule="auto" w:before="100" w:after="100"/>
              <w:ind w:firstLine="0"/>
              <w:jc w:val="left"/>
            </w:pPr>
            <w:r>
              <w:rPr>
                <w:rFonts w:ascii="Times New Roman" w:hAnsi="Times New Roman" w:eastAsia="宋体"/>
                <w:b/>
                <w:i w:val="0"/>
                <w:color w:val="000000"/>
                <w:sz w:val="24"/>
              </w:rPr>
              <w:t>4.3 模型收益不稳定或成本超预算</w:t>
            </w:r>
          </w:p>
          <w:p>
            <w:pPr>
              <w:spacing w:line="312" w:lineRule="auto" w:after="80"/>
              <w:ind w:firstLine="480"/>
              <w:jc w:val="both"/>
            </w:pPr>
            <w:r>
              <w:rPr>
                <w:rFonts w:ascii="Times New Roman" w:hAnsi="Times New Roman" w:eastAsia="宋体"/>
                <w:b w:val="0"/>
                <w:i w:val="0"/>
                <w:color w:val="000000"/>
                <w:sz w:val="24"/>
              </w:rPr>
              <w:t>新增细节分支、门控和对象交互可能不带来稳定收益。通过单因素消融和三种子验证识别有效部分，若复杂模型只获得波动范围内的小幅变化，则保留简单模型。若高分辨率处理导致显存或延迟超出预算，优先缩减无效通路与候选计算，必要时降低局部处理频率，并公开精度代价，不以理论参数量替代真实资源评估。</w:t>
            </w:r>
          </w:p>
          <w:p>
            <w:pPr>
              <w:spacing w:line="312" w:lineRule="auto" w:before="100" w:after="100"/>
              <w:ind w:firstLine="0"/>
              <w:jc w:val="left"/>
            </w:pPr>
            <w:r>
              <w:rPr>
                <w:rFonts w:ascii="Times New Roman" w:hAnsi="Times New Roman" w:eastAsia="宋体"/>
                <w:b/>
                <w:i w:val="0"/>
                <w:color w:val="000000"/>
                <w:sz w:val="24"/>
              </w:rPr>
              <w:t>4.4 果梗不可见与标注一致性不足</w:t>
            </w:r>
          </w:p>
          <w:p>
            <w:pPr>
              <w:spacing w:line="312" w:lineRule="auto" w:after="80"/>
              <w:ind w:firstLine="480"/>
              <w:jc w:val="both"/>
            </w:pPr>
            <w:r>
              <w:rPr>
                <w:rFonts w:ascii="Times New Roman" w:hAnsi="Times New Roman" w:eastAsia="宋体"/>
                <w:b w:val="0"/>
                <w:i w:val="0"/>
                <w:color w:val="000000"/>
                <w:sz w:val="24"/>
              </w:rPr>
              <w:t>完全不可见或严重模糊的连接区可能没有可验证的唯一点位。对此不强行补点，采用不可判定状态与拒识评价。若试标发现大量样本无法可靠定位，则补采更清晰的实拍图像，或将坐标学习限定在有证据的样本，同时保留全部实例用于状态与覆盖评价。若双人分歧较大，先修改标注规则，不能用更复杂网络掩盖目标定义不清。</w:t>
            </w:r>
          </w:p>
          <w:p>
            <w:pPr>
              <w:spacing w:line="312" w:lineRule="auto" w:before="100" w:after="100"/>
              <w:ind w:firstLine="0"/>
              <w:jc w:val="left"/>
            </w:pPr>
            <w:r>
              <w:rPr>
                <w:rFonts w:ascii="Times New Roman" w:hAnsi="Times New Roman" w:eastAsia="宋体"/>
                <w:b/>
                <w:i w:val="0"/>
                <w:color w:val="000000"/>
                <w:sz w:val="24"/>
              </w:rPr>
              <w:t>4.5 上下游误差与评价偏差</w:t>
            </w:r>
          </w:p>
          <w:p>
            <w:pPr>
              <w:spacing w:line="312" w:lineRule="auto" w:after="80"/>
              <w:ind w:firstLine="480"/>
              <w:jc w:val="both"/>
            </w:pPr>
            <w:r>
              <w:rPr>
                <w:rFonts w:ascii="Times New Roman" w:hAnsi="Times New Roman" w:eastAsia="宋体"/>
                <w:b w:val="0"/>
                <w:i w:val="0"/>
                <w:color w:val="000000"/>
                <w:sz w:val="24"/>
              </w:rPr>
              <w:t>分割漏检、实例合并、ROI偏移均会影响连接点定位。拟通过真值输入与预测输入两套实验以及人工控制的ROI扰动分解误差来源。训练时可使用训练侧按组交叉预测和有界扰动，缩小训练与实际推理的差距；测试时严格使用真实预测，不以真值裁剪替代完整流程。拒识输出需与覆盖率共同报告，防止以不输出困难样本掩盖失败。</w:t>
            </w:r>
          </w:p>
          <w:p>
            <w:pPr>
              <w:spacing w:line="312" w:lineRule="auto" w:before="100" w:after="100"/>
              <w:ind w:firstLine="0"/>
              <w:jc w:val="left"/>
            </w:pPr>
            <w:r>
              <w:rPr>
                <w:rFonts w:ascii="Times New Roman" w:hAnsi="Times New Roman" w:eastAsia="宋体"/>
                <w:b/>
                <w:i w:val="0"/>
                <w:color w:val="000000"/>
                <w:sz w:val="24"/>
              </w:rPr>
              <w:t>4.6 泛化与统计证据不足</w:t>
            </w:r>
          </w:p>
          <w:p>
            <w:pPr>
              <w:spacing w:line="312" w:lineRule="auto" w:after="80"/>
              <w:ind w:firstLine="480"/>
              <w:jc w:val="both"/>
            </w:pPr>
            <w:r>
              <w:rPr>
                <w:rFonts w:ascii="Times New Roman" w:hAnsi="Times New Roman" w:eastAsia="宋体"/>
                <w:b w:val="0"/>
                <w:i w:val="0"/>
                <w:color w:val="000000"/>
                <w:sz w:val="24"/>
              </w:rPr>
              <w:t>同一地区、相近采集条件下的数据规模有限，按组划分只能减少已知相关性，不能证明广泛泛化。条件允许时补充独立批次或不同光照条件的外部测试；不足时明确列出适用范围。三个种子用于估计训练波动，组级重采样用于反映样本不确定性，不把几次相近结果表述为确定性保证。</w:t>
            </w:r>
          </w:p>
          <w:p>
            <w:pPr>
              <w:spacing w:line="312" w:lineRule="auto" w:before="160" w:after="100"/>
              <w:ind w:firstLine="0"/>
              <w:jc w:val="left"/>
            </w:pPr>
            <w:r>
              <w:rPr>
                <w:rFonts w:ascii="Times New Roman" w:hAnsi="Times New Roman" w:eastAsia="宋体"/>
                <w:b/>
                <w:i w:val="0"/>
                <w:color w:val="000000"/>
                <w:sz w:val="24"/>
              </w:rPr>
              <w:t>5 预期成果</w:t>
            </w:r>
          </w:p>
          <w:p>
            <w:pPr>
              <w:spacing w:line="312" w:lineRule="auto" w:after="80"/>
              <w:ind w:firstLine="480"/>
              <w:jc w:val="both"/>
            </w:pPr>
            <w:r>
              <w:rPr>
                <w:rFonts w:ascii="Times New Roman" w:hAnsi="Times New Roman" w:eastAsia="宋体"/>
                <w:b w:val="0"/>
                <w:i w:val="0"/>
                <w:color w:val="000000"/>
                <w:sz w:val="24"/>
              </w:rPr>
              <w:t>预期完成版本清楚的柑橘幼果实例数据与连接点标注规范，形成经统一协议验证的轻量实例分割方法和实例条件连接点定位方法，并整理训练评价程序、结果表与典型失败案例。两项研究分别形成论文稿件，最终汇入硕士学位论文。论文是否投稿、录用，取决于实验结果与稿件质量，不在开题阶段预作保证。</w:t>
            </w:r>
          </w:p>
        </w:tc>
      </w:tr>
      <w:tr w:rsidR="00D617A1" w14:paraId="6C6CC63E" w14:textId="77777777" w:rsidTr="00CC71C7">
        <w:trPr>
          <w:trHeight w:val="6537"/>
          <w:jc w:val="center"/>
        </w:trPr>
        <w:tc>
          <w:tcPr>
            <w:tcW w:w="10343" w:type="dxa"/>
            <w:gridSpan w:val="2"/>
          </w:tcPr>
          <w:p w14:paraId="2DFD419C" w14:textId="77777777" w:rsidR="00D617A1" w:rsidRDefault="00000000">
            <w:pPr>
              <w:spacing w:beforeLines="50" w:before="156" w:line="360" w:lineRule="auto"/>
              <w:ind w:firstLine="482"/>
              <w:rPr>
                <w:rFonts w:ascii="楷体_GB2312" w:eastAsia="楷体_GB2312"/>
                <w:b/>
                <w:sz w:val="24"/>
                <w:szCs w:val="24"/>
              </w:rPr>
            </w:pPr>
            <w:r>
              <w:rPr>
                <w:rFonts w:ascii="楷体_GB2312" w:eastAsia="楷体_GB2312" w:hint="eastAsia"/>
                <w:b/>
                <w:sz w:val="24"/>
                <w:szCs w:val="24"/>
              </w:rPr>
              <w:lastRenderedPageBreak/>
              <w:t>课题与教研室及导师的科研工作有无关系，与已毕业的研究生课题联系：</w:t>
            </w:r>
          </w:p>
          <w:p>
            <w:pPr>
              <w:spacing w:line="312" w:lineRule="auto" w:after="80"/>
              <w:ind w:firstLine="480"/>
              <w:jc w:val="both"/>
            </w:pPr>
            <w:r>
              <w:rPr>
                <w:rFonts w:ascii="Times New Roman" w:hAnsi="Times New Roman" w:eastAsia="宋体"/>
                <w:b w:val="0"/>
                <w:i w:val="0"/>
                <w:color w:val="000000"/>
                <w:sz w:val="24"/>
              </w:rPr>
              <w:t>本课题延续导师指导下机器视觉与农产品感知的研究基础，沿用已有的图像采集、网络训练和结果分析经验。与此前皇冠梨多光谱融合与分级研究相比，本研究转向自然冠层中的绿色柑橘幼果，使用RGB图像，关注逐果可见掩膜及果梗连接点。研究对象、输出含义和评价协议需要单独建立，拟在导师指导下完成方法与实验验证。</w:t>
            </w:r>
          </w:p>
        </w:tc>
      </w:tr>
      <w:tr w:rsidR="00D617A1" w14:paraId="0A8BBC69" w14:textId="77777777" w:rsidTr="00CC71C7">
        <w:trPr>
          <w:trHeight w:val="5902"/>
          <w:jc w:val="center"/>
        </w:trPr>
        <w:tc>
          <w:tcPr>
            <w:tcW w:w="1261" w:type="dxa"/>
            <w:vAlign w:val="center"/>
          </w:tcPr>
          <w:p w14:paraId="23FE1EF4" w14:textId="77777777" w:rsidR="00D617A1" w:rsidRDefault="00000000">
            <w:pPr>
              <w:widowControl/>
              <w:ind w:firstLine="480"/>
              <w:jc w:val="center"/>
              <w:rPr>
                <w:rFonts w:ascii="楷体_GB2312" w:eastAsia="楷体_GB2312"/>
                <w:sz w:val="24"/>
                <w:szCs w:val="24"/>
              </w:rPr>
            </w:pPr>
            <w:r>
              <w:rPr>
                <w:rFonts w:ascii="楷体_GB2312" w:eastAsia="楷体_GB2312" w:hint="eastAsia"/>
                <w:sz w:val="24"/>
                <w:szCs w:val="24"/>
              </w:rPr>
              <w:lastRenderedPageBreak/>
              <w:t>论</w:t>
            </w:r>
          </w:p>
          <w:p w14:paraId="66F635CE" w14:textId="77777777" w:rsidR="00D617A1" w:rsidRDefault="00D617A1">
            <w:pPr>
              <w:widowControl/>
              <w:ind w:firstLine="480"/>
              <w:jc w:val="center"/>
              <w:rPr>
                <w:rFonts w:ascii="楷体_GB2312" w:eastAsia="楷体_GB2312"/>
                <w:sz w:val="24"/>
                <w:szCs w:val="24"/>
              </w:rPr>
            </w:pPr>
          </w:p>
          <w:p w14:paraId="0E7AFE66" w14:textId="77777777" w:rsidR="00D617A1" w:rsidRDefault="00D617A1">
            <w:pPr>
              <w:widowControl/>
              <w:ind w:firstLine="480"/>
              <w:jc w:val="center"/>
              <w:rPr>
                <w:rFonts w:ascii="楷体_GB2312" w:eastAsia="楷体_GB2312"/>
                <w:sz w:val="24"/>
                <w:szCs w:val="24"/>
              </w:rPr>
            </w:pPr>
          </w:p>
          <w:p w14:paraId="1F7E4B60" w14:textId="77777777" w:rsidR="00D617A1" w:rsidRDefault="00000000">
            <w:pPr>
              <w:widowControl/>
              <w:ind w:firstLine="480"/>
              <w:jc w:val="center"/>
              <w:rPr>
                <w:rFonts w:ascii="楷体_GB2312" w:eastAsia="楷体_GB2312"/>
                <w:sz w:val="24"/>
                <w:szCs w:val="24"/>
              </w:rPr>
            </w:pPr>
            <w:r>
              <w:rPr>
                <w:rFonts w:ascii="楷体_GB2312" w:eastAsia="楷体_GB2312" w:hint="eastAsia"/>
                <w:sz w:val="24"/>
                <w:szCs w:val="24"/>
              </w:rPr>
              <w:t>文</w:t>
            </w:r>
          </w:p>
          <w:p w14:paraId="4B1E5DD1" w14:textId="77777777" w:rsidR="00D617A1" w:rsidRDefault="00D617A1">
            <w:pPr>
              <w:widowControl/>
              <w:ind w:firstLine="480"/>
              <w:jc w:val="center"/>
              <w:rPr>
                <w:rFonts w:ascii="楷体_GB2312" w:eastAsia="楷体_GB2312"/>
                <w:sz w:val="24"/>
                <w:szCs w:val="24"/>
              </w:rPr>
            </w:pPr>
          </w:p>
          <w:p w14:paraId="670200C0" w14:textId="77777777" w:rsidR="00D617A1" w:rsidRDefault="00D617A1">
            <w:pPr>
              <w:widowControl/>
              <w:ind w:firstLine="480"/>
              <w:jc w:val="center"/>
              <w:rPr>
                <w:rFonts w:ascii="楷体_GB2312" w:eastAsia="楷体_GB2312"/>
                <w:sz w:val="24"/>
                <w:szCs w:val="24"/>
              </w:rPr>
            </w:pPr>
          </w:p>
          <w:p w14:paraId="52E3C02F" w14:textId="77777777" w:rsidR="00D617A1" w:rsidRDefault="00000000">
            <w:pPr>
              <w:widowControl/>
              <w:ind w:firstLine="480"/>
              <w:jc w:val="center"/>
              <w:rPr>
                <w:rFonts w:ascii="楷体_GB2312" w:eastAsia="楷体_GB2312"/>
                <w:sz w:val="24"/>
                <w:szCs w:val="24"/>
              </w:rPr>
            </w:pPr>
            <w:r>
              <w:rPr>
                <w:rFonts w:ascii="楷体_GB2312" w:eastAsia="楷体_GB2312" w:hint="eastAsia"/>
                <w:sz w:val="24"/>
                <w:szCs w:val="24"/>
              </w:rPr>
              <w:t>工</w:t>
            </w:r>
          </w:p>
          <w:p w14:paraId="06509D46" w14:textId="77777777" w:rsidR="00D617A1" w:rsidRDefault="00D617A1">
            <w:pPr>
              <w:widowControl/>
              <w:ind w:firstLine="480"/>
              <w:jc w:val="center"/>
              <w:rPr>
                <w:rFonts w:ascii="楷体_GB2312" w:eastAsia="楷体_GB2312"/>
                <w:sz w:val="24"/>
                <w:szCs w:val="24"/>
              </w:rPr>
            </w:pPr>
          </w:p>
          <w:p w14:paraId="5DAE43DF" w14:textId="77777777" w:rsidR="00D617A1" w:rsidRDefault="00D617A1">
            <w:pPr>
              <w:widowControl/>
              <w:ind w:firstLine="480"/>
              <w:jc w:val="center"/>
              <w:rPr>
                <w:rFonts w:ascii="楷体_GB2312" w:eastAsia="楷体_GB2312"/>
                <w:sz w:val="24"/>
                <w:szCs w:val="24"/>
              </w:rPr>
            </w:pPr>
          </w:p>
          <w:p w14:paraId="016E99C2" w14:textId="77777777" w:rsidR="00D617A1" w:rsidRDefault="00000000">
            <w:pPr>
              <w:widowControl/>
              <w:ind w:firstLine="480"/>
              <w:jc w:val="center"/>
              <w:rPr>
                <w:rFonts w:ascii="楷体_GB2312" w:eastAsia="楷体_GB2312"/>
                <w:sz w:val="24"/>
                <w:szCs w:val="24"/>
              </w:rPr>
            </w:pPr>
            <w:r>
              <w:rPr>
                <w:rFonts w:ascii="楷体_GB2312" w:eastAsia="楷体_GB2312" w:hint="eastAsia"/>
                <w:sz w:val="24"/>
                <w:szCs w:val="24"/>
              </w:rPr>
              <w:t>作</w:t>
            </w:r>
          </w:p>
          <w:p w14:paraId="0B0D4F7E" w14:textId="77777777" w:rsidR="00D617A1" w:rsidRDefault="00D617A1">
            <w:pPr>
              <w:widowControl/>
              <w:ind w:firstLine="480"/>
              <w:jc w:val="center"/>
              <w:rPr>
                <w:rFonts w:ascii="楷体_GB2312" w:eastAsia="楷体_GB2312"/>
                <w:sz w:val="24"/>
                <w:szCs w:val="24"/>
              </w:rPr>
            </w:pPr>
          </w:p>
          <w:p w14:paraId="18AF481A" w14:textId="77777777" w:rsidR="00D617A1" w:rsidRDefault="00D617A1">
            <w:pPr>
              <w:widowControl/>
              <w:ind w:firstLine="480"/>
              <w:jc w:val="center"/>
              <w:rPr>
                <w:rFonts w:ascii="楷体_GB2312" w:eastAsia="楷体_GB2312"/>
                <w:sz w:val="24"/>
                <w:szCs w:val="24"/>
              </w:rPr>
            </w:pPr>
          </w:p>
          <w:p w14:paraId="176DDCAF" w14:textId="77777777" w:rsidR="00D617A1" w:rsidRDefault="00000000">
            <w:pPr>
              <w:widowControl/>
              <w:ind w:firstLine="480"/>
              <w:jc w:val="center"/>
              <w:rPr>
                <w:rFonts w:ascii="楷体_GB2312" w:eastAsia="楷体_GB2312"/>
                <w:sz w:val="24"/>
                <w:szCs w:val="24"/>
              </w:rPr>
            </w:pPr>
            <w:r>
              <w:rPr>
                <w:rFonts w:ascii="楷体_GB2312" w:eastAsia="楷体_GB2312" w:hint="eastAsia"/>
                <w:sz w:val="24"/>
                <w:szCs w:val="24"/>
              </w:rPr>
              <w:t>计</w:t>
            </w:r>
          </w:p>
          <w:p w14:paraId="6CB7EF7D" w14:textId="77777777" w:rsidR="00D617A1" w:rsidRDefault="00D617A1">
            <w:pPr>
              <w:widowControl/>
              <w:ind w:firstLine="480"/>
              <w:jc w:val="center"/>
              <w:rPr>
                <w:rFonts w:ascii="楷体_GB2312" w:eastAsia="楷体_GB2312"/>
                <w:sz w:val="24"/>
                <w:szCs w:val="24"/>
              </w:rPr>
            </w:pPr>
          </w:p>
          <w:p w14:paraId="676B82A9" w14:textId="77777777" w:rsidR="00D617A1" w:rsidRDefault="00D617A1">
            <w:pPr>
              <w:widowControl/>
              <w:ind w:firstLine="480"/>
              <w:jc w:val="center"/>
              <w:rPr>
                <w:rFonts w:ascii="楷体_GB2312" w:eastAsia="楷体_GB2312"/>
                <w:sz w:val="24"/>
                <w:szCs w:val="24"/>
              </w:rPr>
            </w:pPr>
          </w:p>
          <w:p w14:paraId="22807360" w14:textId="77777777" w:rsidR="00D617A1" w:rsidRDefault="00000000">
            <w:pPr>
              <w:widowControl/>
              <w:ind w:firstLine="480"/>
              <w:jc w:val="center"/>
              <w:rPr>
                <w:rFonts w:ascii="楷体_GB2312" w:eastAsia="楷体_GB2312"/>
                <w:sz w:val="24"/>
                <w:szCs w:val="24"/>
              </w:rPr>
            </w:pPr>
            <w:r>
              <w:rPr>
                <w:rFonts w:ascii="楷体_GB2312" w:eastAsia="楷体_GB2312" w:hint="eastAsia"/>
                <w:sz w:val="24"/>
                <w:szCs w:val="24"/>
              </w:rPr>
              <w:t>划</w:t>
            </w:r>
          </w:p>
        </w:tc>
        <w:tc>
          <w:tcPr>
            <w:tcW w:w="9082" w:type="dxa"/>
          </w:tcPr>
          <w:p w14:paraId="34D6E585" w14:textId="77777777" w:rsidR="00D617A1" w:rsidRDefault="00000000">
            <w:pPr>
              <w:widowControl/>
              <w:spacing w:beforeLines="50" w:before="156" w:line="360" w:lineRule="auto"/>
              <w:ind w:firstLine="482"/>
              <w:jc w:val="left"/>
              <w:rPr>
                <w:rFonts w:ascii="楷体_GB2312" w:eastAsia="楷体_GB2312"/>
                <w:b/>
                <w:sz w:val="24"/>
                <w:szCs w:val="24"/>
              </w:rPr>
            </w:pPr>
            <w:r>
              <w:rPr>
                <w:rFonts w:ascii="楷体_GB2312" w:eastAsia="楷体_GB2312" w:hint="eastAsia"/>
                <w:b/>
                <w:sz w:val="24"/>
                <w:szCs w:val="24"/>
              </w:rPr>
              <w:t>阶段工作内容及预计完成的指标：</w:t>
            </w:r>
          </w:p>
          <w:p>
            <w:pPr>
              <w:spacing w:line="312" w:lineRule="auto" w:after="80"/>
              <w:ind w:firstLine="480"/>
              <w:jc w:val="both"/>
            </w:pPr>
            <w:r>
              <w:rPr>
                <w:rFonts w:ascii="Times New Roman" w:hAnsi="Times New Roman" w:eastAsia="宋体"/>
                <w:b w:val="0"/>
                <w:i w:val="0"/>
                <w:color w:val="000000"/>
                <w:sz w:val="24"/>
              </w:rPr>
              <w:t>以下按2026年秋季开始、2028年上半年完成学位论文安排，具体开题和答辩时间以学院培养计划为准。</w:t>
            </w:r>
          </w:p>
          <w:p>
            <w:pPr>
              <w:spacing w:before="120" w:after="60"/>
              <w:ind w:firstLine="0"/>
              <w:jc w:val="center"/>
            </w:pPr>
            <w:r>
              <w:rPr>
                <w:rFonts w:ascii="Times New Roman" w:hAnsi="Times New Roman" w:eastAsia="宋体"/>
                <w:b/>
                <w:i w:val="0"/>
                <w:color w:val="000000"/>
                <w:sz w:val="21"/>
              </w:rPr>
              <w:t>表4 阶段工作安排与可核查产出</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270"/>
              <w:gridCol w:w="2270"/>
              <w:gridCol w:w="2270"/>
              <w:gridCol w:w="2270"/>
            </w:tblGrid>
            <w:tr>
              <w:tc>
                <w:tcPr>
                  <w:tcW w:type="dxa" w:w="976"/>
                  <w:vAlign w:val="center"/>
                  <w:shd w:val="clear" w:fill="E9EEEB"/>
                </w:tcPr>
                <w:p>
                  <w:pPr>
                    <w:spacing w:after="0" w:line="276" w:lineRule="auto"/>
                    <w:ind w:firstLine="0"/>
                    <w:jc w:val="center"/>
                  </w:pPr>
                  <w:r>
                    <w:rPr>
                      <w:rFonts w:ascii="Times New Roman" w:hAnsi="Times New Roman" w:eastAsia="宋体"/>
                      <w:b/>
                      <w:i w:val="0"/>
                      <w:color w:val="000000"/>
                      <w:sz w:val="21"/>
                    </w:rPr>
                    <w:t>阶段</w:t>
                  </w:r>
                </w:p>
              </w:tc>
              <w:tc>
                <w:tcPr>
                  <w:tcW w:type="dxa" w:w="1672"/>
                  <w:vAlign w:val="center"/>
                  <w:shd w:val="clear" w:fill="E9EEEB"/>
                </w:tcPr>
                <w:p>
                  <w:pPr>
                    <w:spacing w:after="0" w:line="276" w:lineRule="auto"/>
                    <w:ind w:firstLine="0"/>
                    <w:jc w:val="center"/>
                  </w:pPr>
                  <w:r>
                    <w:rPr>
                      <w:rFonts w:ascii="Times New Roman" w:hAnsi="Times New Roman" w:eastAsia="宋体"/>
                      <w:b/>
                      <w:i w:val="0"/>
                      <w:color w:val="000000"/>
                      <w:sz w:val="21"/>
                    </w:rPr>
                    <w:t>时间</w:t>
                  </w:r>
                </w:p>
              </w:tc>
              <w:tc>
                <w:tcPr>
                  <w:tcW w:type="dxa" w:w="3049"/>
                  <w:vAlign w:val="center"/>
                  <w:shd w:val="clear" w:fill="E9EEEB"/>
                </w:tcPr>
                <w:p>
                  <w:pPr>
                    <w:spacing w:after="0" w:line="276" w:lineRule="auto"/>
                    <w:ind w:firstLine="0"/>
                    <w:jc w:val="center"/>
                  </w:pPr>
                  <w:r>
                    <w:rPr>
                      <w:rFonts w:ascii="Times New Roman" w:hAnsi="Times New Roman" w:eastAsia="宋体"/>
                      <w:b/>
                      <w:i w:val="0"/>
                      <w:color w:val="000000"/>
                      <w:sz w:val="21"/>
                    </w:rPr>
                    <w:t>工作内容</w:t>
                  </w:r>
                </w:p>
              </w:tc>
              <w:tc>
                <w:tcPr>
                  <w:tcW w:type="dxa" w:w="3147"/>
                  <w:vAlign w:val="center"/>
                  <w:shd w:val="clear" w:fill="E9EEEB"/>
                </w:tcPr>
                <w:p>
                  <w:pPr>
                    <w:spacing w:after="0" w:line="276" w:lineRule="auto"/>
                    <w:ind w:firstLine="0"/>
                    <w:jc w:val="center"/>
                  </w:pPr>
                  <w:r>
                    <w:rPr>
                      <w:rFonts w:ascii="Times New Roman" w:hAnsi="Times New Roman" w:eastAsia="宋体"/>
                      <w:b/>
                      <w:i w:val="0"/>
                      <w:color w:val="000000"/>
                      <w:sz w:val="21"/>
                    </w:rPr>
                    <w:t>阶段产出与检查点</w:t>
                  </w:r>
                </w:p>
              </w:tc>
            </w:tr>
            <w:tr>
              <w:tc>
                <w:tcPr>
                  <w:tcW w:type="dxa" w:w="976"/>
                  <w:vAlign w:val="center"/>
                </w:tcPr>
                <w:p>
                  <w:pPr>
                    <w:spacing w:after="0" w:line="276" w:lineRule="auto"/>
                    <w:ind w:firstLine="0"/>
                    <w:jc w:val="center"/>
                  </w:pPr>
                  <w:r>
                    <w:rPr>
                      <w:rFonts w:ascii="Times New Roman" w:hAnsi="Times New Roman" w:eastAsia="宋体"/>
                      <w:b w:val="0"/>
                      <w:i w:val="0"/>
                      <w:color w:val="000000"/>
                      <w:sz w:val="21"/>
                    </w:rPr>
                    <w:t>第一阶段</w:t>
                  </w:r>
                </w:p>
              </w:tc>
              <w:tc>
                <w:tcPr>
                  <w:tcW w:type="dxa" w:w="1672"/>
                  <w:vAlign w:val="center"/>
                </w:tcPr>
                <w:p>
                  <w:pPr>
                    <w:spacing w:after="0" w:line="276" w:lineRule="auto"/>
                    <w:ind w:firstLine="0"/>
                    <w:jc w:val="left"/>
                  </w:pPr>
                  <w:r>
                    <w:rPr>
                      <w:rFonts w:ascii="Times New Roman" w:hAnsi="Times New Roman" w:eastAsia="宋体"/>
                      <w:b w:val="0"/>
                      <w:i w:val="0"/>
                      <w:color w:val="000000"/>
                      <w:sz w:val="21"/>
                    </w:rPr>
                    <w:t>2026.09—2026.12</w:t>
                  </w:r>
                </w:p>
              </w:tc>
              <w:tc>
                <w:tcPr>
                  <w:tcW w:type="dxa" w:w="3049"/>
                  <w:vAlign w:val="center"/>
                </w:tcPr>
                <w:p>
                  <w:pPr>
                    <w:spacing w:after="0" w:line="276" w:lineRule="auto"/>
                    <w:ind w:firstLine="0"/>
                    <w:jc w:val="left"/>
                  </w:pPr>
                  <w:r>
                    <w:rPr>
                      <w:rFonts w:ascii="Times New Roman" w:hAnsi="Times New Roman" w:eastAsia="宋体"/>
                      <w:b w:val="0"/>
                      <w:i w:val="0"/>
                      <w:color w:val="000000"/>
                      <w:sz w:val="21"/>
                    </w:rPr>
                    <w:t>文献梳理、数据与协议审计、连接点试标、基线烟测</w:t>
                  </w:r>
                </w:p>
              </w:tc>
              <w:tc>
                <w:tcPr>
                  <w:tcW w:type="dxa" w:w="3147"/>
                  <w:vAlign w:val="center"/>
                </w:tcPr>
                <w:p>
                  <w:pPr>
                    <w:spacing w:after="0" w:line="276" w:lineRule="auto"/>
                    <w:ind w:firstLine="0"/>
                    <w:jc w:val="left"/>
                  </w:pPr>
                  <w:r>
                    <w:rPr>
                      <w:rFonts w:ascii="Times New Roman" w:hAnsi="Times New Roman" w:eastAsia="宋体"/>
                      <w:b w:val="0"/>
                      <w:i w:val="0"/>
                      <w:color w:val="000000"/>
                      <w:sz w:val="21"/>
                    </w:rPr>
                    <w:t>开题报告；冻结数据清单与标注规范；50—100张双人试标记录</w:t>
                  </w:r>
                </w:p>
              </w:tc>
            </w:tr>
            <w:tr>
              <w:tc>
                <w:tcPr>
                  <w:tcW w:type="dxa" w:w="976"/>
                  <w:vAlign w:val="center"/>
                </w:tcPr>
                <w:p>
                  <w:pPr>
                    <w:spacing w:after="0" w:line="276" w:lineRule="auto"/>
                    <w:ind w:firstLine="0"/>
                    <w:jc w:val="center"/>
                  </w:pPr>
                  <w:r>
                    <w:rPr>
                      <w:rFonts w:ascii="Times New Roman" w:hAnsi="Times New Roman" w:eastAsia="宋体"/>
                      <w:b w:val="0"/>
                      <w:i w:val="0"/>
                      <w:color w:val="000000"/>
                      <w:sz w:val="21"/>
                    </w:rPr>
                    <w:t>第二阶段</w:t>
                  </w:r>
                </w:p>
              </w:tc>
              <w:tc>
                <w:tcPr>
                  <w:tcW w:type="dxa" w:w="1672"/>
                  <w:vAlign w:val="center"/>
                </w:tcPr>
                <w:p>
                  <w:pPr>
                    <w:spacing w:after="0" w:line="276" w:lineRule="auto"/>
                    <w:ind w:firstLine="0"/>
                    <w:jc w:val="left"/>
                  </w:pPr>
                  <w:r>
                    <w:rPr>
                      <w:rFonts w:ascii="Times New Roman" w:hAnsi="Times New Roman" w:eastAsia="宋体"/>
                      <w:b w:val="0"/>
                      <w:i w:val="0"/>
                      <w:color w:val="000000"/>
                      <w:sz w:val="21"/>
                    </w:rPr>
                    <w:t>2027.01—2027.03</w:t>
                  </w:r>
                </w:p>
              </w:tc>
              <w:tc>
                <w:tcPr>
                  <w:tcW w:type="dxa" w:w="3049"/>
                  <w:vAlign w:val="center"/>
                </w:tcPr>
                <w:p>
                  <w:pPr>
                    <w:spacing w:after="0" w:line="276" w:lineRule="auto"/>
                    <w:ind w:firstLine="0"/>
                    <w:jc w:val="left"/>
                  </w:pPr>
                  <w:r>
                    <w:rPr>
                      <w:rFonts w:ascii="Times New Roman" w:hAnsi="Times New Roman" w:eastAsia="宋体"/>
                      <w:b w:val="0"/>
                      <w:i w:val="0"/>
                      <w:color w:val="000000"/>
                      <w:sz w:val="21"/>
                    </w:rPr>
                    <w:t>基线50 epoch筛选；实例分割逐项消融；连接点标注扩充</w:t>
                  </w:r>
                </w:p>
              </w:tc>
              <w:tc>
                <w:tcPr>
                  <w:tcW w:type="dxa" w:w="3147"/>
                  <w:vAlign w:val="center"/>
                </w:tcPr>
                <w:p>
                  <w:pPr>
                    <w:spacing w:after="0" w:line="276" w:lineRule="auto"/>
                    <w:ind w:firstLine="0"/>
                    <w:jc w:val="left"/>
                  </w:pPr>
                  <w:r>
                    <w:rPr>
                      <w:rFonts w:ascii="Times New Roman" w:hAnsi="Times New Roman" w:eastAsia="宋体"/>
                      <w:b w:val="0"/>
                      <w:i w:val="0"/>
                      <w:color w:val="000000"/>
                      <w:sz w:val="21"/>
                    </w:rPr>
                    <w:t>受控筛选表；确定一条主要分割路线；正式点位集与一致性报告</w:t>
                  </w:r>
                </w:p>
              </w:tc>
            </w:tr>
            <w:tr>
              <w:tc>
                <w:tcPr>
                  <w:tcW w:type="dxa" w:w="976"/>
                  <w:vAlign w:val="center"/>
                </w:tcPr>
                <w:p>
                  <w:pPr>
                    <w:spacing w:after="0" w:line="276" w:lineRule="auto"/>
                    <w:ind w:firstLine="0"/>
                    <w:jc w:val="center"/>
                  </w:pPr>
                  <w:r>
                    <w:rPr>
                      <w:rFonts w:ascii="Times New Roman" w:hAnsi="Times New Roman" w:eastAsia="宋体"/>
                      <w:b w:val="0"/>
                      <w:i w:val="0"/>
                      <w:color w:val="000000"/>
                      <w:sz w:val="21"/>
                    </w:rPr>
                    <w:t>第三阶段</w:t>
                  </w:r>
                </w:p>
              </w:tc>
              <w:tc>
                <w:tcPr>
                  <w:tcW w:type="dxa" w:w="1672"/>
                  <w:vAlign w:val="center"/>
                </w:tcPr>
                <w:p>
                  <w:pPr>
                    <w:spacing w:after="0" w:line="276" w:lineRule="auto"/>
                    <w:ind w:firstLine="0"/>
                    <w:jc w:val="left"/>
                  </w:pPr>
                  <w:r>
                    <w:rPr>
                      <w:rFonts w:ascii="Times New Roman" w:hAnsi="Times New Roman" w:eastAsia="宋体"/>
                      <w:b w:val="0"/>
                      <w:i w:val="0"/>
                      <w:color w:val="000000"/>
                      <w:sz w:val="21"/>
                    </w:rPr>
                    <w:t>2027.04—2027.06</w:t>
                  </w:r>
                </w:p>
              </w:tc>
              <w:tc>
                <w:tcPr>
                  <w:tcW w:type="dxa" w:w="3049"/>
                  <w:vAlign w:val="center"/>
                </w:tcPr>
                <w:p>
                  <w:pPr>
                    <w:spacing w:after="0" w:line="276" w:lineRule="auto"/>
                    <w:ind w:firstLine="0"/>
                    <w:jc w:val="left"/>
                  </w:pPr>
                  <w:r>
                    <w:rPr>
                      <w:rFonts w:ascii="Times New Roman" w:hAnsi="Times New Roman" w:eastAsia="宋体"/>
                      <w:b w:val="0"/>
                      <w:i w:val="0"/>
                      <w:color w:val="000000"/>
                      <w:sz w:val="21"/>
                    </w:rPr>
                    <w:t>最终分割方法三种子实验；跨系列、难例与效率比较</w:t>
                  </w:r>
                </w:p>
              </w:tc>
              <w:tc>
                <w:tcPr>
                  <w:tcW w:type="dxa" w:w="3147"/>
                  <w:vAlign w:val="center"/>
                </w:tcPr>
                <w:p>
                  <w:pPr>
                    <w:spacing w:after="0" w:line="276" w:lineRule="auto"/>
                    <w:ind w:firstLine="0"/>
                    <w:jc w:val="left"/>
                  </w:pPr>
                  <w:r>
                    <w:rPr>
                      <w:rFonts w:ascii="Times New Roman" w:hAnsi="Times New Roman" w:eastAsia="宋体"/>
                      <w:b w:val="0"/>
                      <w:i w:val="0"/>
                      <w:color w:val="000000"/>
                      <w:sz w:val="21"/>
                    </w:rPr>
                    <w:t>分割结果与失败案例；第一篇论文稿；稳定实例输出接口</w:t>
                  </w:r>
                </w:p>
              </w:tc>
            </w:tr>
            <w:tr>
              <w:tc>
                <w:tcPr>
                  <w:tcW w:type="dxa" w:w="976"/>
                  <w:vAlign w:val="center"/>
                </w:tcPr>
                <w:p>
                  <w:pPr>
                    <w:spacing w:after="0" w:line="276" w:lineRule="auto"/>
                    <w:ind w:firstLine="0"/>
                    <w:jc w:val="center"/>
                  </w:pPr>
                  <w:r>
                    <w:rPr>
                      <w:rFonts w:ascii="Times New Roman" w:hAnsi="Times New Roman" w:eastAsia="宋体"/>
                      <w:b w:val="0"/>
                      <w:i w:val="0"/>
                      <w:color w:val="000000"/>
                      <w:sz w:val="21"/>
                    </w:rPr>
                    <w:t>第四阶段</w:t>
                  </w:r>
                </w:p>
              </w:tc>
              <w:tc>
                <w:tcPr>
                  <w:tcW w:type="dxa" w:w="1672"/>
                  <w:vAlign w:val="center"/>
                </w:tcPr>
                <w:p>
                  <w:pPr>
                    <w:spacing w:after="0" w:line="276" w:lineRule="auto"/>
                    <w:ind w:firstLine="0"/>
                    <w:jc w:val="left"/>
                  </w:pPr>
                  <w:r>
                    <w:rPr>
                      <w:rFonts w:ascii="Times New Roman" w:hAnsi="Times New Roman" w:eastAsia="宋体"/>
                      <w:b w:val="0"/>
                      <w:i w:val="0"/>
                      <w:color w:val="000000"/>
                      <w:sz w:val="21"/>
                    </w:rPr>
                    <w:t>2027.07—2027.09</w:t>
                  </w:r>
                </w:p>
              </w:tc>
              <w:tc>
                <w:tcPr>
                  <w:tcW w:type="dxa" w:w="3049"/>
                  <w:vAlign w:val="center"/>
                </w:tcPr>
                <w:p>
                  <w:pPr>
                    <w:spacing w:after="0" w:line="276" w:lineRule="auto"/>
                    <w:ind w:firstLine="0"/>
                    <w:jc w:val="left"/>
                  </w:pPr>
                  <w:r>
                    <w:rPr>
                      <w:rFonts w:ascii="Times New Roman" w:hAnsi="Times New Roman" w:eastAsia="宋体"/>
                      <w:b w:val="0"/>
                      <w:i w:val="0"/>
                      <w:color w:val="000000"/>
                      <w:sz w:val="21"/>
                    </w:rPr>
                    <w:t>ROI定位基线、掩膜提示、可定位性和拒识研究</w:t>
                  </w:r>
                </w:p>
              </w:tc>
              <w:tc>
                <w:tcPr>
                  <w:tcW w:type="dxa" w:w="3147"/>
                  <w:vAlign w:val="center"/>
                </w:tcPr>
                <w:p>
                  <w:pPr>
                    <w:spacing w:after="0" w:line="276" w:lineRule="auto"/>
                    <w:ind w:firstLine="0"/>
                    <w:jc w:val="left"/>
                  </w:pPr>
                  <w:r>
                    <w:rPr>
                      <w:rFonts w:ascii="Times New Roman" w:hAnsi="Times New Roman" w:eastAsia="宋体"/>
                      <w:b w:val="0"/>
                      <w:i w:val="0"/>
                      <w:color w:val="000000"/>
                      <w:sz w:val="21"/>
                    </w:rPr>
                    <w:t>定位对比与消融；真值ROI和预测ROI两套结果</w:t>
                  </w:r>
                </w:p>
              </w:tc>
            </w:tr>
            <w:tr>
              <w:tc>
                <w:tcPr>
                  <w:tcW w:type="dxa" w:w="976"/>
                  <w:vAlign w:val="center"/>
                </w:tcPr>
                <w:p>
                  <w:pPr>
                    <w:spacing w:after="0" w:line="276" w:lineRule="auto"/>
                    <w:ind w:firstLine="0"/>
                    <w:jc w:val="center"/>
                  </w:pPr>
                  <w:r>
                    <w:rPr>
                      <w:rFonts w:ascii="Times New Roman" w:hAnsi="Times New Roman" w:eastAsia="宋体"/>
                      <w:b w:val="0"/>
                      <w:i w:val="0"/>
                      <w:color w:val="000000"/>
                      <w:sz w:val="21"/>
                    </w:rPr>
                    <w:t>第五阶段</w:t>
                  </w:r>
                </w:p>
              </w:tc>
              <w:tc>
                <w:tcPr>
                  <w:tcW w:type="dxa" w:w="1672"/>
                  <w:vAlign w:val="center"/>
                </w:tcPr>
                <w:p>
                  <w:pPr>
                    <w:spacing w:after="0" w:line="276" w:lineRule="auto"/>
                    <w:ind w:firstLine="0"/>
                    <w:jc w:val="left"/>
                  </w:pPr>
                  <w:r>
                    <w:rPr>
                      <w:rFonts w:ascii="Times New Roman" w:hAnsi="Times New Roman" w:eastAsia="宋体"/>
                      <w:b w:val="0"/>
                      <w:i w:val="0"/>
                      <w:color w:val="000000"/>
                      <w:sz w:val="21"/>
                    </w:rPr>
                    <w:t>2027.10—2027.12</w:t>
                  </w:r>
                </w:p>
              </w:tc>
              <w:tc>
                <w:tcPr>
                  <w:tcW w:type="dxa" w:w="3049"/>
                  <w:vAlign w:val="center"/>
                </w:tcPr>
                <w:p>
                  <w:pPr>
                    <w:spacing w:after="0" w:line="276" w:lineRule="auto"/>
                    <w:ind w:firstLine="0"/>
                    <w:jc w:val="left"/>
                  </w:pPr>
                  <w:r>
                    <w:rPr>
                      <w:rFonts w:ascii="Times New Roman" w:hAnsi="Times New Roman" w:eastAsia="宋体"/>
                      <w:b w:val="0"/>
                      <w:i w:val="0"/>
                      <w:color w:val="000000"/>
                      <w:sz w:val="21"/>
                    </w:rPr>
                    <w:t>完整级联评价、补充批次测试、可靠性与效率整理</w:t>
                  </w:r>
                </w:p>
              </w:tc>
              <w:tc>
                <w:tcPr>
                  <w:tcW w:type="dxa" w:w="3147"/>
                  <w:vAlign w:val="center"/>
                </w:tcPr>
                <w:p>
                  <w:pPr>
                    <w:spacing w:after="0" w:line="276" w:lineRule="auto"/>
                    <w:ind w:firstLine="0"/>
                    <w:jc w:val="left"/>
                  </w:pPr>
                  <w:r>
                    <w:rPr>
                      <w:rFonts w:ascii="Times New Roman" w:hAnsi="Times New Roman" w:eastAsia="宋体"/>
                      <w:b w:val="0"/>
                      <w:i w:val="0"/>
                      <w:color w:val="000000"/>
                      <w:sz w:val="21"/>
                    </w:rPr>
                    <w:t>完整感知链实验；第二篇论文稿；可复现实验包</w:t>
                  </w:r>
                </w:p>
              </w:tc>
            </w:tr>
            <w:tr>
              <w:tc>
                <w:tcPr>
                  <w:tcW w:type="dxa" w:w="976"/>
                  <w:vAlign w:val="center"/>
                </w:tcPr>
                <w:p>
                  <w:pPr>
                    <w:spacing w:after="0" w:line="276" w:lineRule="auto"/>
                    <w:ind w:firstLine="0"/>
                    <w:jc w:val="center"/>
                  </w:pPr>
                  <w:r>
                    <w:rPr>
                      <w:rFonts w:ascii="Times New Roman" w:hAnsi="Times New Roman" w:eastAsia="宋体"/>
                      <w:b w:val="0"/>
                      <w:i w:val="0"/>
                      <w:color w:val="000000"/>
                      <w:sz w:val="21"/>
                    </w:rPr>
                    <w:t>第六阶段</w:t>
                  </w:r>
                </w:p>
              </w:tc>
              <w:tc>
                <w:tcPr>
                  <w:tcW w:type="dxa" w:w="1672"/>
                  <w:vAlign w:val="center"/>
                </w:tcPr>
                <w:p>
                  <w:pPr>
                    <w:spacing w:after="0" w:line="276" w:lineRule="auto"/>
                    <w:ind w:firstLine="0"/>
                    <w:jc w:val="left"/>
                  </w:pPr>
                  <w:r>
                    <w:rPr>
                      <w:rFonts w:ascii="Times New Roman" w:hAnsi="Times New Roman" w:eastAsia="宋体"/>
                      <w:b w:val="0"/>
                      <w:i w:val="0"/>
                      <w:color w:val="000000"/>
                      <w:sz w:val="21"/>
                    </w:rPr>
                    <w:t>2028.01—2028.06</w:t>
                  </w:r>
                </w:p>
              </w:tc>
              <w:tc>
                <w:tcPr>
                  <w:tcW w:type="dxa" w:w="3049"/>
                  <w:vAlign w:val="center"/>
                </w:tcPr>
                <w:p>
                  <w:pPr>
                    <w:spacing w:after="0" w:line="276" w:lineRule="auto"/>
                    <w:ind w:firstLine="0"/>
                    <w:jc w:val="left"/>
                  </w:pPr>
                  <w:r>
                    <w:rPr>
                      <w:rFonts w:ascii="Times New Roman" w:hAnsi="Times New Roman" w:eastAsia="宋体"/>
                      <w:b w:val="0"/>
                      <w:i w:val="0"/>
                      <w:color w:val="000000"/>
                      <w:sz w:val="21"/>
                    </w:rPr>
                    <w:t>汇总方法与局限，撰写和修改学位论文</w:t>
                  </w:r>
                </w:p>
              </w:tc>
              <w:tc>
                <w:tcPr>
                  <w:tcW w:type="dxa" w:w="3147"/>
                  <w:vAlign w:val="center"/>
                </w:tcPr>
                <w:p>
                  <w:pPr>
                    <w:spacing w:after="0" w:line="276" w:lineRule="auto"/>
                    <w:ind w:firstLine="0"/>
                    <w:jc w:val="left"/>
                  </w:pPr>
                  <w:r>
                    <w:rPr>
                      <w:rFonts w:ascii="Times New Roman" w:hAnsi="Times New Roman" w:eastAsia="宋体"/>
                      <w:b w:val="0"/>
                      <w:i w:val="0"/>
                      <w:color w:val="000000"/>
                      <w:sz w:val="21"/>
                    </w:rPr>
                    <w:t>学位论文、答辩材料及数据代码归档</w:t>
                  </w:r>
                </w:p>
              </w:tc>
            </w:tr>
          </w:tbl>
          <w:p/>
          <w:p/>
          <w:p>
            <w:pPr>
              <w:spacing w:line="312" w:lineRule="auto" w:after="80"/>
              <w:ind w:firstLine="480"/>
              <w:jc w:val="both"/>
            </w:pPr>
            <w:r>
              <w:rPr>
                <w:rFonts w:ascii="Times New Roman" w:hAnsi="Times New Roman" w:eastAsia="宋体"/>
                <w:b w:val="0"/>
                <w:i w:val="0"/>
                <w:color w:val="000000"/>
                <w:sz w:val="24"/>
              </w:rPr>
              <w:t>进度安排保留调整空间，但有几条先后关系不能颠倒：标注规则稳定后再扩充点位数据；烟测通过后再启动300 epoch正式训练；分割主线有可靠结果后，再评价连接点网络和完整级联。实验记录同时保存有效改进与失败原因，使两篇论文和学位论文的结论都能追溯到具体运行。</w:t>
            </w:r>
          </w:p>
        </w:tc>
      </w:tr>
      <w:tr w:rsidR="00D617A1" w14:paraId="36CECA88" w14:textId="77777777" w:rsidTr="00CC71C7">
        <w:trPr>
          <w:cantSplit/>
          <w:trHeight w:val="2639"/>
          <w:jc w:val="center"/>
        </w:trPr>
        <w:tc>
          <w:tcPr>
            <w:tcW w:w="1261" w:type="dxa"/>
            <w:vMerge w:val="restart"/>
            <w:vAlign w:val="center"/>
          </w:tcPr>
          <w:p w14:paraId="2DC7C1FE" w14:textId="77777777" w:rsidR="00D617A1" w:rsidRDefault="00000000">
            <w:pPr>
              <w:ind w:firstLine="480"/>
              <w:jc w:val="center"/>
              <w:rPr>
                <w:rFonts w:ascii="楷体_GB2312" w:eastAsia="楷体_GB2312"/>
                <w:sz w:val="24"/>
                <w:szCs w:val="24"/>
              </w:rPr>
            </w:pPr>
            <w:r>
              <w:rPr>
                <w:rFonts w:ascii="楷体_GB2312" w:eastAsia="楷体_GB2312" w:hint="eastAsia"/>
                <w:sz w:val="24"/>
                <w:szCs w:val="24"/>
              </w:rPr>
              <w:t>审</w:t>
            </w:r>
          </w:p>
          <w:p w14:paraId="6369E970" w14:textId="77777777" w:rsidR="00D617A1" w:rsidRDefault="00D617A1">
            <w:pPr>
              <w:ind w:firstLine="480"/>
              <w:jc w:val="center"/>
              <w:rPr>
                <w:rFonts w:ascii="楷体_GB2312" w:eastAsia="楷体_GB2312"/>
                <w:sz w:val="24"/>
                <w:szCs w:val="24"/>
              </w:rPr>
            </w:pPr>
          </w:p>
          <w:p w14:paraId="712D686B" w14:textId="77777777" w:rsidR="00D617A1" w:rsidRDefault="00D617A1">
            <w:pPr>
              <w:ind w:firstLine="480"/>
              <w:jc w:val="center"/>
              <w:rPr>
                <w:rFonts w:ascii="楷体_GB2312" w:eastAsia="楷体_GB2312"/>
                <w:sz w:val="24"/>
                <w:szCs w:val="24"/>
              </w:rPr>
            </w:pPr>
          </w:p>
          <w:p w14:paraId="760BBEF0" w14:textId="77777777" w:rsidR="00D617A1" w:rsidRDefault="00000000">
            <w:pPr>
              <w:ind w:firstLine="480"/>
              <w:jc w:val="center"/>
              <w:rPr>
                <w:rFonts w:ascii="楷体_GB2312" w:eastAsia="楷体_GB2312"/>
                <w:sz w:val="24"/>
                <w:szCs w:val="24"/>
              </w:rPr>
            </w:pPr>
            <w:r>
              <w:rPr>
                <w:rFonts w:ascii="楷体_GB2312" w:eastAsia="楷体_GB2312" w:hint="eastAsia"/>
                <w:sz w:val="24"/>
                <w:szCs w:val="24"/>
              </w:rPr>
              <w:t>查</w:t>
            </w:r>
          </w:p>
          <w:p w14:paraId="3BA8F6F2" w14:textId="77777777" w:rsidR="00D617A1" w:rsidRDefault="00D617A1">
            <w:pPr>
              <w:ind w:firstLine="480"/>
              <w:jc w:val="center"/>
              <w:rPr>
                <w:rFonts w:ascii="楷体_GB2312" w:eastAsia="楷体_GB2312"/>
                <w:sz w:val="24"/>
                <w:szCs w:val="24"/>
              </w:rPr>
            </w:pPr>
          </w:p>
          <w:p w14:paraId="5C168232" w14:textId="77777777" w:rsidR="00D617A1" w:rsidRDefault="00D617A1">
            <w:pPr>
              <w:ind w:firstLine="480"/>
              <w:jc w:val="center"/>
              <w:rPr>
                <w:rFonts w:ascii="楷体_GB2312" w:eastAsia="楷体_GB2312"/>
                <w:sz w:val="24"/>
                <w:szCs w:val="24"/>
              </w:rPr>
            </w:pPr>
          </w:p>
          <w:p w14:paraId="668DA1A9" w14:textId="77777777" w:rsidR="00D617A1" w:rsidRDefault="00000000">
            <w:pPr>
              <w:ind w:firstLine="480"/>
              <w:jc w:val="center"/>
              <w:rPr>
                <w:rFonts w:ascii="楷体_GB2312" w:eastAsia="楷体_GB2312"/>
                <w:sz w:val="24"/>
                <w:szCs w:val="24"/>
              </w:rPr>
            </w:pPr>
            <w:r>
              <w:rPr>
                <w:rFonts w:ascii="楷体_GB2312" w:eastAsia="楷体_GB2312" w:hint="eastAsia"/>
                <w:sz w:val="24"/>
                <w:szCs w:val="24"/>
              </w:rPr>
              <w:t>意</w:t>
            </w:r>
          </w:p>
          <w:p w14:paraId="627FC701" w14:textId="77777777" w:rsidR="00D617A1" w:rsidRDefault="00D617A1">
            <w:pPr>
              <w:ind w:firstLine="480"/>
              <w:jc w:val="center"/>
              <w:rPr>
                <w:rFonts w:ascii="楷体_GB2312" w:eastAsia="楷体_GB2312"/>
                <w:sz w:val="24"/>
                <w:szCs w:val="24"/>
              </w:rPr>
            </w:pPr>
          </w:p>
          <w:p w14:paraId="5B025FCE" w14:textId="77777777" w:rsidR="00D617A1" w:rsidRDefault="00D617A1">
            <w:pPr>
              <w:ind w:firstLine="480"/>
              <w:jc w:val="center"/>
              <w:rPr>
                <w:rFonts w:ascii="楷体_GB2312" w:eastAsia="楷体_GB2312"/>
                <w:sz w:val="24"/>
                <w:szCs w:val="24"/>
              </w:rPr>
            </w:pPr>
          </w:p>
          <w:p w14:paraId="05225800" w14:textId="77777777" w:rsidR="00D617A1" w:rsidRDefault="00000000">
            <w:pPr>
              <w:ind w:firstLine="480"/>
              <w:jc w:val="center"/>
              <w:rPr>
                <w:rFonts w:ascii="楷体_GB2312" w:eastAsia="楷体_GB2312"/>
              </w:rPr>
            </w:pPr>
            <w:r>
              <w:rPr>
                <w:rFonts w:ascii="楷体_GB2312" w:eastAsia="楷体_GB2312" w:hint="eastAsia"/>
                <w:sz w:val="24"/>
                <w:szCs w:val="24"/>
              </w:rPr>
              <w:t>见</w:t>
            </w:r>
          </w:p>
        </w:tc>
        <w:tc>
          <w:tcPr>
            <w:tcW w:w="9082" w:type="dxa"/>
          </w:tcPr>
          <w:p w14:paraId="1196BCA3" w14:textId="77777777" w:rsidR="00D617A1" w:rsidRDefault="00000000">
            <w:pPr>
              <w:widowControl/>
              <w:spacing w:beforeLines="50" w:before="156" w:line="360" w:lineRule="auto"/>
              <w:ind w:firstLine="480"/>
              <w:jc w:val="left"/>
              <w:rPr>
                <w:rFonts w:ascii="楷体_GB2312" w:eastAsia="楷体_GB2312"/>
                <w:sz w:val="24"/>
                <w:szCs w:val="24"/>
              </w:rPr>
            </w:pPr>
            <w:r>
              <w:rPr>
                <w:rFonts w:ascii="楷体_GB2312" w:eastAsia="楷体_GB2312" w:hint="eastAsia"/>
                <w:sz w:val="24"/>
                <w:szCs w:val="24"/>
              </w:rPr>
              <w:t>导师或指导小组意见：</w:t>
            </w:r>
          </w:p>
          <w:p w14:paraId="5ECF7B60" w14:textId="77777777" w:rsidR="00D617A1" w:rsidRDefault="00D617A1">
            <w:pPr>
              <w:widowControl/>
              <w:spacing w:line="360" w:lineRule="auto"/>
              <w:jc w:val="left"/>
              <w:rPr>
                <w:rFonts w:ascii="楷体_GB2312" w:eastAsia="楷体_GB2312"/>
              </w:rPr>
            </w:pPr>
          </w:p>
          <w:p w14:paraId="58BCFAA0" w14:textId="77777777" w:rsidR="00D617A1" w:rsidRDefault="00D617A1">
            <w:pPr>
              <w:widowControl/>
              <w:spacing w:line="360" w:lineRule="auto"/>
              <w:jc w:val="left"/>
              <w:rPr>
                <w:rFonts w:ascii="楷体_GB2312" w:eastAsia="楷体_GB2312"/>
              </w:rPr>
            </w:pPr>
          </w:p>
          <w:p w14:paraId="64E7A36A" w14:textId="77777777" w:rsidR="00D617A1" w:rsidRDefault="00D617A1">
            <w:pPr>
              <w:widowControl/>
              <w:spacing w:line="360" w:lineRule="auto"/>
              <w:jc w:val="left"/>
              <w:rPr>
                <w:rFonts w:ascii="楷体_GB2312" w:eastAsia="楷体_GB2312"/>
              </w:rPr>
            </w:pPr>
          </w:p>
          <w:p w14:paraId="25750ACD" w14:textId="77777777" w:rsidR="00D617A1" w:rsidRDefault="00000000">
            <w:pPr>
              <w:widowControl/>
              <w:spacing w:line="360" w:lineRule="auto"/>
              <w:ind w:firstLineChars="2779" w:firstLine="5836"/>
              <w:jc w:val="left"/>
              <w:rPr>
                <w:rFonts w:ascii="楷体_GB2312" w:eastAsia="楷体_GB2312"/>
                <w:u w:val="single"/>
              </w:rPr>
            </w:pPr>
            <w:r>
              <w:rPr>
                <w:rFonts w:ascii="楷体_GB2312" w:eastAsia="楷体_GB2312" w:hint="eastAsia"/>
              </w:rPr>
              <w:t>签  名：</w:t>
            </w:r>
            <w:r>
              <w:rPr>
                <w:rFonts w:ascii="楷体_GB2312" w:eastAsia="楷体_GB2312" w:hint="eastAsia"/>
                <w:u w:val="single"/>
              </w:rPr>
              <w:t xml:space="preserve">         </w:t>
            </w:r>
          </w:p>
          <w:p w14:paraId="162C2687" w14:textId="77777777" w:rsidR="00D617A1" w:rsidRDefault="00000000">
            <w:pPr>
              <w:widowControl/>
              <w:spacing w:line="360" w:lineRule="auto"/>
              <w:ind w:firstLineChars="3030" w:firstLine="6363"/>
              <w:jc w:val="left"/>
              <w:rPr>
                <w:rFonts w:ascii="楷体_GB2312" w:eastAsia="楷体_GB2312"/>
                <w:u w:val="single"/>
              </w:rPr>
            </w:pPr>
            <w:r>
              <w:rPr>
                <w:rFonts w:ascii="楷体_GB2312" w:eastAsia="楷体_GB2312" w:hint="eastAsia"/>
              </w:rPr>
              <w:t>年   月   日</w:t>
            </w:r>
          </w:p>
        </w:tc>
      </w:tr>
      <w:tr w:rsidR="00D617A1" w14:paraId="4CD108AB" w14:textId="77777777" w:rsidTr="00CC71C7">
        <w:trPr>
          <w:cantSplit/>
          <w:trHeight w:val="2587"/>
          <w:jc w:val="center"/>
        </w:trPr>
        <w:tc>
          <w:tcPr>
            <w:tcW w:w="1261" w:type="dxa"/>
            <w:vMerge/>
          </w:tcPr>
          <w:p w14:paraId="363C93CE" w14:textId="77777777" w:rsidR="00D617A1" w:rsidRDefault="00D617A1">
            <w:pPr>
              <w:jc w:val="left"/>
              <w:rPr>
                <w:rFonts w:ascii="楷体_GB2312" w:eastAsia="楷体_GB2312"/>
              </w:rPr>
            </w:pPr>
          </w:p>
        </w:tc>
        <w:tc>
          <w:tcPr>
            <w:tcW w:w="9082" w:type="dxa"/>
          </w:tcPr>
          <w:p w14:paraId="4CFF1BDA" w14:textId="77777777" w:rsidR="00D617A1" w:rsidRDefault="00000000">
            <w:pPr>
              <w:widowControl/>
              <w:spacing w:beforeLines="50" w:before="156" w:line="360" w:lineRule="auto"/>
              <w:ind w:firstLine="480"/>
              <w:jc w:val="left"/>
              <w:rPr>
                <w:rFonts w:ascii="楷体_GB2312" w:eastAsia="楷体_GB2312"/>
                <w:sz w:val="24"/>
                <w:szCs w:val="24"/>
              </w:rPr>
            </w:pPr>
            <w:r>
              <w:rPr>
                <w:rFonts w:ascii="楷体_GB2312" w:eastAsia="楷体_GB2312" w:hint="eastAsia"/>
                <w:sz w:val="24"/>
                <w:szCs w:val="24"/>
              </w:rPr>
              <w:t>教研室意见：</w:t>
            </w:r>
          </w:p>
          <w:p w14:paraId="71DC681D" w14:textId="77777777" w:rsidR="00D617A1" w:rsidRDefault="00D617A1">
            <w:pPr>
              <w:widowControl/>
              <w:spacing w:line="360" w:lineRule="auto"/>
              <w:jc w:val="left"/>
              <w:rPr>
                <w:rFonts w:ascii="楷体_GB2312" w:eastAsia="楷体_GB2312"/>
              </w:rPr>
            </w:pPr>
          </w:p>
          <w:p w14:paraId="2F930C49" w14:textId="77777777" w:rsidR="00D617A1" w:rsidRDefault="00D617A1">
            <w:pPr>
              <w:widowControl/>
              <w:spacing w:line="360" w:lineRule="auto"/>
              <w:rPr>
                <w:rFonts w:ascii="楷体_GB2312" w:eastAsia="楷体_GB2312"/>
              </w:rPr>
            </w:pPr>
          </w:p>
          <w:p w14:paraId="374B07CA" w14:textId="77777777" w:rsidR="00D617A1" w:rsidRDefault="00D617A1">
            <w:pPr>
              <w:spacing w:line="360" w:lineRule="auto"/>
              <w:jc w:val="left"/>
              <w:rPr>
                <w:rFonts w:ascii="楷体_GB2312" w:eastAsia="楷体_GB2312"/>
              </w:rPr>
            </w:pPr>
          </w:p>
          <w:p w14:paraId="54769DDC" w14:textId="77777777" w:rsidR="00D617A1" w:rsidRDefault="00000000">
            <w:pPr>
              <w:widowControl/>
              <w:spacing w:line="360" w:lineRule="auto"/>
              <w:ind w:firstLineChars="2779" w:firstLine="5836"/>
              <w:jc w:val="left"/>
              <w:rPr>
                <w:rFonts w:ascii="楷体_GB2312" w:eastAsia="楷体_GB2312"/>
                <w:u w:val="single"/>
              </w:rPr>
            </w:pPr>
            <w:r>
              <w:rPr>
                <w:rFonts w:ascii="楷体_GB2312" w:eastAsia="楷体_GB2312" w:hint="eastAsia"/>
              </w:rPr>
              <w:t>签  名：</w:t>
            </w:r>
            <w:r>
              <w:rPr>
                <w:rFonts w:ascii="楷体_GB2312" w:eastAsia="楷体_GB2312" w:hint="eastAsia"/>
                <w:u w:val="single"/>
              </w:rPr>
              <w:t xml:space="preserve">         </w:t>
            </w:r>
          </w:p>
          <w:p w14:paraId="6592D3B7" w14:textId="77777777" w:rsidR="00D617A1" w:rsidRDefault="00000000">
            <w:pPr>
              <w:spacing w:line="360" w:lineRule="auto"/>
              <w:ind w:firstLineChars="3029" w:firstLine="6361"/>
              <w:jc w:val="left"/>
              <w:rPr>
                <w:rFonts w:ascii="楷体_GB2312" w:eastAsia="楷体_GB2312"/>
              </w:rPr>
            </w:pPr>
            <w:r>
              <w:rPr>
                <w:rFonts w:ascii="楷体_GB2312" w:eastAsia="楷体_GB2312" w:hint="eastAsia"/>
              </w:rPr>
              <w:t>年   月   日</w:t>
            </w:r>
          </w:p>
        </w:tc>
      </w:tr>
      <w:tr w:rsidR="00D617A1" w14:paraId="31A2D934" w14:textId="77777777" w:rsidTr="00CC71C7">
        <w:trPr>
          <w:cantSplit/>
          <w:trHeight w:val="2791"/>
          <w:jc w:val="center"/>
        </w:trPr>
        <w:tc>
          <w:tcPr>
            <w:tcW w:w="1261" w:type="dxa"/>
            <w:vMerge/>
          </w:tcPr>
          <w:p w14:paraId="0A466543" w14:textId="77777777" w:rsidR="00D617A1" w:rsidRDefault="00D617A1">
            <w:pPr>
              <w:widowControl/>
              <w:jc w:val="left"/>
              <w:rPr>
                <w:rFonts w:ascii="楷体_GB2312" w:eastAsia="楷体_GB2312"/>
              </w:rPr>
            </w:pPr>
          </w:p>
        </w:tc>
        <w:tc>
          <w:tcPr>
            <w:tcW w:w="9082" w:type="dxa"/>
          </w:tcPr>
          <w:p w14:paraId="49A76659" w14:textId="77777777" w:rsidR="00D617A1" w:rsidRDefault="00000000">
            <w:pPr>
              <w:widowControl/>
              <w:spacing w:beforeLines="50" w:before="156" w:line="360" w:lineRule="auto"/>
              <w:ind w:firstLine="480"/>
              <w:jc w:val="left"/>
              <w:rPr>
                <w:rFonts w:ascii="楷体_GB2312" w:eastAsia="楷体_GB2312"/>
                <w:sz w:val="24"/>
                <w:szCs w:val="24"/>
              </w:rPr>
            </w:pPr>
            <w:r>
              <w:rPr>
                <w:rFonts w:ascii="楷体_GB2312" w:eastAsia="楷体_GB2312" w:hint="eastAsia"/>
                <w:sz w:val="24"/>
                <w:szCs w:val="24"/>
              </w:rPr>
              <w:t>学院负责人意见：</w:t>
            </w:r>
          </w:p>
          <w:p w14:paraId="360E4836" w14:textId="77777777" w:rsidR="00D617A1" w:rsidRDefault="00D617A1">
            <w:pPr>
              <w:widowControl/>
              <w:spacing w:line="360" w:lineRule="auto"/>
              <w:jc w:val="left"/>
              <w:rPr>
                <w:rFonts w:ascii="楷体_GB2312" w:eastAsia="楷体_GB2312"/>
              </w:rPr>
            </w:pPr>
          </w:p>
          <w:p w14:paraId="5CF51E53" w14:textId="77777777" w:rsidR="00D617A1" w:rsidRDefault="00D617A1">
            <w:pPr>
              <w:widowControl/>
              <w:spacing w:line="360" w:lineRule="auto"/>
              <w:jc w:val="left"/>
              <w:rPr>
                <w:rFonts w:ascii="楷体_GB2312" w:eastAsia="楷体_GB2312"/>
              </w:rPr>
            </w:pPr>
          </w:p>
          <w:p w14:paraId="429946C5" w14:textId="77777777" w:rsidR="00D617A1" w:rsidRDefault="00D617A1">
            <w:pPr>
              <w:widowControl/>
              <w:spacing w:line="360" w:lineRule="auto"/>
              <w:jc w:val="left"/>
              <w:rPr>
                <w:rFonts w:ascii="楷体_GB2312" w:eastAsia="楷体_GB2312"/>
              </w:rPr>
            </w:pPr>
          </w:p>
          <w:p w14:paraId="0D3CCDA2" w14:textId="77777777" w:rsidR="00D617A1" w:rsidRDefault="00000000">
            <w:pPr>
              <w:widowControl/>
              <w:spacing w:line="360" w:lineRule="auto"/>
              <w:ind w:firstLineChars="2779" w:firstLine="5836"/>
              <w:jc w:val="left"/>
              <w:rPr>
                <w:rFonts w:ascii="楷体_GB2312" w:eastAsia="楷体_GB2312"/>
                <w:u w:val="single"/>
              </w:rPr>
            </w:pPr>
            <w:r>
              <w:rPr>
                <w:rFonts w:ascii="楷体_GB2312" w:eastAsia="楷体_GB2312" w:hint="eastAsia"/>
              </w:rPr>
              <w:t>签  名：</w:t>
            </w:r>
            <w:r>
              <w:rPr>
                <w:rFonts w:ascii="楷体_GB2312" w:eastAsia="楷体_GB2312" w:hint="eastAsia"/>
                <w:u w:val="single"/>
              </w:rPr>
              <w:t xml:space="preserve">         </w:t>
            </w:r>
          </w:p>
          <w:p w14:paraId="70A98010" w14:textId="77777777" w:rsidR="00D617A1" w:rsidRDefault="00000000">
            <w:pPr>
              <w:spacing w:line="360" w:lineRule="auto"/>
              <w:ind w:firstLineChars="3029" w:firstLine="6361"/>
              <w:jc w:val="left"/>
              <w:rPr>
                <w:rFonts w:ascii="楷体_GB2312" w:eastAsia="楷体_GB2312"/>
              </w:rPr>
            </w:pPr>
            <w:r>
              <w:rPr>
                <w:rFonts w:ascii="楷体_GB2312" w:eastAsia="楷体_GB2312" w:hint="eastAsia"/>
              </w:rPr>
              <w:t>年   月   日</w:t>
            </w:r>
          </w:p>
        </w:tc>
      </w:tr>
    </w:tbl>
    <w:p w14:paraId="4F736F3D" w14:textId="77777777" w:rsidR="00D617A1" w:rsidRDefault="00D617A1"/>
    <w:sectPr w:rsidR="00D617A1">
      <w:footerReference w:type="default" r:id="rId93"/>
      <w:pgSz w:w="11907" w:h="16840"/>
      <w:pgMar w:top="1418" w:right="1418" w:bottom="1134" w:left="1418" w:header="794" w:footer="79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796A1F" w14:textId="77777777" w:rsidR="00774512" w:rsidRDefault="00774512">
      <w:pPr>
        <w:spacing w:before="720"/>
      </w:pPr>
      <w:r>
        <w:separator/>
      </w:r>
    </w:p>
    <w:p w14:paraId="06E8E9F4" w14:textId="77777777" w:rsidR="00774512" w:rsidRDefault="00774512"/>
    <w:p w14:paraId="3063DC15" w14:textId="77777777" w:rsidR="00774512" w:rsidRDefault="00774512" w:rsidP="00B24950"/>
    <w:p w14:paraId="01FEE312" w14:textId="77777777" w:rsidR="00774512" w:rsidRDefault="00774512" w:rsidP="00B24950"/>
    <w:p w14:paraId="2A59DEC7" w14:textId="77777777" w:rsidR="00774512" w:rsidRDefault="00774512" w:rsidP="00C4726D"/>
    <w:p w14:paraId="54C44116" w14:textId="77777777" w:rsidR="00774512" w:rsidRDefault="00774512" w:rsidP="007C2805"/>
    <w:p w14:paraId="0801D874" w14:textId="77777777" w:rsidR="00774512" w:rsidRDefault="00774512" w:rsidP="00AE3A20"/>
    <w:p w14:paraId="49D981B4" w14:textId="77777777" w:rsidR="00774512" w:rsidRDefault="00774512" w:rsidP="00AE3A20"/>
  </w:endnote>
  <w:endnote w:type="continuationSeparator" w:id="0">
    <w:p w14:paraId="30589F50" w14:textId="77777777" w:rsidR="00774512" w:rsidRDefault="00774512">
      <w:pPr>
        <w:spacing w:before="720"/>
      </w:pPr>
      <w:r>
        <w:continuationSeparator/>
      </w:r>
    </w:p>
    <w:p w14:paraId="52E49F72" w14:textId="77777777" w:rsidR="00774512" w:rsidRDefault="00774512"/>
    <w:p w14:paraId="27C5BB06" w14:textId="77777777" w:rsidR="00774512" w:rsidRDefault="00774512" w:rsidP="00B24950"/>
    <w:p w14:paraId="67A48A27" w14:textId="77777777" w:rsidR="00774512" w:rsidRDefault="00774512" w:rsidP="00B24950"/>
    <w:p w14:paraId="2E54E41E" w14:textId="77777777" w:rsidR="00774512" w:rsidRDefault="00774512" w:rsidP="00C4726D"/>
    <w:p w14:paraId="09C02699" w14:textId="77777777" w:rsidR="00774512" w:rsidRDefault="00774512" w:rsidP="007C2805"/>
    <w:p w14:paraId="2B956AF0" w14:textId="77777777" w:rsidR="00774512" w:rsidRDefault="00774512" w:rsidP="00AE3A20"/>
    <w:p w14:paraId="1E344B3D" w14:textId="77777777" w:rsidR="00774512" w:rsidRDefault="00774512" w:rsidP="00AE3A2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华文行楷">
    <w:panose1 w:val="02010800040101010101"/>
    <w:charset w:val="86"/>
    <w:family w:val="auto"/>
    <w:pitch w:val="variable"/>
    <w:sig w:usb0="00000001" w:usb1="080F0000" w:usb2="00000010" w:usb3="00000000" w:csb0="00040000" w:csb1="00000000"/>
  </w:font>
  <w:font w:name="楷体_GB2312">
    <w:altName w:val="楷体"/>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3012E" w14:textId="77777777" w:rsidR="00D617A1" w:rsidRDefault="00000000">
    <w:pPr>
      <w:pStyle w:val="a6"/>
      <w:framePr w:wrap="around" w:vAnchor="text" w:hAnchor="margin" w:xAlign="center" w:y="1"/>
      <w:rPr>
        <w:rStyle w:val="ad"/>
      </w:rPr>
    </w:pPr>
    <w:r>
      <w:rPr>
        <w:rStyle w:val="ad"/>
      </w:rPr>
      <w:fldChar w:fldCharType="begin"/>
    </w:r>
    <w:r>
      <w:rPr>
        <w:rStyle w:val="ad"/>
      </w:rPr>
      <w:instrText xml:space="preserve">PAGE  </w:instrText>
    </w:r>
    <w:r>
      <w:rPr>
        <w:rStyle w:val="ad"/>
      </w:rPr>
      <w:fldChar w:fldCharType="separate"/>
    </w:r>
    <w:r>
      <w:rPr>
        <w:rStyle w:val="ad"/>
      </w:rPr>
      <w:t>1</w:t>
    </w:r>
    <w:r>
      <w:rPr>
        <w:rStyle w:val="ad"/>
      </w:rPr>
      <w:fldChar w:fldCharType="end"/>
    </w:r>
  </w:p>
  <w:p w14:paraId="49A12A16" w14:textId="77777777" w:rsidR="00D617A1" w:rsidRDefault="00D617A1">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9865E" w14:textId="77777777" w:rsidR="00D617A1" w:rsidRDefault="00000000">
    <w:pPr>
      <w:pStyle w:val="a6"/>
      <w:framePr w:wrap="around" w:vAnchor="text" w:hAnchor="page" w:x="5798" w:y="8"/>
      <w:spacing w:before="720"/>
      <w:ind w:firstLine="360"/>
      <w:rPr>
        <w:rStyle w:val="ad"/>
      </w:rPr>
    </w:pPr>
    <w:r>
      <w:rPr>
        <w:rStyle w:val="ad"/>
      </w:rPr>
      <w:fldChar w:fldCharType="begin"/>
    </w:r>
    <w:r>
      <w:rPr>
        <w:rStyle w:val="ad"/>
      </w:rPr>
      <w:instrText xml:space="preserve">PAGE  </w:instrText>
    </w:r>
    <w:r>
      <w:rPr>
        <w:rStyle w:val="ad"/>
      </w:rPr>
      <w:fldChar w:fldCharType="separate"/>
    </w:r>
    <w:r>
      <w:rPr>
        <w:rStyle w:val="ad"/>
      </w:rPr>
      <w:t>1</w:t>
    </w:r>
    <w:r>
      <w:rPr>
        <w:rStyle w:val="ad"/>
      </w:rPr>
      <w:fldChar w:fldCharType="end"/>
    </w:r>
  </w:p>
  <w:p w14:paraId="74E4B4B0" w14:textId="77777777" w:rsidR="00D617A1" w:rsidRDefault="00D617A1">
    <w:pPr>
      <w:pStyle w:val="a6"/>
      <w:spacing w:before="720"/>
      <w:ind w:firstLine="360"/>
    </w:pPr>
  </w:p>
  <w:p w14:paraId="10FE2AAC" w14:textId="77777777" w:rsidR="00000000" w:rsidRDefault="00000000"/>
  <w:p w14:paraId="3FBA5DE2" w14:textId="77777777" w:rsidR="00000000" w:rsidRDefault="00000000" w:rsidP="00B24950"/>
  <w:p w14:paraId="0F6F1226" w14:textId="77777777" w:rsidR="00000000" w:rsidRDefault="00000000" w:rsidP="00B24950"/>
  <w:p w14:paraId="094F0AE7" w14:textId="77777777" w:rsidR="00000000" w:rsidRDefault="00000000" w:rsidP="00C4726D"/>
  <w:p w14:paraId="0D8DA840" w14:textId="77777777" w:rsidR="00000000" w:rsidRDefault="00000000" w:rsidP="007C2805"/>
  <w:p w14:paraId="72A2999A" w14:textId="77777777" w:rsidR="00000000" w:rsidRDefault="00000000" w:rsidP="00AE3A20"/>
  <w:p w14:paraId="7AD6D4EB" w14:textId="77777777" w:rsidR="00000000" w:rsidRDefault="00000000" w:rsidP="00AE3A2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903410" w14:textId="77777777" w:rsidR="00774512" w:rsidRDefault="00774512">
      <w:pPr>
        <w:spacing w:before="720"/>
      </w:pPr>
      <w:r>
        <w:separator/>
      </w:r>
    </w:p>
    <w:p w14:paraId="6429FFC2" w14:textId="77777777" w:rsidR="00774512" w:rsidRDefault="00774512"/>
    <w:p w14:paraId="3A45AD4A" w14:textId="77777777" w:rsidR="00774512" w:rsidRDefault="00774512" w:rsidP="00B24950"/>
    <w:p w14:paraId="1E15B45F" w14:textId="77777777" w:rsidR="00774512" w:rsidRDefault="00774512" w:rsidP="00B24950"/>
    <w:p w14:paraId="41B554BD" w14:textId="77777777" w:rsidR="00774512" w:rsidRDefault="00774512" w:rsidP="00C4726D"/>
    <w:p w14:paraId="6480A149" w14:textId="77777777" w:rsidR="00774512" w:rsidRDefault="00774512" w:rsidP="007C2805"/>
    <w:p w14:paraId="35B86A6D" w14:textId="77777777" w:rsidR="00774512" w:rsidRDefault="00774512" w:rsidP="00AE3A20"/>
    <w:p w14:paraId="7ED7A991" w14:textId="77777777" w:rsidR="00774512" w:rsidRDefault="00774512" w:rsidP="00AE3A20"/>
  </w:footnote>
  <w:footnote w:type="continuationSeparator" w:id="0">
    <w:p w14:paraId="02DD1F5F" w14:textId="77777777" w:rsidR="00774512" w:rsidRDefault="00774512">
      <w:pPr>
        <w:spacing w:before="720"/>
      </w:pPr>
      <w:r>
        <w:continuationSeparator/>
      </w:r>
    </w:p>
    <w:p w14:paraId="78092D5D" w14:textId="77777777" w:rsidR="00774512" w:rsidRDefault="00774512"/>
    <w:p w14:paraId="131E4F49" w14:textId="77777777" w:rsidR="00774512" w:rsidRDefault="00774512" w:rsidP="00B24950"/>
    <w:p w14:paraId="0CD46FBA" w14:textId="77777777" w:rsidR="00774512" w:rsidRDefault="00774512" w:rsidP="00B24950"/>
    <w:p w14:paraId="4CCEDBA1" w14:textId="77777777" w:rsidR="00774512" w:rsidRDefault="00774512" w:rsidP="00C4726D"/>
    <w:p w14:paraId="36CC9E02" w14:textId="77777777" w:rsidR="00774512" w:rsidRDefault="00774512" w:rsidP="007C2805"/>
    <w:p w14:paraId="62D6897E" w14:textId="77777777" w:rsidR="00774512" w:rsidRDefault="00774512" w:rsidP="00AE3A20"/>
    <w:p w14:paraId="5B658DA6" w14:textId="77777777" w:rsidR="00774512" w:rsidRDefault="00774512" w:rsidP="00AE3A2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8D558A"/>
    <w:multiLevelType w:val="multilevel"/>
    <w:tmpl w:val="1D8D558A"/>
    <w:lvl w:ilvl="0">
      <w:start w:val="1"/>
      <w:numFmt w:val="decimal"/>
      <w:lvlText w:val="%1．"/>
      <w:lvlJc w:val="left"/>
      <w:pPr>
        <w:tabs>
          <w:tab w:val="left" w:pos="360"/>
        </w:tabs>
        <w:ind w:left="360" w:hanging="360"/>
      </w:pPr>
      <w:rPr>
        <w:rFonts w:hint="eastAsia"/>
        <w:sz w:val="24"/>
        <w:szCs w:val="24"/>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29CF230D"/>
    <w:multiLevelType w:val="multilevel"/>
    <w:tmpl w:val="29CF230D"/>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1021C60"/>
    <w:multiLevelType w:val="multilevel"/>
    <w:tmpl w:val="71021C60"/>
    <w:lvl w:ilvl="0">
      <w:start w:val="1"/>
      <w:numFmt w:val="lowerLetter"/>
      <w:lvlText w:val="(%1)"/>
      <w:lvlJc w:val="left"/>
      <w:pPr>
        <w:ind w:left="780" w:hanging="360"/>
      </w:pPr>
      <w:rPr>
        <w:rFonts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3" w15:restartNumberingAfterBreak="0">
    <w:nsid w:val="76725197"/>
    <w:multiLevelType w:val="multilevel"/>
    <w:tmpl w:val="76725197"/>
    <w:lvl w:ilvl="0">
      <w:start w:val="1"/>
      <w:numFmt w:val="japaneseCounting"/>
      <w:lvlText w:val="%1、"/>
      <w:lvlJc w:val="left"/>
      <w:pPr>
        <w:ind w:left="432" w:hanging="432"/>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236744798">
    <w:abstractNumId w:val="1"/>
  </w:num>
  <w:num w:numId="2" w16cid:durableId="1334989422">
    <w:abstractNumId w:val="3"/>
  </w:num>
  <w:num w:numId="3" w16cid:durableId="2005936987">
    <w:abstractNumId w:val="0"/>
  </w:num>
  <w:num w:numId="4" w16cid:durableId="11293235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5"/>
  <w:drawingGridVerticalSpacing w:val="156"/>
  <w:displayHorizontalDrawingGridEvery w:val="2"/>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E3OGZhODQwMWYyNTdiZDZiYzQ1NzA1NzAyODNjNWEifQ=="/>
  </w:docVars>
  <w:rsids>
    <w:rsidRoot w:val="000C6C2C"/>
    <w:rsid w:val="000015AC"/>
    <w:rsid w:val="00007EF6"/>
    <w:rsid w:val="00011BAE"/>
    <w:rsid w:val="00014079"/>
    <w:rsid w:val="000142C8"/>
    <w:rsid w:val="000142E8"/>
    <w:rsid w:val="0001466E"/>
    <w:rsid w:val="000220CA"/>
    <w:rsid w:val="000230D5"/>
    <w:rsid w:val="00023612"/>
    <w:rsid w:val="0002388C"/>
    <w:rsid w:val="000244A6"/>
    <w:rsid w:val="00025D51"/>
    <w:rsid w:val="00026382"/>
    <w:rsid w:val="00027C07"/>
    <w:rsid w:val="00027C5D"/>
    <w:rsid w:val="00030CA1"/>
    <w:rsid w:val="00032326"/>
    <w:rsid w:val="000327FD"/>
    <w:rsid w:val="00032DB2"/>
    <w:rsid w:val="00040DE7"/>
    <w:rsid w:val="000415BA"/>
    <w:rsid w:val="00041922"/>
    <w:rsid w:val="00041960"/>
    <w:rsid w:val="00043A98"/>
    <w:rsid w:val="00047865"/>
    <w:rsid w:val="000479B5"/>
    <w:rsid w:val="000512CC"/>
    <w:rsid w:val="00053E2B"/>
    <w:rsid w:val="0005401A"/>
    <w:rsid w:val="00055695"/>
    <w:rsid w:val="00060973"/>
    <w:rsid w:val="0006312C"/>
    <w:rsid w:val="00066E8D"/>
    <w:rsid w:val="00072667"/>
    <w:rsid w:val="000736DF"/>
    <w:rsid w:val="00074890"/>
    <w:rsid w:val="000768F9"/>
    <w:rsid w:val="00077625"/>
    <w:rsid w:val="0008195A"/>
    <w:rsid w:val="000820EC"/>
    <w:rsid w:val="00082621"/>
    <w:rsid w:val="000905EB"/>
    <w:rsid w:val="000926B5"/>
    <w:rsid w:val="00094BC4"/>
    <w:rsid w:val="000960B9"/>
    <w:rsid w:val="000A0939"/>
    <w:rsid w:val="000A0E5C"/>
    <w:rsid w:val="000A2942"/>
    <w:rsid w:val="000A355D"/>
    <w:rsid w:val="000A4D48"/>
    <w:rsid w:val="000B1312"/>
    <w:rsid w:val="000B183F"/>
    <w:rsid w:val="000B1851"/>
    <w:rsid w:val="000B313D"/>
    <w:rsid w:val="000B59DF"/>
    <w:rsid w:val="000B6717"/>
    <w:rsid w:val="000B7B9F"/>
    <w:rsid w:val="000C415A"/>
    <w:rsid w:val="000C6C2C"/>
    <w:rsid w:val="000C7FCA"/>
    <w:rsid w:val="000D023F"/>
    <w:rsid w:val="000D1C63"/>
    <w:rsid w:val="000D64F0"/>
    <w:rsid w:val="000D78EF"/>
    <w:rsid w:val="000E37DD"/>
    <w:rsid w:val="000E6657"/>
    <w:rsid w:val="000E677B"/>
    <w:rsid w:val="000E696E"/>
    <w:rsid w:val="000F2149"/>
    <w:rsid w:val="000F2C2B"/>
    <w:rsid w:val="000F5FCF"/>
    <w:rsid w:val="001008A4"/>
    <w:rsid w:val="00106E69"/>
    <w:rsid w:val="001078C0"/>
    <w:rsid w:val="00111441"/>
    <w:rsid w:val="001129FF"/>
    <w:rsid w:val="00115C5C"/>
    <w:rsid w:val="00117E07"/>
    <w:rsid w:val="001203D2"/>
    <w:rsid w:val="00122A99"/>
    <w:rsid w:val="00122F4A"/>
    <w:rsid w:val="00123C1C"/>
    <w:rsid w:val="0012559A"/>
    <w:rsid w:val="00126720"/>
    <w:rsid w:val="00126F75"/>
    <w:rsid w:val="00134C18"/>
    <w:rsid w:val="00135EFA"/>
    <w:rsid w:val="001402F6"/>
    <w:rsid w:val="001426B6"/>
    <w:rsid w:val="00144A33"/>
    <w:rsid w:val="00145174"/>
    <w:rsid w:val="00145339"/>
    <w:rsid w:val="00151EE8"/>
    <w:rsid w:val="00154D4F"/>
    <w:rsid w:val="001550B0"/>
    <w:rsid w:val="001621C0"/>
    <w:rsid w:val="00163942"/>
    <w:rsid w:val="0016691B"/>
    <w:rsid w:val="0016769A"/>
    <w:rsid w:val="001719CB"/>
    <w:rsid w:val="00175493"/>
    <w:rsid w:val="00177EA0"/>
    <w:rsid w:val="001824C7"/>
    <w:rsid w:val="00182770"/>
    <w:rsid w:val="001837F3"/>
    <w:rsid w:val="00185122"/>
    <w:rsid w:val="00185543"/>
    <w:rsid w:val="001862FA"/>
    <w:rsid w:val="00187F69"/>
    <w:rsid w:val="00190F36"/>
    <w:rsid w:val="00194337"/>
    <w:rsid w:val="0019467F"/>
    <w:rsid w:val="00194876"/>
    <w:rsid w:val="00195347"/>
    <w:rsid w:val="001978EA"/>
    <w:rsid w:val="001A4B63"/>
    <w:rsid w:val="001A507A"/>
    <w:rsid w:val="001B0F3C"/>
    <w:rsid w:val="001B59F5"/>
    <w:rsid w:val="001B73C8"/>
    <w:rsid w:val="001C3062"/>
    <w:rsid w:val="001C32FE"/>
    <w:rsid w:val="001C3714"/>
    <w:rsid w:val="001D17DC"/>
    <w:rsid w:val="001D1DC0"/>
    <w:rsid w:val="001D38E2"/>
    <w:rsid w:val="001E07B6"/>
    <w:rsid w:val="001E2CC1"/>
    <w:rsid w:val="001E47C1"/>
    <w:rsid w:val="001E4F79"/>
    <w:rsid w:val="001E69EE"/>
    <w:rsid w:val="001E773A"/>
    <w:rsid w:val="001F0A77"/>
    <w:rsid w:val="001F1E23"/>
    <w:rsid w:val="001F20F3"/>
    <w:rsid w:val="001F47B6"/>
    <w:rsid w:val="001F7167"/>
    <w:rsid w:val="001F783C"/>
    <w:rsid w:val="00202EF5"/>
    <w:rsid w:val="002035AA"/>
    <w:rsid w:val="00204A1F"/>
    <w:rsid w:val="0020580D"/>
    <w:rsid w:val="00212910"/>
    <w:rsid w:val="00215162"/>
    <w:rsid w:val="00220DEB"/>
    <w:rsid w:val="00220E2A"/>
    <w:rsid w:val="00221A7E"/>
    <w:rsid w:val="00225E4A"/>
    <w:rsid w:val="0022700B"/>
    <w:rsid w:val="0023151C"/>
    <w:rsid w:val="002315DB"/>
    <w:rsid w:val="002335D4"/>
    <w:rsid w:val="0024241E"/>
    <w:rsid w:val="00243198"/>
    <w:rsid w:val="0024515C"/>
    <w:rsid w:val="00246112"/>
    <w:rsid w:val="0024665D"/>
    <w:rsid w:val="00247D02"/>
    <w:rsid w:val="0025087C"/>
    <w:rsid w:val="00250D09"/>
    <w:rsid w:val="00251AB2"/>
    <w:rsid w:val="002528C3"/>
    <w:rsid w:val="0025375D"/>
    <w:rsid w:val="00256DDE"/>
    <w:rsid w:val="00257955"/>
    <w:rsid w:val="002614CC"/>
    <w:rsid w:val="0026409B"/>
    <w:rsid w:val="00264490"/>
    <w:rsid w:val="00265376"/>
    <w:rsid w:val="00265889"/>
    <w:rsid w:val="00271424"/>
    <w:rsid w:val="00271D3E"/>
    <w:rsid w:val="00272CD5"/>
    <w:rsid w:val="00273760"/>
    <w:rsid w:val="00273F03"/>
    <w:rsid w:val="00274398"/>
    <w:rsid w:val="0027470A"/>
    <w:rsid w:val="00274749"/>
    <w:rsid w:val="00277652"/>
    <w:rsid w:val="002811FD"/>
    <w:rsid w:val="00282368"/>
    <w:rsid w:val="0028265F"/>
    <w:rsid w:val="00283D2C"/>
    <w:rsid w:val="002843A9"/>
    <w:rsid w:val="00284481"/>
    <w:rsid w:val="00287175"/>
    <w:rsid w:val="0028731A"/>
    <w:rsid w:val="00290ADF"/>
    <w:rsid w:val="00292047"/>
    <w:rsid w:val="00293B6C"/>
    <w:rsid w:val="00293C63"/>
    <w:rsid w:val="0029699F"/>
    <w:rsid w:val="00297A04"/>
    <w:rsid w:val="002A1219"/>
    <w:rsid w:val="002A2BB7"/>
    <w:rsid w:val="002B0EFA"/>
    <w:rsid w:val="002B15CA"/>
    <w:rsid w:val="002B1779"/>
    <w:rsid w:val="002B3841"/>
    <w:rsid w:val="002B601A"/>
    <w:rsid w:val="002B6974"/>
    <w:rsid w:val="002C1B0A"/>
    <w:rsid w:val="002C1D90"/>
    <w:rsid w:val="002C2DDD"/>
    <w:rsid w:val="002C52AE"/>
    <w:rsid w:val="002C7506"/>
    <w:rsid w:val="002D2CFD"/>
    <w:rsid w:val="002D4F8C"/>
    <w:rsid w:val="002D590B"/>
    <w:rsid w:val="002D6271"/>
    <w:rsid w:val="002E0BCF"/>
    <w:rsid w:val="002E15F2"/>
    <w:rsid w:val="002E3072"/>
    <w:rsid w:val="002E49FA"/>
    <w:rsid w:val="002E50CF"/>
    <w:rsid w:val="002E6C67"/>
    <w:rsid w:val="002F09B7"/>
    <w:rsid w:val="002F0BD4"/>
    <w:rsid w:val="002F3508"/>
    <w:rsid w:val="002F3B59"/>
    <w:rsid w:val="002F6574"/>
    <w:rsid w:val="002F6CC7"/>
    <w:rsid w:val="002F6CDD"/>
    <w:rsid w:val="0030055E"/>
    <w:rsid w:val="0030059F"/>
    <w:rsid w:val="00304737"/>
    <w:rsid w:val="0031300D"/>
    <w:rsid w:val="00314571"/>
    <w:rsid w:val="003203CB"/>
    <w:rsid w:val="00320ADC"/>
    <w:rsid w:val="00323D88"/>
    <w:rsid w:val="0032457E"/>
    <w:rsid w:val="003276B6"/>
    <w:rsid w:val="00330BD8"/>
    <w:rsid w:val="00331621"/>
    <w:rsid w:val="003336FD"/>
    <w:rsid w:val="00333B6A"/>
    <w:rsid w:val="00334B25"/>
    <w:rsid w:val="0033666C"/>
    <w:rsid w:val="0033696A"/>
    <w:rsid w:val="00337BBE"/>
    <w:rsid w:val="00347D65"/>
    <w:rsid w:val="00350CF0"/>
    <w:rsid w:val="00351C77"/>
    <w:rsid w:val="00353C4B"/>
    <w:rsid w:val="00354CA6"/>
    <w:rsid w:val="003551BC"/>
    <w:rsid w:val="00357A01"/>
    <w:rsid w:val="00357D34"/>
    <w:rsid w:val="00363100"/>
    <w:rsid w:val="00363CFB"/>
    <w:rsid w:val="00365588"/>
    <w:rsid w:val="00372DC7"/>
    <w:rsid w:val="0037395F"/>
    <w:rsid w:val="0037414E"/>
    <w:rsid w:val="00374DFF"/>
    <w:rsid w:val="003760DD"/>
    <w:rsid w:val="00376EA0"/>
    <w:rsid w:val="00377719"/>
    <w:rsid w:val="00381A43"/>
    <w:rsid w:val="003925B2"/>
    <w:rsid w:val="00392D54"/>
    <w:rsid w:val="003A061A"/>
    <w:rsid w:val="003A0811"/>
    <w:rsid w:val="003A274A"/>
    <w:rsid w:val="003A31FE"/>
    <w:rsid w:val="003A3EA1"/>
    <w:rsid w:val="003B144A"/>
    <w:rsid w:val="003B4F48"/>
    <w:rsid w:val="003B5B66"/>
    <w:rsid w:val="003B5E53"/>
    <w:rsid w:val="003B5F92"/>
    <w:rsid w:val="003B632A"/>
    <w:rsid w:val="003B6FE5"/>
    <w:rsid w:val="003B72B8"/>
    <w:rsid w:val="003C1AAE"/>
    <w:rsid w:val="003C227B"/>
    <w:rsid w:val="003C2EB2"/>
    <w:rsid w:val="003C4C0D"/>
    <w:rsid w:val="003C5E65"/>
    <w:rsid w:val="003C693F"/>
    <w:rsid w:val="003C6DD4"/>
    <w:rsid w:val="003D1749"/>
    <w:rsid w:val="003D2EB2"/>
    <w:rsid w:val="003D4D9B"/>
    <w:rsid w:val="003D744A"/>
    <w:rsid w:val="003E0BCF"/>
    <w:rsid w:val="003E0E4E"/>
    <w:rsid w:val="003E124E"/>
    <w:rsid w:val="003E2237"/>
    <w:rsid w:val="003E22A1"/>
    <w:rsid w:val="003E22A6"/>
    <w:rsid w:val="003F0464"/>
    <w:rsid w:val="003F1482"/>
    <w:rsid w:val="003F2B80"/>
    <w:rsid w:val="003F43B5"/>
    <w:rsid w:val="003F4FD7"/>
    <w:rsid w:val="00401440"/>
    <w:rsid w:val="004055BE"/>
    <w:rsid w:val="00407AA7"/>
    <w:rsid w:val="004104D9"/>
    <w:rsid w:val="004147DB"/>
    <w:rsid w:val="0042105C"/>
    <w:rsid w:val="0042230A"/>
    <w:rsid w:val="004252C5"/>
    <w:rsid w:val="00432A0B"/>
    <w:rsid w:val="00432DB0"/>
    <w:rsid w:val="00432F67"/>
    <w:rsid w:val="004370EE"/>
    <w:rsid w:val="004402C6"/>
    <w:rsid w:val="00440341"/>
    <w:rsid w:val="0044042F"/>
    <w:rsid w:val="004406E5"/>
    <w:rsid w:val="00444A7D"/>
    <w:rsid w:val="004453B8"/>
    <w:rsid w:val="00447D69"/>
    <w:rsid w:val="00450716"/>
    <w:rsid w:val="0045476F"/>
    <w:rsid w:val="00456111"/>
    <w:rsid w:val="00462286"/>
    <w:rsid w:val="004628D1"/>
    <w:rsid w:val="0046342A"/>
    <w:rsid w:val="00470742"/>
    <w:rsid w:val="00470F13"/>
    <w:rsid w:val="00471DA1"/>
    <w:rsid w:val="004733F6"/>
    <w:rsid w:val="004734AD"/>
    <w:rsid w:val="004739EA"/>
    <w:rsid w:val="00473A95"/>
    <w:rsid w:val="00473CD7"/>
    <w:rsid w:val="00473D4B"/>
    <w:rsid w:val="00477471"/>
    <w:rsid w:val="00482231"/>
    <w:rsid w:val="00483432"/>
    <w:rsid w:val="00485EBA"/>
    <w:rsid w:val="00487625"/>
    <w:rsid w:val="00490885"/>
    <w:rsid w:val="00491B7D"/>
    <w:rsid w:val="004938E2"/>
    <w:rsid w:val="00494BAC"/>
    <w:rsid w:val="0049595F"/>
    <w:rsid w:val="004A200A"/>
    <w:rsid w:val="004A5169"/>
    <w:rsid w:val="004A5BB0"/>
    <w:rsid w:val="004A756F"/>
    <w:rsid w:val="004A7F82"/>
    <w:rsid w:val="004B2CAB"/>
    <w:rsid w:val="004B3E66"/>
    <w:rsid w:val="004B6A7B"/>
    <w:rsid w:val="004C007B"/>
    <w:rsid w:val="004C10E2"/>
    <w:rsid w:val="004C4AD9"/>
    <w:rsid w:val="004C574B"/>
    <w:rsid w:val="004D32DD"/>
    <w:rsid w:val="004D4944"/>
    <w:rsid w:val="004D7D34"/>
    <w:rsid w:val="004E0B6A"/>
    <w:rsid w:val="004E15B2"/>
    <w:rsid w:val="004E5C80"/>
    <w:rsid w:val="004E5CFF"/>
    <w:rsid w:val="004E6480"/>
    <w:rsid w:val="004F1C2A"/>
    <w:rsid w:val="004F20E7"/>
    <w:rsid w:val="004F2D2C"/>
    <w:rsid w:val="004F53D8"/>
    <w:rsid w:val="004F5A71"/>
    <w:rsid w:val="004F62B1"/>
    <w:rsid w:val="004F6887"/>
    <w:rsid w:val="005005C5"/>
    <w:rsid w:val="00500FD0"/>
    <w:rsid w:val="00501088"/>
    <w:rsid w:val="005022ED"/>
    <w:rsid w:val="005024B2"/>
    <w:rsid w:val="0050254F"/>
    <w:rsid w:val="00503DE2"/>
    <w:rsid w:val="0050458E"/>
    <w:rsid w:val="00504DD2"/>
    <w:rsid w:val="00504F2A"/>
    <w:rsid w:val="00513052"/>
    <w:rsid w:val="00516AD0"/>
    <w:rsid w:val="00517D1B"/>
    <w:rsid w:val="00520788"/>
    <w:rsid w:val="00521D7B"/>
    <w:rsid w:val="00523589"/>
    <w:rsid w:val="00523D0F"/>
    <w:rsid w:val="005251DE"/>
    <w:rsid w:val="00525B93"/>
    <w:rsid w:val="0052652A"/>
    <w:rsid w:val="005267A9"/>
    <w:rsid w:val="00530CFA"/>
    <w:rsid w:val="00531120"/>
    <w:rsid w:val="005317AB"/>
    <w:rsid w:val="0054056E"/>
    <w:rsid w:val="00541191"/>
    <w:rsid w:val="00541240"/>
    <w:rsid w:val="00541B05"/>
    <w:rsid w:val="00542CCF"/>
    <w:rsid w:val="00544804"/>
    <w:rsid w:val="00546118"/>
    <w:rsid w:val="00550E6D"/>
    <w:rsid w:val="00551D9E"/>
    <w:rsid w:val="005532D5"/>
    <w:rsid w:val="0055388B"/>
    <w:rsid w:val="005569CC"/>
    <w:rsid w:val="005578E8"/>
    <w:rsid w:val="00557E23"/>
    <w:rsid w:val="00561185"/>
    <w:rsid w:val="00561230"/>
    <w:rsid w:val="00562199"/>
    <w:rsid w:val="00564182"/>
    <w:rsid w:val="005706FB"/>
    <w:rsid w:val="00570EAE"/>
    <w:rsid w:val="005738C2"/>
    <w:rsid w:val="005739FB"/>
    <w:rsid w:val="00575861"/>
    <w:rsid w:val="00576868"/>
    <w:rsid w:val="00577249"/>
    <w:rsid w:val="00577D7C"/>
    <w:rsid w:val="0058064B"/>
    <w:rsid w:val="00580937"/>
    <w:rsid w:val="005832EC"/>
    <w:rsid w:val="00583331"/>
    <w:rsid w:val="00585E29"/>
    <w:rsid w:val="0058681A"/>
    <w:rsid w:val="005879D3"/>
    <w:rsid w:val="0059313C"/>
    <w:rsid w:val="00593432"/>
    <w:rsid w:val="00596401"/>
    <w:rsid w:val="00597CEC"/>
    <w:rsid w:val="005A065B"/>
    <w:rsid w:val="005A1109"/>
    <w:rsid w:val="005A2187"/>
    <w:rsid w:val="005A3263"/>
    <w:rsid w:val="005A52FB"/>
    <w:rsid w:val="005B4378"/>
    <w:rsid w:val="005B45CB"/>
    <w:rsid w:val="005C43A4"/>
    <w:rsid w:val="005C6233"/>
    <w:rsid w:val="005D744E"/>
    <w:rsid w:val="005E1C54"/>
    <w:rsid w:val="005E44F4"/>
    <w:rsid w:val="005F0315"/>
    <w:rsid w:val="005F161C"/>
    <w:rsid w:val="005F21D5"/>
    <w:rsid w:val="005F3341"/>
    <w:rsid w:val="005F3C3F"/>
    <w:rsid w:val="00602E75"/>
    <w:rsid w:val="00605770"/>
    <w:rsid w:val="00611EB9"/>
    <w:rsid w:val="00616B00"/>
    <w:rsid w:val="00616BBE"/>
    <w:rsid w:val="006203CC"/>
    <w:rsid w:val="006300F3"/>
    <w:rsid w:val="00631A91"/>
    <w:rsid w:val="00633078"/>
    <w:rsid w:val="00635ADE"/>
    <w:rsid w:val="00635BB0"/>
    <w:rsid w:val="0063606C"/>
    <w:rsid w:val="006438E9"/>
    <w:rsid w:val="00645830"/>
    <w:rsid w:val="00646047"/>
    <w:rsid w:val="00646285"/>
    <w:rsid w:val="006464D9"/>
    <w:rsid w:val="006471CD"/>
    <w:rsid w:val="00647637"/>
    <w:rsid w:val="00652500"/>
    <w:rsid w:val="0066166D"/>
    <w:rsid w:val="00662777"/>
    <w:rsid w:val="0066292E"/>
    <w:rsid w:val="00667454"/>
    <w:rsid w:val="0066791C"/>
    <w:rsid w:val="00671096"/>
    <w:rsid w:val="00677BB5"/>
    <w:rsid w:val="00680389"/>
    <w:rsid w:val="00682911"/>
    <w:rsid w:val="0068402E"/>
    <w:rsid w:val="0068532B"/>
    <w:rsid w:val="00693525"/>
    <w:rsid w:val="00693C89"/>
    <w:rsid w:val="00695406"/>
    <w:rsid w:val="006958CB"/>
    <w:rsid w:val="006A09BC"/>
    <w:rsid w:val="006A2BA5"/>
    <w:rsid w:val="006A3407"/>
    <w:rsid w:val="006A3E8F"/>
    <w:rsid w:val="006A47A2"/>
    <w:rsid w:val="006A699A"/>
    <w:rsid w:val="006A703F"/>
    <w:rsid w:val="006A70F7"/>
    <w:rsid w:val="006B09ED"/>
    <w:rsid w:val="006B0F6A"/>
    <w:rsid w:val="006B3500"/>
    <w:rsid w:val="006B46C9"/>
    <w:rsid w:val="006B76DC"/>
    <w:rsid w:val="006C63C0"/>
    <w:rsid w:val="006C6A5C"/>
    <w:rsid w:val="006D0349"/>
    <w:rsid w:val="006D0B33"/>
    <w:rsid w:val="006D1C07"/>
    <w:rsid w:val="006D3051"/>
    <w:rsid w:val="006D325B"/>
    <w:rsid w:val="006D4018"/>
    <w:rsid w:val="006D72E5"/>
    <w:rsid w:val="006D759C"/>
    <w:rsid w:val="006D7839"/>
    <w:rsid w:val="006D79EF"/>
    <w:rsid w:val="006E4948"/>
    <w:rsid w:val="006E4ECF"/>
    <w:rsid w:val="006E64D3"/>
    <w:rsid w:val="006F1328"/>
    <w:rsid w:val="006F48AB"/>
    <w:rsid w:val="006F4CD6"/>
    <w:rsid w:val="006F5F24"/>
    <w:rsid w:val="006F5F34"/>
    <w:rsid w:val="006F6138"/>
    <w:rsid w:val="006F69A6"/>
    <w:rsid w:val="00703F48"/>
    <w:rsid w:val="00704422"/>
    <w:rsid w:val="007208C9"/>
    <w:rsid w:val="00720B03"/>
    <w:rsid w:val="00721676"/>
    <w:rsid w:val="00730C83"/>
    <w:rsid w:val="00734200"/>
    <w:rsid w:val="00735FC7"/>
    <w:rsid w:val="00736012"/>
    <w:rsid w:val="00737FAE"/>
    <w:rsid w:val="00744ABE"/>
    <w:rsid w:val="00746A92"/>
    <w:rsid w:val="00746EDF"/>
    <w:rsid w:val="007475CA"/>
    <w:rsid w:val="007500D0"/>
    <w:rsid w:val="0075059C"/>
    <w:rsid w:val="00751527"/>
    <w:rsid w:val="0075572B"/>
    <w:rsid w:val="007576AD"/>
    <w:rsid w:val="00763768"/>
    <w:rsid w:val="0076536E"/>
    <w:rsid w:val="00766CAB"/>
    <w:rsid w:val="00767492"/>
    <w:rsid w:val="00774512"/>
    <w:rsid w:val="00777B4A"/>
    <w:rsid w:val="00780814"/>
    <w:rsid w:val="00781B67"/>
    <w:rsid w:val="00782AE6"/>
    <w:rsid w:val="00785B8B"/>
    <w:rsid w:val="00790A9D"/>
    <w:rsid w:val="007910C2"/>
    <w:rsid w:val="0079174F"/>
    <w:rsid w:val="00791B69"/>
    <w:rsid w:val="00792D5C"/>
    <w:rsid w:val="00793120"/>
    <w:rsid w:val="007A2970"/>
    <w:rsid w:val="007A3C1A"/>
    <w:rsid w:val="007A416E"/>
    <w:rsid w:val="007A44B7"/>
    <w:rsid w:val="007A4AAB"/>
    <w:rsid w:val="007A4BAF"/>
    <w:rsid w:val="007A4D1F"/>
    <w:rsid w:val="007A5A89"/>
    <w:rsid w:val="007A6C96"/>
    <w:rsid w:val="007A7766"/>
    <w:rsid w:val="007B0D39"/>
    <w:rsid w:val="007B329E"/>
    <w:rsid w:val="007B3AE4"/>
    <w:rsid w:val="007B4921"/>
    <w:rsid w:val="007B71F9"/>
    <w:rsid w:val="007B7553"/>
    <w:rsid w:val="007C020B"/>
    <w:rsid w:val="007C2805"/>
    <w:rsid w:val="007C38F2"/>
    <w:rsid w:val="007C4AD4"/>
    <w:rsid w:val="007C71E6"/>
    <w:rsid w:val="007C766F"/>
    <w:rsid w:val="007C7EA5"/>
    <w:rsid w:val="007D1C61"/>
    <w:rsid w:val="007D269D"/>
    <w:rsid w:val="007D30C4"/>
    <w:rsid w:val="007D538C"/>
    <w:rsid w:val="007D5AEA"/>
    <w:rsid w:val="007D60C5"/>
    <w:rsid w:val="007D6A85"/>
    <w:rsid w:val="007D6BB0"/>
    <w:rsid w:val="007E4DCC"/>
    <w:rsid w:val="007F02D4"/>
    <w:rsid w:val="007F1A32"/>
    <w:rsid w:val="007F281A"/>
    <w:rsid w:val="007F36AD"/>
    <w:rsid w:val="007F4500"/>
    <w:rsid w:val="007F64AB"/>
    <w:rsid w:val="007F7939"/>
    <w:rsid w:val="00800DFB"/>
    <w:rsid w:val="008028BD"/>
    <w:rsid w:val="008056E8"/>
    <w:rsid w:val="00806A9B"/>
    <w:rsid w:val="00807F4A"/>
    <w:rsid w:val="0081222C"/>
    <w:rsid w:val="008155C0"/>
    <w:rsid w:val="00815990"/>
    <w:rsid w:val="00815D33"/>
    <w:rsid w:val="008174B9"/>
    <w:rsid w:val="00821573"/>
    <w:rsid w:val="0082379F"/>
    <w:rsid w:val="0082422C"/>
    <w:rsid w:val="00824FB1"/>
    <w:rsid w:val="008263C6"/>
    <w:rsid w:val="0082724F"/>
    <w:rsid w:val="00835FBD"/>
    <w:rsid w:val="00840F36"/>
    <w:rsid w:val="008419EF"/>
    <w:rsid w:val="00843A6F"/>
    <w:rsid w:val="008477E0"/>
    <w:rsid w:val="00852034"/>
    <w:rsid w:val="00852186"/>
    <w:rsid w:val="008530AE"/>
    <w:rsid w:val="00853623"/>
    <w:rsid w:val="00855CA4"/>
    <w:rsid w:val="008567FC"/>
    <w:rsid w:val="008568E1"/>
    <w:rsid w:val="00860F4B"/>
    <w:rsid w:val="008661AA"/>
    <w:rsid w:val="00867986"/>
    <w:rsid w:val="0087110B"/>
    <w:rsid w:val="008717C2"/>
    <w:rsid w:val="00871853"/>
    <w:rsid w:val="0087328A"/>
    <w:rsid w:val="00877FCA"/>
    <w:rsid w:val="00881C94"/>
    <w:rsid w:val="00884602"/>
    <w:rsid w:val="008846B5"/>
    <w:rsid w:val="00885F6F"/>
    <w:rsid w:val="00886B76"/>
    <w:rsid w:val="00887D25"/>
    <w:rsid w:val="008912F7"/>
    <w:rsid w:val="008955EC"/>
    <w:rsid w:val="008971C0"/>
    <w:rsid w:val="008979FF"/>
    <w:rsid w:val="008A1801"/>
    <w:rsid w:val="008A4417"/>
    <w:rsid w:val="008A580B"/>
    <w:rsid w:val="008A79DC"/>
    <w:rsid w:val="008B2592"/>
    <w:rsid w:val="008B567A"/>
    <w:rsid w:val="008B5A52"/>
    <w:rsid w:val="008B5A67"/>
    <w:rsid w:val="008B5DFE"/>
    <w:rsid w:val="008B7009"/>
    <w:rsid w:val="008C1020"/>
    <w:rsid w:val="008C2569"/>
    <w:rsid w:val="008C3254"/>
    <w:rsid w:val="008C3336"/>
    <w:rsid w:val="008C76AB"/>
    <w:rsid w:val="008C784B"/>
    <w:rsid w:val="008D093B"/>
    <w:rsid w:val="008D09CC"/>
    <w:rsid w:val="008D26FF"/>
    <w:rsid w:val="008D3337"/>
    <w:rsid w:val="008D5EC7"/>
    <w:rsid w:val="008D6168"/>
    <w:rsid w:val="008D7561"/>
    <w:rsid w:val="008E0B7C"/>
    <w:rsid w:val="008E1256"/>
    <w:rsid w:val="008E1576"/>
    <w:rsid w:val="008E3028"/>
    <w:rsid w:val="008E3FE4"/>
    <w:rsid w:val="008E4C75"/>
    <w:rsid w:val="008F1297"/>
    <w:rsid w:val="008F31A4"/>
    <w:rsid w:val="008F4901"/>
    <w:rsid w:val="008F4C62"/>
    <w:rsid w:val="008F5471"/>
    <w:rsid w:val="008F7D06"/>
    <w:rsid w:val="00900BD2"/>
    <w:rsid w:val="00901958"/>
    <w:rsid w:val="0090232A"/>
    <w:rsid w:val="009023BA"/>
    <w:rsid w:val="00905E42"/>
    <w:rsid w:val="009064AC"/>
    <w:rsid w:val="00911D1C"/>
    <w:rsid w:val="0091272F"/>
    <w:rsid w:val="00913B34"/>
    <w:rsid w:val="00914A58"/>
    <w:rsid w:val="0091589E"/>
    <w:rsid w:val="0091799E"/>
    <w:rsid w:val="00920321"/>
    <w:rsid w:val="0092194B"/>
    <w:rsid w:val="00922439"/>
    <w:rsid w:val="00923BA8"/>
    <w:rsid w:val="00926EF4"/>
    <w:rsid w:val="009278C1"/>
    <w:rsid w:val="00930FFB"/>
    <w:rsid w:val="00931282"/>
    <w:rsid w:val="009347D8"/>
    <w:rsid w:val="00935271"/>
    <w:rsid w:val="00935CDF"/>
    <w:rsid w:val="00935E93"/>
    <w:rsid w:val="00937747"/>
    <w:rsid w:val="00940BDB"/>
    <w:rsid w:val="00941F0C"/>
    <w:rsid w:val="00944B9F"/>
    <w:rsid w:val="0094554B"/>
    <w:rsid w:val="00946DF6"/>
    <w:rsid w:val="00947FBE"/>
    <w:rsid w:val="009515C8"/>
    <w:rsid w:val="00952188"/>
    <w:rsid w:val="0095276E"/>
    <w:rsid w:val="00957377"/>
    <w:rsid w:val="00961E13"/>
    <w:rsid w:val="00962CAC"/>
    <w:rsid w:val="00964C60"/>
    <w:rsid w:val="009660FA"/>
    <w:rsid w:val="009671B2"/>
    <w:rsid w:val="0097005E"/>
    <w:rsid w:val="00970CDC"/>
    <w:rsid w:val="00977A99"/>
    <w:rsid w:val="00980696"/>
    <w:rsid w:val="00985DA9"/>
    <w:rsid w:val="00986338"/>
    <w:rsid w:val="00986D64"/>
    <w:rsid w:val="00986E02"/>
    <w:rsid w:val="00986F2C"/>
    <w:rsid w:val="00987364"/>
    <w:rsid w:val="009900A6"/>
    <w:rsid w:val="00994929"/>
    <w:rsid w:val="009955EE"/>
    <w:rsid w:val="00995825"/>
    <w:rsid w:val="00997133"/>
    <w:rsid w:val="009A2ABC"/>
    <w:rsid w:val="009A337E"/>
    <w:rsid w:val="009A3647"/>
    <w:rsid w:val="009A6774"/>
    <w:rsid w:val="009A6FBA"/>
    <w:rsid w:val="009A70AD"/>
    <w:rsid w:val="009B4406"/>
    <w:rsid w:val="009B4DA0"/>
    <w:rsid w:val="009B4DBB"/>
    <w:rsid w:val="009B797A"/>
    <w:rsid w:val="009C1B0A"/>
    <w:rsid w:val="009C2316"/>
    <w:rsid w:val="009C2616"/>
    <w:rsid w:val="009C2773"/>
    <w:rsid w:val="009C55B4"/>
    <w:rsid w:val="009C5DF8"/>
    <w:rsid w:val="009D0897"/>
    <w:rsid w:val="009D4963"/>
    <w:rsid w:val="009D4C48"/>
    <w:rsid w:val="009D565F"/>
    <w:rsid w:val="009D6B71"/>
    <w:rsid w:val="009D720D"/>
    <w:rsid w:val="009D778C"/>
    <w:rsid w:val="009E247E"/>
    <w:rsid w:val="009E42BF"/>
    <w:rsid w:val="009E63A3"/>
    <w:rsid w:val="009F0B48"/>
    <w:rsid w:val="009F12F3"/>
    <w:rsid w:val="009F205D"/>
    <w:rsid w:val="009F5A4A"/>
    <w:rsid w:val="009F5F30"/>
    <w:rsid w:val="009F7B28"/>
    <w:rsid w:val="00A0643B"/>
    <w:rsid w:val="00A115EF"/>
    <w:rsid w:val="00A11632"/>
    <w:rsid w:val="00A11B35"/>
    <w:rsid w:val="00A129F2"/>
    <w:rsid w:val="00A1435E"/>
    <w:rsid w:val="00A147B9"/>
    <w:rsid w:val="00A16288"/>
    <w:rsid w:val="00A16D83"/>
    <w:rsid w:val="00A17DD9"/>
    <w:rsid w:val="00A26A01"/>
    <w:rsid w:val="00A27697"/>
    <w:rsid w:val="00A305FA"/>
    <w:rsid w:val="00A34612"/>
    <w:rsid w:val="00A3758B"/>
    <w:rsid w:val="00A402AB"/>
    <w:rsid w:val="00A4039F"/>
    <w:rsid w:val="00A41273"/>
    <w:rsid w:val="00A42B7D"/>
    <w:rsid w:val="00A441CE"/>
    <w:rsid w:val="00A4446F"/>
    <w:rsid w:val="00A44B00"/>
    <w:rsid w:val="00A46921"/>
    <w:rsid w:val="00A47247"/>
    <w:rsid w:val="00A47BB9"/>
    <w:rsid w:val="00A47E9C"/>
    <w:rsid w:val="00A62DA5"/>
    <w:rsid w:val="00A66DDE"/>
    <w:rsid w:val="00A6704B"/>
    <w:rsid w:val="00A70278"/>
    <w:rsid w:val="00A70AF6"/>
    <w:rsid w:val="00A72E86"/>
    <w:rsid w:val="00A76A32"/>
    <w:rsid w:val="00A81548"/>
    <w:rsid w:val="00A85C8A"/>
    <w:rsid w:val="00A86BCF"/>
    <w:rsid w:val="00A879BB"/>
    <w:rsid w:val="00A90453"/>
    <w:rsid w:val="00A9133C"/>
    <w:rsid w:val="00A924D5"/>
    <w:rsid w:val="00A934AD"/>
    <w:rsid w:val="00A93668"/>
    <w:rsid w:val="00A939B0"/>
    <w:rsid w:val="00A95A5F"/>
    <w:rsid w:val="00A95EBC"/>
    <w:rsid w:val="00A96AB2"/>
    <w:rsid w:val="00A96AFB"/>
    <w:rsid w:val="00A97363"/>
    <w:rsid w:val="00A97834"/>
    <w:rsid w:val="00AA29E1"/>
    <w:rsid w:val="00AA4C17"/>
    <w:rsid w:val="00AA62C2"/>
    <w:rsid w:val="00AA654D"/>
    <w:rsid w:val="00AA6913"/>
    <w:rsid w:val="00AA7792"/>
    <w:rsid w:val="00AB00A2"/>
    <w:rsid w:val="00AB4E5F"/>
    <w:rsid w:val="00AB5028"/>
    <w:rsid w:val="00AB5285"/>
    <w:rsid w:val="00AB5647"/>
    <w:rsid w:val="00AB795C"/>
    <w:rsid w:val="00AB7E8A"/>
    <w:rsid w:val="00AC4B67"/>
    <w:rsid w:val="00AC6B62"/>
    <w:rsid w:val="00AD19F8"/>
    <w:rsid w:val="00AD1A1F"/>
    <w:rsid w:val="00AD32CA"/>
    <w:rsid w:val="00AD5722"/>
    <w:rsid w:val="00AD7C27"/>
    <w:rsid w:val="00AE014D"/>
    <w:rsid w:val="00AE2978"/>
    <w:rsid w:val="00AE2E2E"/>
    <w:rsid w:val="00AE370C"/>
    <w:rsid w:val="00AE3A20"/>
    <w:rsid w:val="00AE50DE"/>
    <w:rsid w:val="00AE770C"/>
    <w:rsid w:val="00AF15D9"/>
    <w:rsid w:val="00AF49E3"/>
    <w:rsid w:val="00AF536C"/>
    <w:rsid w:val="00AF73AD"/>
    <w:rsid w:val="00B00983"/>
    <w:rsid w:val="00B00D6C"/>
    <w:rsid w:val="00B01021"/>
    <w:rsid w:val="00B03841"/>
    <w:rsid w:val="00B047E8"/>
    <w:rsid w:val="00B049F4"/>
    <w:rsid w:val="00B07139"/>
    <w:rsid w:val="00B07389"/>
    <w:rsid w:val="00B0757D"/>
    <w:rsid w:val="00B07680"/>
    <w:rsid w:val="00B1044E"/>
    <w:rsid w:val="00B12E76"/>
    <w:rsid w:val="00B13B37"/>
    <w:rsid w:val="00B17572"/>
    <w:rsid w:val="00B21D49"/>
    <w:rsid w:val="00B21E46"/>
    <w:rsid w:val="00B2323E"/>
    <w:rsid w:val="00B237DA"/>
    <w:rsid w:val="00B24950"/>
    <w:rsid w:val="00B262A2"/>
    <w:rsid w:val="00B26801"/>
    <w:rsid w:val="00B27899"/>
    <w:rsid w:val="00B30733"/>
    <w:rsid w:val="00B30A16"/>
    <w:rsid w:val="00B366E3"/>
    <w:rsid w:val="00B36BCB"/>
    <w:rsid w:val="00B41752"/>
    <w:rsid w:val="00B430A8"/>
    <w:rsid w:val="00B51286"/>
    <w:rsid w:val="00B52462"/>
    <w:rsid w:val="00B5252E"/>
    <w:rsid w:val="00B577F0"/>
    <w:rsid w:val="00B601AB"/>
    <w:rsid w:val="00B61A60"/>
    <w:rsid w:val="00B64167"/>
    <w:rsid w:val="00B641C0"/>
    <w:rsid w:val="00B65190"/>
    <w:rsid w:val="00B6549B"/>
    <w:rsid w:val="00B71102"/>
    <w:rsid w:val="00B732C6"/>
    <w:rsid w:val="00B74B3A"/>
    <w:rsid w:val="00B75BFC"/>
    <w:rsid w:val="00B77835"/>
    <w:rsid w:val="00B80639"/>
    <w:rsid w:val="00B811DC"/>
    <w:rsid w:val="00B82548"/>
    <w:rsid w:val="00B82815"/>
    <w:rsid w:val="00B82B62"/>
    <w:rsid w:val="00B82FD0"/>
    <w:rsid w:val="00B8491E"/>
    <w:rsid w:val="00B87CAE"/>
    <w:rsid w:val="00B9092F"/>
    <w:rsid w:val="00B929A3"/>
    <w:rsid w:val="00B96C35"/>
    <w:rsid w:val="00BA0F3C"/>
    <w:rsid w:val="00BA6C82"/>
    <w:rsid w:val="00BB012F"/>
    <w:rsid w:val="00BB3667"/>
    <w:rsid w:val="00BB3C33"/>
    <w:rsid w:val="00BB512E"/>
    <w:rsid w:val="00BB6BB4"/>
    <w:rsid w:val="00BC1173"/>
    <w:rsid w:val="00BC2BFA"/>
    <w:rsid w:val="00BC2EB7"/>
    <w:rsid w:val="00BC3A7F"/>
    <w:rsid w:val="00BC4171"/>
    <w:rsid w:val="00BC6041"/>
    <w:rsid w:val="00BC7C6C"/>
    <w:rsid w:val="00BD1929"/>
    <w:rsid w:val="00BE42AF"/>
    <w:rsid w:val="00BE7B00"/>
    <w:rsid w:val="00C014A7"/>
    <w:rsid w:val="00C122F2"/>
    <w:rsid w:val="00C1372A"/>
    <w:rsid w:val="00C177E4"/>
    <w:rsid w:val="00C17C3E"/>
    <w:rsid w:val="00C20D08"/>
    <w:rsid w:val="00C27029"/>
    <w:rsid w:val="00C27213"/>
    <w:rsid w:val="00C2798D"/>
    <w:rsid w:val="00C31381"/>
    <w:rsid w:val="00C31940"/>
    <w:rsid w:val="00C3335F"/>
    <w:rsid w:val="00C37947"/>
    <w:rsid w:val="00C42246"/>
    <w:rsid w:val="00C42DCD"/>
    <w:rsid w:val="00C436B3"/>
    <w:rsid w:val="00C4726D"/>
    <w:rsid w:val="00C477E8"/>
    <w:rsid w:val="00C55697"/>
    <w:rsid w:val="00C63435"/>
    <w:rsid w:val="00C65A6B"/>
    <w:rsid w:val="00C673E5"/>
    <w:rsid w:val="00C705E7"/>
    <w:rsid w:val="00C752E9"/>
    <w:rsid w:val="00C75CB9"/>
    <w:rsid w:val="00C8065E"/>
    <w:rsid w:val="00C81922"/>
    <w:rsid w:val="00C8227F"/>
    <w:rsid w:val="00C84A83"/>
    <w:rsid w:val="00C8545E"/>
    <w:rsid w:val="00C85AE7"/>
    <w:rsid w:val="00C86947"/>
    <w:rsid w:val="00C879B7"/>
    <w:rsid w:val="00C90343"/>
    <w:rsid w:val="00C903F2"/>
    <w:rsid w:val="00C93BD5"/>
    <w:rsid w:val="00C941CF"/>
    <w:rsid w:val="00C95702"/>
    <w:rsid w:val="00C962FE"/>
    <w:rsid w:val="00CA1714"/>
    <w:rsid w:val="00CA2B0C"/>
    <w:rsid w:val="00CA5B06"/>
    <w:rsid w:val="00CA62F3"/>
    <w:rsid w:val="00CB1251"/>
    <w:rsid w:val="00CB44A4"/>
    <w:rsid w:val="00CB46A0"/>
    <w:rsid w:val="00CB5623"/>
    <w:rsid w:val="00CB6ECF"/>
    <w:rsid w:val="00CC3F31"/>
    <w:rsid w:val="00CC469E"/>
    <w:rsid w:val="00CC71C7"/>
    <w:rsid w:val="00CC7BD0"/>
    <w:rsid w:val="00CC7C74"/>
    <w:rsid w:val="00CD2950"/>
    <w:rsid w:val="00CD565C"/>
    <w:rsid w:val="00CD5A39"/>
    <w:rsid w:val="00CE0EB5"/>
    <w:rsid w:val="00CE24F0"/>
    <w:rsid w:val="00CE2A76"/>
    <w:rsid w:val="00CE36CF"/>
    <w:rsid w:val="00CE5AAC"/>
    <w:rsid w:val="00CF0683"/>
    <w:rsid w:val="00CF293E"/>
    <w:rsid w:val="00CF475A"/>
    <w:rsid w:val="00D010A4"/>
    <w:rsid w:val="00D039F0"/>
    <w:rsid w:val="00D03C4A"/>
    <w:rsid w:val="00D06AB5"/>
    <w:rsid w:val="00D117FB"/>
    <w:rsid w:val="00D11C31"/>
    <w:rsid w:val="00D13981"/>
    <w:rsid w:val="00D13CA1"/>
    <w:rsid w:val="00D14A11"/>
    <w:rsid w:val="00D16A0C"/>
    <w:rsid w:val="00D224F1"/>
    <w:rsid w:val="00D24CD8"/>
    <w:rsid w:val="00D25786"/>
    <w:rsid w:val="00D26457"/>
    <w:rsid w:val="00D270B3"/>
    <w:rsid w:val="00D30FE9"/>
    <w:rsid w:val="00D325AF"/>
    <w:rsid w:val="00D36EDF"/>
    <w:rsid w:val="00D376DD"/>
    <w:rsid w:val="00D37CA8"/>
    <w:rsid w:val="00D41431"/>
    <w:rsid w:val="00D472B7"/>
    <w:rsid w:val="00D47B6C"/>
    <w:rsid w:val="00D506A4"/>
    <w:rsid w:val="00D506AF"/>
    <w:rsid w:val="00D51FA5"/>
    <w:rsid w:val="00D5253D"/>
    <w:rsid w:val="00D54F05"/>
    <w:rsid w:val="00D56EC7"/>
    <w:rsid w:val="00D57121"/>
    <w:rsid w:val="00D57A8C"/>
    <w:rsid w:val="00D57AF4"/>
    <w:rsid w:val="00D61654"/>
    <w:rsid w:val="00D617A1"/>
    <w:rsid w:val="00D619D7"/>
    <w:rsid w:val="00D635C0"/>
    <w:rsid w:val="00D738D3"/>
    <w:rsid w:val="00D773BA"/>
    <w:rsid w:val="00D835C3"/>
    <w:rsid w:val="00D855A5"/>
    <w:rsid w:val="00D85BE3"/>
    <w:rsid w:val="00D86A9E"/>
    <w:rsid w:val="00D876C9"/>
    <w:rsid w:val="00D9059A"/>
    <w:rsid w:val="00D93082"/>
    <w:rsid w:val="00D95D08"/>
    <w:rsid w:val="00D964E8"/>
    <w:rsid w:val="00D96EDE"/>
    <w:rsid w:val="00D971C4"/>
    <w:rsid w:val="00DA09C8"/>
    <w:rsid w:val="00DA12F2"/>
    <w:rsid w:val="00DA281A"/>
    <w:rsid w:val="00DA47A0"/>
    <w:rsid w:val="00DA4AFD"/>
    <w:rsid w:val="00DA6E5C"/>
    <w:rsid w:val="00DB4B8A"/>
    <w:rsid w:val="00DB5DEC"/>
    <w:rsid w:val="00DC1210"/>
    <w:rsid w:val="00DC1582"/>
    <w:rsid w:val="00DC207C"/>
    <w:rsid w:val="00DC4539"/>
    <w:rsid w:val="00DC53B9"/>
    <w:rsid w:val="00DC6B05"/>
    <w:rsid w:val="00DC7DEF"/>
    <w:rsid w:val="00DD02B6"/>
    <w:rsid w:val="00DD172B"/>
    <w:rsid w:val="00DD2F18"/>
    <w:rsid w:val="00DD71B7"/>
    <w:rsid w:val="00DD73C6"/>
    <w:rsid w:val="00DD79B9"/>
    <w:rsid w:val="00DE0741"/>
    <w:rsid w:val="00DE0853"/>
    <w:rsid w:val="00DE0FB0"/>
    <w:rsid w:val="00DE19B9"/>
    <w:rsid w:val="00DE3002"/>
    <w:rsid w:val="00DE6A8E"/>
    <w:rsid w:val="00DE7C5C"/>
    <w:rsid w:val="00DF3DCA"/>
    <w:rsid w:val="00DF44B6"/>
    <w:rsid w:val="00DF44D1"/>
    <w:rsid w:val="00DF52BA"/>
    <w:rsid w:val="00DF7693"/>
    <w:rsid w:val="00DF7F04"/>
    <w:rsid w:val="00E02178"/>
    <w:rsid w:val="00E03385"/>
    <w:rsid w:val="00E04797"/>
    <w:rsid w:val="00E123D3"/>
    <w:rsid w:val="00E12BD7"/>
    <w:rsid w:val="00E14DF8"/>
    <w:rsid w:val="00E164E7"/>
    <w:rsid w:val="00E172A3"/>
    <w:rsid w:val="00E17E63"/>
    <w:rsid w:val="00E20D10"/>
    <w:rsid w:val="00E218E1"/>
    <w:rsid w:val="00E31D1B"/>
    <w:rsid w:val="00E31F38"/>
    <w:rsid w:val="00E32210"/>
    <w:rsid w:val="00E32B0E"/>
    <w:rsid w:val="00E33FD0"/>
    <w:rsid w:val="00E345D2"/>
    <w:rsid w:val="00E37101"/>
    <w:rsid w:val="00E3786D"/>
    <w:rsid w:val="00E4073B"/>
    <w:rsid w:val="00E40BFB"/>
    <w:rsid w:val="00E40FBF"/>
    <w:rsid w:val="00E436DC"/>
    <w:rsid w:val="00E4615F"/>
    <w:rsid w:val="00E53312"/>
    <w:rsid w:val="00E54E1C"/>
    <w:rsid w:val="00E553C0"/>
    <w:rsid w:val="00E562E8"/>
    <w:rsid w:val="00E56C24"/>
    <w:rsid w:val="00E57956"/>
    <w:rsid w:val="00E57BC4"/>
    <w:rsid w:val="00E60137"/>
    <w:rsid w:val="00E60A1A"/>
    <w:rsid w:val="00E61E87"/>
    <w:rsid w:val="00E62938"/>
    <w:rsid w:val="00E62F44"/>
    <w:rsid w:val="00E635A1"/>
    <w:rsid w:val="00E63E27"/>
    <w:rsid w:val="00E63F9F"/>
    <w:rsid w:val="00E6401E"/>
    <w:rsid w:val="00E66CC6"/>
    <w:rsid w:val="00E67746"/>
    <w:rsid w:val="00E67ED9"/>
    <w:rsid w:val="00E67FB2"/>
    <w:rsid w:val="00E7101D"/>
    <w:rsid w:val="00E7132A"/>
    <w:rsid w:val="00E7138A"/>
    <w:rsid w:val="00E71612"/>
    <w:rsid w:val="00E727B2"/>
    <w:rsid w:val="00E72EA8"/>
    <w:rsid w:val="00E73B42"/>
    <w:rsid w:val="00E754D8"/>
    <w:rsid w:val="00E756E6"/>
    <w:rsid w:val="00E7692A"/>
    <w:rsid w:val="00E77DFD"/>
    <w:rsid w:val="00E80362"/>
    <w:rsid w:val="00E8347C"/>
    <w:rsid w:val="00E8743C"/>
    <w:rsid w:val="00E903BB"/>
    <w:rsid w:val="00E91DE2"/>
    <w:rsid w:val="00E926A8"/>
    <w:rsid w:val="00E92707"/>
    <w:rsid w:val="00E94B1B"/>
    <w:rsid w:val="00E95FF4"/>
    <w:rsid w:val="00E9627B"/>
    <w:rsid w:val="00E97D27"/>
    <w:rsid w:val="00EA575B"/>
    <w:rsid w:val="00EA5819"/>
    <w:rsid w:val="00EA6D51"/>
    <w:rsid w:val="00EB3A44"/>
    <w:rsid w:val="00EB513A"/>
    <w:rsid w:val="00EB6480"/>
    <w:rsid w:val="00EB720B"/>
    <w:rsid w:val="00EC35D3"/>
    <w:rsid w:val="00EC3BCC"/>
    <w:rsid w:val="00EC3F0B"/>
    <w:rsid w:val="00EC5C51"/>
    <w:rsid w:val="00EC7459"/>
    <w:rsid w:val="00ED02CC"/>
    <w:rsid w:val="00ED1CC8"/>
    <w:rsid w:val="00ED24A3"/>
    <w:rsid w:val="00ED4E3B"/>
    <w:rsid w:val="00ED58AF"/>
    <w:rsid w:val="00EE59F5"/>
    <w:rsid w:val="00EF0CB3"/>
    <w:rsid w:val="00EF12F7"/>
    <w:rsid w:val="00EF5062"/>
    <w:rsid w:val="00EF514C"/>
    <w:rsid w:val="00EF5179"/>
    <w:rsid w:val="00EF58CD"/>
    <w:rsid w:val="00EF65D3"/>
    <w:rsid w:val="00F010F0"/>
    <w:rsid w:val="00F0281C"/>
    <w:rsid w:val="00F0499D"/>
    <w:rsid w:val="00F0510F"/>
    <w:rsid w:val="00F06475"/>
    <w:rsid w:val="00F06B8F"/>
    <w:rsid w:val="00F07842"/>
    <w:rsid w:val="00F108AD"/>
    <w:rsid w:val="00F10DAC"/>
    <w:rsid w:val="00F1102B"/>
    <w:rsid w:val="00F11390"/>
    <w:rsid w:val="00F13ED3"/>
    <w:rsid w:val="00F16DFA"/>
    <w:rsid w:val="00F20A77"/>
    <w:rsid w:val="00F20F5B"/>
    <w:rsid w:val="00F23335"/>
    <w:rsid w:val="00F26963"/>
    <w:rsid w:val="00F272F3"/>
    <w:rsid w:val="00F30B99"/>
    <w:rsid w:val="00F37C30"/>
    <w:rsid w:val="00F41710"/>
    <w:rsid w:val="00F41880"/>
    <w:rsid w:val="00F42065"/>
    <w:rsid w:val="00F45923"/>
    <w:rsid w:val="00F5317D"/>
    <w:rsid w:val="00F54320"/>
    <w:rsid w:val="00F54D73"/>
    <w:rsid w:val="00F5548F"/>
    <w:rsid w:val="00F55706"/>
    <w:rsid w:val="00F56CD8"/>
    <w:rsid w:val="00F57CCD"/>
    <w:rsid w:val="00F6003A"/>
    <w:rsid w:val="00F6004E"/>
    <w:rsid w:val="00F6016E"/>
    <w:rsid w:val="00F62B54"/>
    <w:rsid w:val="00F63D3D"/>
    <w:rsid w:val="00F67A84"/>
    <w:rsid w:val="00F701C3"/>
    <w:rsid w:val="00F7157A"/>
    <w:rsid w:val="00F73E6F"/>
    <w:rsid w:val="00F77C70"/>
    <w:rsid w:val="00F8195C"/>
    <w:rsid w:val="00F81B0C"/>
    <w:rsid w:val="00F81C64"/>
    <w:rsid w:val="00F82836"/>
    <w:rsid w:val="00F83265"/>
    <w:rsid w:val="00F84202"/>
    <w:rsid w:val="00F85750"/>
    <w:rsid w:val="00F85E8C"/>
    <w:rsid w:val="00F8713C"/>
    <w:rsid w:val="00F903A0"/>
    <w:rsid w:val="00F9065D"/>
    <w:rsid w:val="00F97DAF"/>
    <w:rsid w:val="00FA1B4B"/>
    <w:rsid w:val="00FA2D3A"/>
    <w:rsid w:val="00FA3812"/>
    <w:rsid w:val="00FA6679"/>
    <w:rsid w:val="00FB0B38"/>
    <w:rsid w:val="00FB3420"/>
    <w:rsid w:val="00FB39A5"/>
    <w:rsid w:val="00FB3A42"/>
    <w:rsid w:val="00FB5A97"/>
    <w:rsid w:val="00FC16C2"/>
    <w:rsid w:val="00FC1F85"/>
    <w:rsid w:val="00FC228B"/>
    <w:rsid w:val="00FC3092"/>
    <w:rsid w:val="00FC3222"/>
    <w:rsid w:val="00FC32DD"/>
    <w:rsid w:val="00FC39B4"/>
    <w:rsid w:val="00FC3C14"/>
    <w:rsid w:val="00FC7D5E"/>
    <w:rsid w:val="00FD4ACA"/>
    <w:rsid w:val="00FD51B3"/>
    <w:rsid w:val="00FD70B8"/>
    <w:rsid w:val="00FE2C35"/>
    <w:rsid w:val="00FE2D95"/>
    <w:rsid w:val="00FE3339"/>
    <w:rsid w:val="00FE394F"/>
    <w:rsid w:val="00FE61DD"/>
    <w:rsid w:val="00FE7D59"/>
    <w:rsid w:val="00FF0264"/>
    <w:rsid w:val="00FF0AD3"/>
    <w:rsid w:val="00FF0B12"/>
    <w:rsid w:val="00FF10B2"/>
    <w:rsid w:val="00FF112C"/>
    <w:rsid w:val="00FF2329"/>
    <w:rsid w:val="00FF248D"/>
    <w:rsid w:val="00FF2601"/>
    <w:rsid w:val="0ADB3691"/>
    <w:rsid w:val="13DB3374"/>
    <w:rsid w:val="2499689C"/>
    <w:rsid w:val="25D04D7D"/>
    <w:rsid w:val="2A5764C5"/>
    <w:rsid w:val="2B884161"/>
    <w:rsid w:val="59EC7E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16CB1D8A"/>
  <w14:defaultImageDpi w14:val="32767"/>
  <w15:docId w15:val="{D3855773-A0A2-4E53-9EF4-9DA73AFAC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qFormat="1"/>
    <w:lsdException w:name="caption" w:uiPriority="35" w:unhideWhenUsed="1" w:qFormat="1"/>
    <w:lsdException w:name="annotation reference" w:qFormat="1"/>
    <w:lsdException w:name="Title" w:qFormat="1"/>
    <w:lsdException w:name="Default Paragraph Font" w:semiHidden="1" w:uiPriority="1" w:unhideWhenUsed="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kern w:val="2"/>
      <w:sz w:val="21"/>
      <w:lang w:val="en-GB"/>
    </w:rPr>
  </w:style>
  <w:style w:type="paragraph" w:styleId="2">
    <w:name w:val="heading 2"/>
    <w:basedOn w:val="a"/>
    <w:next w:val="a"/>
    <w:link w:val="20"/>
    <w:uiPriority w:val="99"/>
    <w:qFormat/>
    <w:pPr>
      <w:keepNext/>
      <w:keepLines/>
      <w:spacing w:before="260" w:after="260" w:line="415" w:lineRule="auto"/>
      <w:outlineLvl w:val="1"/>
    </w:pPr>
    <w:rPr>
      <w:rFonts w:ascii="Cambria" w:hAnsi="Cambria" w:cs="宋体"/>
      <w:b/>
      <w:bCs/>
      <w:sz w:val="32"/>
      <w:szCs w:val="32"/>
    </w:rPr>
  </w:style>
  <w:style w:type="paragraph" w:styleId="3">
    <w:name w:val="heading 3"/>
    <w:basedOn w:val="a"/>
    <w:next w:val="a"/>
    <w:link w:val="30"/>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autoRedefine/>
    <w:uiPriority w:val="35"/>
    <w:unhideWhenUsed/>
    <w:qFormat/>
    <w:pPr>
      <w:spacing w:beforeLines="50" w:before="50" w:line="300" w:lineRule="auto"/>
      <w:jc w:val="center"/>
    </w:pPr>
    <w:rPr>
      <w:szCs w:val="22"/>
      <w:lang w:val="en-US"/>
    </w:rPr>
  </w:style>
  <w:style w:type="paragraph" w:styleId="a4">
    <w:name w:val="annotation text"/>
    <w:basedOn w:val="a"/>
    <w:link w:val="a5"/>
    <w:autoRedefine/>
    <w:qFormat/>
    <w:pPr>
      <w:jc w:val="left"/>
    </w:pPr>
  </w:style>
  <w:style w:type="paragraph" w:styleId="a6">
    <w:name w:val="footer"/>
    <w:basedOn w:val="a"/>
    <w:autoRedefine/>
    <w:qFormat/>
    <w:pPr>
      <w:tabs>
        <w:tab w:val="center" w:pos="4153"/>
        <w:tab w:val="right" w:pos="8306"/>
      </w:tabs>
      <w:snapToGrid w:val="0"/>
      <w:jc w:val="left"/>
    </w:pPr>
    <w:rPr>
      <w:sz w:val="18"/>
      <w:szCs w:val="18"/>
    </w:rPr>
  </w:style>
  <w:style w:type="paragraph" w:styleId="a7">
    <w:name w:val="header"/>
    <w:basedOn w:val="a"/>
    <w:link w:val="a8"/>
    <w:autoRedefine/>
    <w:uiPriority w:val="99"/>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autoRedefine/>
    <w:uiPriority w:val="99"/>
    <w:unhideWhenUsed/>
    <w:qFormat/>
    <w:rsid w:val="00DC207C"/>
    <w:pPr>
      <w:widowControl/>
      <w:spacing w:line="360" w:lineRule="auto"/>
      <w:ind w:firstLineChars="200" w:firstLine="420"/>
    </w:pPr>
    <w:rPr>
      <w:rFonts w:ascii="宋体" w:hAnsi="宋体" w:cs="宋体"/>
      <w:kern w:val="0"/>
      <w:sz w:val="24"/>
      <w:szCs w:val="24"/>
    </w:rPr>
  </w:style>
  <w:style w:type="paragraph" w:styleId="aa">
    <w:name w:val="annotation subject"/>
    <w:basedOn w:val="a4"/>
    <w:next w:val="a4"/>
    <w:link w:val="ab"/>
    <w:autoRedefine/>
    <w:qFormat/>
    <w:rPr>
      <w:b/>
      <w:bCs/>
    </w:rPr>
  </w:style>
  <w:style w:type="table" w:styleId="ac">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0"/>
    <w:autoRedefine/>
  </w:style>
  <w:style w:type="character" w:styleId="ae">
    <w:name w:val="Hyperlink"/>
    <w:autoRedefine/>
    <w:uiPriority w:val="99"/>
    <w:unhideWhenUsed/>
    <w:qFormat/>
    <w:rPr>
      <w:color w:val="0000FF"/>
      <w:u w:val="single"/>
    </w:rPr>
  </w:style>
  <w:style w:type="character" w:styleId="af">
    <w:name w:val="annotation reference"/>
    <w:basedOn w:val="a0"/>
    <w:autoRedefine/>
    <w:qFormat/>
    <w:rPr>
      <w:sz w:val="21"/>
      <w:szCs w:val="21"/>
    </w:rPr>
  </w:style>
  <w:style w:type="character" w:customStyle="1" w:styleId="20">
    <w:name w:val="标题 2 字符"/>
    <w:link w:val="2"/>
    <w:uiPriority w:val="99"/>
    <w:rPr>
      <w:rFonts w:ascii="Cambria" w:hAnsi="Cambria" w:cs="宋体"/>
      <w:b/>
      <w:bCs/>
      <w:kern w:val="2"/>
      <w:sz w:val="32"/>
      <w:szCs w:val="32"/>
    </w:rPr>
  </w:style>
  <w:style w:type="character" w:customStyle="1" w:styleId="value">
    <w:name w:val="value"/>
    <w:basedOn w:val="a0"/>
    <w:autoRedefine/>
    <w:qFormat/>
  </w:style>
  <w:style w:type="character" w:customStyle="1" w:styleId="ng-star-inserted">
    <w:name w:val="ng-star-inserted"/>
    <w:basedOn w:val="a0"/>
    <w:autoRedefine/>
  </w:style>
  <w:style w:type="character" w:styleId="af0">
    <w:name w:val="Placeholder Text"/>
    <w:basedOn w:val="a0"/>
    <w:uiPriority w:val="99"/>
    <w:semiHidden/>
    <w:qFormat/>
    <w:rPr>
      <w:color w:val="808080"/>
    </w:rPr>
  </w:style>
  <w:style w:type="paragraph" w:styleId="af1">
    <w:name w:val="List Paragraph"/>
    <w:basedOn w:val="a"/>
    <w:autoRedefine/>
    <w:uiPriority w:val="34"/>
    <w:qFormat/>
    <w:pPr>
      <w:ind w:firstLineChars="200" w:firstLine="420"/>
    </w:pPr>
  </w:style>
  <w:style w:type="character" w:customStyle="1" w:styleId="MTEquationSection">
    <w:name w:val="MTEquationSection"/>
    <w:basedOn w:val="a0"/>
    <w:autoRedefine/>
    <w:rPr>
      <w:rFonts w:ascii="华文行楷" w:eastAsia="华文行楷"/>
      <w:b/>
      <w:bCs/>
      <w:vanish/>
      <w:color w:val="FF0000"/>
      <w:spacing w:val="40"/>
      <w:sz w:val="72"/>
      <w:szCs w:val="72"/>
    </w:rPr>
  </w:style>
  <w:style w:type="paragraph" w:customStyle="1" w:styleId="af2">
    <w:name w:val="公式"/>
    <w:basedOn w:val="a"/>
    <w:link w:val="af3"/>
    <w:autoRedefine/>
    <w:qFormat/>
    <w:pPr>
      <w:tabs>
        <w:tab w:val="center" w:pos="3644"/>
        <w:tab w:val="right" w:pos="7140"/>
      </w:tabs>
      <w:spacing w:line="360" w:lineRule="auto"/>
      <w:jc w:val="center"/>
    </w:pPr>
  </w:style>
  <w:style w:type="character" w:customStyle="1" w:styleId="af3">
    <w:name w:val="公式 字符"/>
    <w:basedOn w:val="a0"/>
    <w:link w:val="af2"/>
    <w:autoRedefine/>
    <w:qFormat/>
    <w:rPr>
      <w:kern w:val="2"/>
      <w:sz w:val="21"/>
    </w:rPr>
  </w:style>
  <w:style w:type="paragraph" w:customStyle="1" w:styleId="MTDisplayEquation">
    <w:name w:val="MTDisplayEquation"/>
    <w:basedOn w:val="af2"/>
    <w:next w:val="a"/>
    <w:link w:val="MTDisplayEquation0"/>
    <w:autoRedefine/>
    <w:qFormat/>
    <w:pPr>
      <w:tabs>
        <w:tab w:val="clear" w:pos="3644"/>
        <w:tab w:val="clear" w:pos="7140"/>
        <w:tab w:val="center" w:pos="4540"/>
        <w:tab w:val="right" w:pos="9080"/>
      </w:tabs>
      <w:jc w:val="both"/>
      <w:textAlignment w:val="center"/>
    </w:pPr>
  </w:style>
  <w:style w:type="character" w:customStyle="1" w:styleId="MTDisplayEquation0">
    <w:name w:val="MTDisplayEquation 字符"/>
    <w:basedOn w:val="af3"/>
    <w:link w:val="MTDisplayEquation"/>
    <w:autoRedefine/>
    <w:qFormat/>
    <w:rPr>
      <w:kern w:val="2"/>
      <w:sz w:val="21"/>
    </w:rPr>
  </w:style>
  <w:style w:type="character" w:customStyle="1" w:styleId="1">
    <w:name w:val="未处理的提及1"/>
    <w:basedOn w:val="a0"/>
    <w:autoRedefine/>
    <w:uiPriority w:val="99"/>
    <w:semiHidden/>
    <w:unhideWhenUsed/>
    <w:qFormat/>
    <w:rPr>
      <w:color w:val="605E5C"/>
      <w:shd w:val="clear" w:color="auto" w:fill="E1DFDD"/>
    </w:rPr>
  </w:style>
  <w:style w:type="character" w:customStyle="1" w:styleId="a5">
    <w:name w:val="批注文字 字符"/>
    <w:basedOn w:val="a0"/>
    <w:link w:val="a4"/>
    <w:autoRedefine/>
    <w:qFormat/>
    <w:rPr>
      <w:kern w:val="2"/>
      <w:sz w:val="21"/>
    </w:rPr>
  </w:style>
  <w:style w:type="character" w:customStyle="1" w:styleId="ab">
    <w:name w:val="批注主题 字符"/>
    <w:basedOn w:val="a5"/>
    <w:link w:val="aa"/>
    <w:autoRedefine/>
    <w:qFormat/>
    <w:rPr>
      <w:b/>
      <w:bCs/>
      <w:kern w:val="2"/>
      <w:sz w:val="21"/>
    </w:rPr>
  </w:style>
  <w:style w:type="character" w:customStyle="1" w:styleId="a8">
    <w:name w:val="页眉 字符"/>
    <w:basedOn w:val="a0"/>
    <w:link w:val="a7"/>
    <w:autoRedefine/>
    <w:uiPriority w:val="99"/>
    <w:qFormat/>
    <w:rPr>
      <w:kern w:val="2"/>
      <w:sz w:val="18"/>
      <w:szCs w:val="18"/>
    </w:rPr>
  </w:style>
  <w:style w:type="character" w:customStyle="1" w:styleId="30">
    <w:name w:val="标题 3 字符"/>
    <w:basedOn w:val="a0"/>
    <w:link w:val="3"/>
    <w:autoRedefine/>
    <w:semiHidden/>
    <w:qFormat/>
    <w:rPr>
      <w:b/>
      <w:bCs/>
      <w:kern w:val="2"/>
      <w:sz w:val="32"/>
      <w:szCs w:val="32"/>
    </w:rPr>
  </w:style>
  <w:style w:type="character" w:customStyle="1" w:styleId="21">
    <w:name w:val="未处理的提及2"/>
    <w:basedOn w:val="a0"/>
    <w:autoRedefine/>
    <w:uiPriority w:val="99"/>
    <w:semiHidden/>
    <w:unhideWhenUsed/>
    <w:qFormat/>
    <w:rPr>
      <w:color w:val="605E5C"/>
      <w:shd w:val="clear" w:color="auto" w:fill="E1DFDD"/>
    </w:rPr>
  </w:style>
  <w:style w:type="table" w:customStyle="1" w:styleId="10">
    <w:name w:val="样式1"/>
    <w:basedOn w:val="a1"/>
    <w:autoRedefine/>
    <w:uiPriority w:val="99"/>
    <w:qFormat/>
    <w:tblPr>
      <w:tblBorders>
        <w:top w:val="single" w:sz="12" w:space="0" w:color="auto"/>
        <w:bottom w:val="single" w:sz="12" w:space="0" w:color="auto"/>
      </w:tblBorders>
    </w:tblPr>
  </w:style>
  <w:style w:type="paragraph" w:customStyle="1" w:styleId="newnewnew">
    <w:name w:val="正文newnewnew"/>
    <w:basedOn w:val="a"/>
    <w:pPr>
      <w:widowControl/>
      <w:spacing w:line="300" w:lineRule="auto"/>
      <w:ind w:firstLineChars="202" w:firstLine="485"/>
    </w:pPr>
    <w:rPr>
      <w:kern w:val="24"/>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42" Type="http://schemas.openxmlformats.org/officeDocument/2006/relationships/oleObject" Target="embeddings/oleObject1.bin"/><Relationship Id="rId79" Type="http://schemas.openxmlformats.org/officeDocument/2006/relationships/oleObject" Target="embeddings/oleObject11.bin"/><Relationship Id="rId5" Type="http://schemas.openxmlformats.org/officeDocument/2006/relationships/settings" Target="settings.xml"/><Relationship Id="rId90" Type="http://schemas.openxmlformats.org/officeDocument/2006/relationships/package" Target="embeddings/Microsoft_Visio_Drawing3.vsdx"/><Relationship Id="rId95" Type="http://schemas.openxmlformats.org/officeDocument/2006/relationships/theme" Target="theme/theme1.xml"/><Relationship Id="rId64" Type="http://schemas.openxmlformats.org/officeDocument/2006/relationships/oleObject" Target="embeddings/oleObject4.bin"/><Relationship Id="rId69" Type="http://schemas.openxmlformats.org/officeDocument/2006/relationships/oleObject" Target="embeddings/oleObject6.bin"/><Relationship Id="rId8" Type="http://schemas.openxmlformats.org/officeDocument/2006/relationships/endnotes" Target="endnotes.xml"/><Relationship Id="rId85" Type="http://schemas.openxmlformats.org/officeDocument/2006/relationships/oleObject" Target="embeddings/oleObject14.bin"/><Relationship Id="rId93" Type="http://schemas.openxmlformats.org/officeDocument/2006/relationships/footer" Target="footer2.xml"/><Relationship Id="rId3" Type="http://schemas.openxmlformats.org/officeDocument/2006/relationships/numbering" Target="numbering.xml"/><Relationship Id="rId62" Type="http://schemas.openxmlformats.org/officeDocument/2006/relationships/oleObject" Target="embeddings/oleObject3.bin"/><Relationship Id="rId75" Type="http://schemas.openxmlformats.org/officeDocument/2006/relationships/oleObject" Target="embeddings/oleObject9.bin"/><Relationship Id="rId83" Type="http://schemas.openxmlformats.org/officeDocument/2006/relationships/oleObject" Target="embeddings/oleObject13.bin"/><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chart" Target="charts/chart1.xml"/><Relationship Id="rId60" Type="http://schemas.openxmlformats.org/officeDocument/2006/relationships/oleObject" Target="embeddings/oleObject2.bin"/><Relationship Id="rId73" Type="http://schemas.openxmlformats.org/officeDocument/2006/relationships/oleObject" Target="embeddings/oleObject8.bin"/><Relationship Id="rId81" Type="http://schemas.openxmlformats.org/officeDocument/2006/relationships/oleObject" Target="embeddings/oleObject12.bin"/><Relationship Id="rId9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 Id="rId39" Type="http://schemas.openxmlformats.org/officeDocument/2006/relationships/package" Target="embeddings/Microsoft_Visio_Drawing1.vsdx"/><Relationship Id="rId7" Type="http://schemas.openxmlformats.org/officeDocument/2006/relationships/footnotes" Target="footnotes.xml"/><Relationship Id="rId71" Type="http://schemas.openxmlformats.org/officeDocument/2006/relationships/oleObject" Target="embeddings/oleObject7.bin"/><Relationship Id="rId2" Type="http://schemas.openxmlformats.org/officeDocument/2006/relationships/customXml" Target="../customXml/item2.xml"/><Relationship Id="rId66" Type="http://schemas.openxmlformats.org/officeDocument/2006/relationships/oleObject" Target="embeddings/oleObject5.bin"/><Relationship Id="rId87" Type="http://schemas.openxmlformats.org/officeDocument/2006/relationships/package" Target="embeddings/Microsoft_Visio_Drawing2.vsdx"/><Relationship Id="rId14" Type="http://schemas.openxmlformats.org/officeDocument/2006/relationships/package" Target="embeddings/Microsoft_Visio_Drawing.vsdx"/><Relationship Id="rId77" Type="http://schemas.openxmlformats.org/officeDocument/2006/relationships/oleObject" Target="embeddings/oleObject10.bin"/><Relationship Id="rId96" Type="http://schemas.openxmlformats.org/officeDocument/2006/relationships/image" Target="media/image65.png"/><Relationship Id="rId97" Type="http://schemas.openxmlformats.org/officeDocument/2006/relationships/image" Target="media/image66.png"/><Relationship Id="rId98" Type="http://schemas.openxmlformats.org/officeDocument/2006/relationships/image" Target="media/image67.png"/><Relationship Id="rId99" Type="http://schemas.openxmlformats.org/officeDocument/2006/relationships/image" Target="media/image68.png"/><Relationship Id="rId100" Type="http://schemas.openxmlformats.org/officeDocument/2006/relationships/image" Target="media/image69.png"/><Relationship Id="rId101" Type="http://schemas.openxmlformats.org/officeDocument/2006/relationships/image" Target="media/image70.png"/><Relationship Id="rId102" Type="http://schemas.openxmlformats.org/officeDocument/2006/relationships/image" Target="media/image71.png"/><Relationship Id="rId103" Type="http://schemas.openxmlformats.org/officeDocument/2006/relationships/image" Target="media/image72.png"/><Relationship Id="rId104" Type="http://schemas.openxmlformats.org/officeDocument/2006/relationships/image" Target="media/image73.png"/><Relationship Id="rId105" Type="http://schemas.openxmlformats.org/officeDocument/2006/relationships/image" Target="media/image74.png"/><Relationship Id="rId106" Type="http://schemas.openxmlformats.org/officeDocument/2006/relationships/image" Target="media/image75.png"/><Relationship Id="rId107" Type="http://schemas.openxmlformats.org/officeDocument/2006/relationships/image" Target="media/image76.png"/><Relationship Id="rId108" Type="http://schemas.openxmlformats.org/officeDocument/2006/relationships/image" Target="media/image77.png"/><Relationship Id="rId109" Type="http://schemas.openxmlformats.org/officeDocument/2006/relationships/image" Target="media/image78.png"/><Relationship Id="rId110" Type="http://schemas.openxmlformats.org/officeDocument/2006/relationships/image" Target="media/image79.png"/><Relationship Id="rId111" Type="http://schemas.openxmlformats.org/officeDocument/2006/relationships/image" Target="media/image80.png"/><Relationship Id="rId112" Type="http://schemas.openxmlformats.org/officeDocument/2006/relationships/image" Target="media/image81.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33836\Desktop\&#26577;&#27224;&#37325;&#35201;&#25968;&#25454;.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60485564304462E-2"/>
          <c:y val="0.13177159590043924"/>
          <c:w val="0.87895144356955379"/>
          <c:h val="0.741258074805071"/>
        </c:manualLayout>
      </c:layout>
      <c:barChart>
        <c:barDir val="col"/>
        <c:grouping val="clustered"/>
        <c:varyColors val="0"/>
        <c:ser>
          <c:idx val="0"/>
          <c:order val="0"/>
          <c:tx>
            <c:strRef>
              <c:f>中国柑橘产量面积!$B$1</c:f>
              <c:strCache>
                <c:ptCount val="1"/>
                <c:pt idx="0">
                  <c:v>面积</c:v>
                </c:pt>
              </c:strCache>
            </c:strRef>
          </c:tx>
          <c:spPr>
            <a:solidFill>
              <a:schemeClr val="accent1"/>
            </a:solidFill>
            <a:ln>
              <a:noFill/>
            </a:ln>
            <a:effectLst/>
          </c:spPr>
          <c:invertIfNegative val="0"/>
          <c:cat>
            <c:numRef>
              <c:f>中国柑橘产量面积!$A$2:$A$7</c:f>
              <c:numCache>
                <c:formatCode>General</c:formatCode>
                <c:ptCount val="6"/>
                <c:pt idx="0">
                  <c:v>2017</c:v>
                </c:pt>
                <c:pt idx="1">
                  <c:v>2018</c:v>
                </c:pt>
                <c:pt idx="2">
                  <c:v>2019</c:v>
                </c:pt>
                <c:pt idx="3">
                  <c:v>2020</c:v>
                </c:pt>
                <c:pt idx="4">
                  <c:v>2021</c:v>
                </c:pt>
                <c:pt idx="5">
                  <c:v>2022</c:v>
                </c:pt>
              </c:numCache>
            </c:numRef>
          </c:cat>
          <c:val>
            <c:numRef>
              <c:f>中国柑橘产量面积!$B$2:$B$7</c:f>
              <c:numCache>
                <c:formatCode>General</c:formatCode>
                <c:ptCount val="6"/>
                <c:pt idx="0">
                  <c:v>3659</c:v>
                </c:pt>
                <c:pt idx="1">
                  <c:v>3731</c:v>
                </c:pt>
                <c:pt idx="2">
                  <c:v>3926</c:v>
                </c:pt>
                <c:pt idx="3">
                  <c:v>4247</c:v>
                </c:pt>
                <c:pt idx="4">
                  <c:v>4350</c:v>
                </c:pt>
                <c:pt idx="5">
                  <c:v>4550</c:v>
                </c:pt>
              </c:numCache>
            </c:numRef>
          </c:val>
          <c:extLst>
            <c:ext xmlns:c16="http://schemas.microsoft.com/office/drawing/2014/chart" uri="{C3380CC4-5D6E-409C-BE32-E72D297353CC}">
              <c16:uniqueId val="{00000000-0677-4173-B67A-81425DC1FFD8}"/>
            </c:ext>
          </c:extLst>
        </c:ser>
        <c:ser>
          <c:idx val="1"/>
          <c:order val="1"/>
          <c:tx>
            <c:strRef>
              <c:f>中国柑橘产量面积!$C$1</c:f>
              <c:strCache>
                <c:ptCount val="1"/>
                <c:pt idx="0">
                  <c:v>产量</c:v>
                </c:pt>
              </c:strCache>
            </c:strRef>
          </c:tx>
          <c:spPr>
            <a:solidFill>
              <a:schemeClr val="accent3"/>
            </a:solidFill>
            <a:ln>
              <a:noFill/>
            </a:ln>
            <a:effectLst/>
          </c:spPr>
          <c:invertIfNegative val="0"/>
          <c:cat>
            <c:numRef>
              <c:f>中国柑橘产量面积!$A$2:$A$7</c:f>
              <c:numCache>
                <c:formatCode>General</c:formatCode>
                <c:ptCount val="6"/>
                <c:pt idx="0">
                  <c:v>2017</c:v>
                </c:pt>
                <c:pt idx="1">
                  <c:v>2018</c:v>
                </c:pt>
                <c:pt idx="2">
                  <c:v>2019</c:v>
                </c:pt>
                <c:pt idx="3">
                  <c:v>2020</c:v>
                </c:pt>
                <c:pt idx="4">
                  <c:v>2021</c:v>
                </c:pt>
                <c:pt idx="5">
                  <c:v>2022</c:v>
                </c:pt>
              </c:numCache>
            </c:numRef>
          </c:cat>
          <c:val>
            <c:numRef>
              <c:f>中国柑橘产量面积!$C$2:$C$7</c:f>
              <c:numCache>
                <c:formatCode>General</c:formatCode>
                <c:ptCount val="6"/>
                <c:pt idx="0">
                  <c:v>3817</c:v>
                </c:pt>
                <c:pt idx="1">
                  <c:v>4138</c:v>
                </c:pt>
                <c:pt idx="2">
                  <c:v>4585</c:v>
                </c:pt>
                <c:pt idx="3">
                  <c:v>5122</c:v>
                </c:pt>
                <c:pt idx="4">
                  <c:v>5596</c:v>
                </c:pt>
                <c:pt idx="5">
                  <c:v>6004</c:v>
                </c:pt>
              </c:numCache>
            </c:numRef>
          </c:val>
          <c:extLst>
            <c:ext xmlns:c16="http://schemas.microsoft.com/office/drawing/2014/chart" uri="{C3380CC4-5D6E-409C-BE32-E72D297353CC}">
              <c16:uniqueId val="{00000001-0677-4173-B67A-81425DC1FFD8}"/>
            </c:ext>
          </c:extLst>
        </c:ser>
        <c:dLbls>
          <c:showLegendKey val="0"/>
          <c:showVal val="0"/>
          <c:showCatName val="0"/>
          <c:showSerName val="0"/>
          <c:showPercent val="0"/>
          <c:showBubbleSize val="0"/>
        </c:dLbls>
        <c:gapWidth val="219"/>
        <c:overlap val="-27"/>
        <c:axId val="1414997871"/>
        <c:axId val="1687408767"/>
      </c:barChart>
      <c:catAx>
        <c:axId val="141499787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687408767"/>
        <c:crosses val="autoZero"/>
        <c:auto val="1"/>
        <c:lblAlgn val="ctr"/>
        <c:lblOffset val="100"/>
        <c:noMultiLvlLbl val="0"/>
      </c:catAx>
      <c:valAx>
        <c:axId val="168740876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414997871"/>
        <c:crosses val="autoZero"/>
        <c:crossBetween val="between"/>
      </c:valAx>
      <c:spPr>
        <a:noFill/>
        <a:ln>
          <a:noFill/>
        </a:ln>
        <a:effectLst/>
      </c:spPr>
    </c:plotArea>
    <c:legend>
      <c:legendPos val="b"/>
      <c:layout>
        <c:manualLayout>
          <c:xMode val="edge"/>
          <c:yMode val="edge"/>
          <c:x val="0.78204483814523185"/>
          <c:y val="5.8771587706270716E-2"/>
          <c:w val="0.18591010498687663"/>
          <c:h val="8.2350387036905406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E09987A2-6DBE-45EE-AA78-8F2DD8812AE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393</TotalTime>
  <Pages>45</Pages>
  <Words>4783</Words>
  <Characters>27266</Characters>
  <Application>Microsoft Office Word</Application>
  <DocSecurity>0</DocSecurity>
  <Lines>227</Lines>
  <Paragraphs>63</Paragraphs>
  <ScaleCrop>false</ScaleCrop>
  <Company>yjsb</Company>
  <LinksUpToDate>false</LinksUpToDate>
  <CharactersWithSpaces>31986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面向柑橘幼果套袋的实例分割与果梗连接点定位方法研究</dc:title>
  <dc:subject>研究生论文工作进程计划表</dc:subject>
  <dc:creator>石晓强</dc:creator>
  <cp:lastModifiedBy>晓强 石</cp:lastModifiedBy>
  <cp:revision>72</cp:revision>
  <cp:lastPrinted>2025-01-08T07:17:00Z</cp:lastPrinted>
  <dcterms:created xsi:type="dcterms:W3CDTF">2024-11-29T10:00:00Z</dcterms:created>
  <dcterms:modified xsi:type="dcterms:W3CDTF">2026-09-26T08:04:00Z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EquationNumber2">
    <vt:lpwstr>(#E1)</vt:lpwstr>
  </property>
  <property fmtid="{D5CDD505-2E9C-101B-9397-08002B2CF9AE}" pid="5" name="KSOProductBuildVer">
    <vt:lpwstr>2052-12.1.0.16120</vt:lpwstr>
  </property>
  <property fmtid="{D5CDD505-2E9C-101B-9397-08002B2CF9AE}" pid="6" name="ICV">
    <vt:lpwstr>129D91C52B8F489FBD577DD0ADCB7D78_12</vt:lpwstr>
  </property>
</Properties>
</file>