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石晓强柑橘套袋视觉课题开题答辩备问</w:t>
      </w:r>
    </w:p>
    <w:p>
      <w:r>
        <w:rPr>
          <w:color w:val="505050"/>
          <w:sz w:val="18"/>
        </w:rPr>
        <w:t>已有结果核查与后续改进方向  |  2026 年 9 月 28 日</w:t>
      </w:r>
    </w:p>
    <w:p>
      <w:r>
        <w:t>这份材料用于回答开题时最可能被追问的三个问题：前期究竟做了什么、现有结果能说明什么、接下来怎样把预实验变成可信的论文证据。已经具备分组去重后的实例分割数据、完整的训练与配对诊断流程，以及一批能揭示小果检出与推理成本取舍的探索结果。当前尚没有在最终正式划分上完成同协议、三随机种子和独立测试的结构性优势证明，因此答辩时应把数值明确称为预实验。</w:t>
      </w:r>
    </w:p>
    <w:p>
      <w:pPr>
        <w:pStyle w:val="Heading1"/>
      </w:pPr>
      <w:r>
        <w:t>一 已经站得住脚的研究基础</w:t>
      </w:r>
    </w:p>
    <w:p>
      <w:r>
        <w:t>正式数据版本为 orange_yolo_grouped_dedup_20260820：965 张图、5,890 个幼果可见实例；train、val、test 分别为 676、193、96 张。现有审计将 303 个采集组分入三个集合，组间没有交叉。640 像素等效输入下，果实框最短边小于 32 像素的实例占 48.44%；solidity 小于 0.90 的实例占 24.16%。后一个量可提示深凹可见形状，但不能直接等同于真实遮挡率。</w:t>
      </w:r>
    </w:p>
    <w:p>
      <w:r>
        <w:t>第一篇论文的任务边界是单目 RGB 幼果可见实例分割：既要识别与叶片同色的极小果，也要在叶枝条带遮挡时保持一个果实的实例身份，还要分开紧邻果实。第二篇论文以果实实例及周边 RGB 构成 ROI，研究果梗与果体连接点定位；当前原始标注没有果梗点，定位结果尚未产生。</w:t>
      </w:r>
    </w:p>
    <w:p>
      <w:pPr>
        <w:pStyle w:val="Heading1"/>
      </w:pPr>
      <w:r>
        <w:t>二 可以展示的预实验结果及其讲法</w:t>
      </w:r>
    </w:p>
    <w:p>
      <w:r>
        <w:t>最值得展示的是同一模型 V12_01 在两种推理预算下的配对诊断。细尺度视图明显补回了原图中遗漏的极小果，但也增加了推理时间与背景错误。这个结果直接支撑后续研究问题：怎样只在必要区域增加细节观测，并控制误检和计算成本。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1701"/>
        <w:gridCol w:w="1984"/>
        <w:gridCol w:w="1587"/>
        <w:gridCol w:w="1417"/>
      </w:tblGrid>
      <w:tr>
        <w:trPr>
          <w:tblHeader/>
        </w:trPr>
        <w:tc>
          <w:tcPr>
            <w:tcW w:type="dxa" w:w="193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0" w:line="283" w:lineRule="auto"/>
            </w:pPr>
            <w:r>
              <w:rPr>
                <w:b/>
                <w:sz w:val="17"/>
              </w:rPr>
              <w:t>同一模型</w:t>
            </w:r>
          </w:p>
        </w:tc>
        <w:tc>
          <w:tcPr>
            <w:tcW w:type="dxa" w:w="193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0" w:line="283" w:lineRule="auto"/>
            </w:pPr>
            <w:r>
              <w:rPr>
                <w:b/>
                <w:sz w:val="17"/>
              </w:rPr>
              <w:t>Mask AP50–95</w:t>
            </w:r>
          </w:p>
        </w:tc>
        <w:tc>
          <w:tcPr>
            <w:tcW w:type="dxa" w:w="193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0" w:line="283" w:lineRule="auto"/>
            </w:pPr>
            <w:r>
              <w:rPr>
                <w:b/>
                <w:sz w:val="17"/>
              </w:rPr>
              <w:t>极小实例匹配</w:t>
            </w:r>
          </w:p>
        </w:tc>
        <w:tc>
          <w:tcPr>
            <w:tcW w:type="dxa" w:w="193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0" w:line="283" w:lineRule="auto"/>
            </w:pPr>
            <w:r>
              <w:rPr>
                <w:b/>
                <w:sz w:val="17"/>
              </w:rPr>
              <w:t>中位时间</w:t>
            </w:r>
          </w:p>
        </w:tc>
        <w:tc>
          <w:tcPr>
            <w:tcW w:type="dxa" w:w="193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0" w:line="283" w:lineRule="auto"/>
            </w:pPr>
            <w:r>
              <w:rPr>
                <w:b/>
                <w:sz w:val="17"/>
              </w:rPr>
              <w:t>背景错误桶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3" w:lineRule="auto"/>
            </w:pPr>
            <w:r>
              <w:rPr>
                <w:sz w:val="17"/>
              </w:rPr>
              <w:t>V12_01 原图</w:t>
            </w:r>
          </w:p>
        </w:tc>
        <w:tc>
          <w:tcPr>
            <w:tcW w:type="dxa" w:w="170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3" w:lineRule="auto"/>
            </w:pPr>
            <w:r>
              <w:rPr>
                <w:sz w:val="17"/>
              </w:rPr>
              <w:t>68.637%</w:t>
            </w:r>
          </w:p>
        </w:tc>
        <w:tc>
          <w:tcPr>
            <w:tcW w:type="dxa" w:w="19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3" w:lineRule="auto"/>
            </w:pPr>
            <w:r>
              <w:rPr>
                <w:sz w:val="17"/>
              </w:rPr>
              <w:t>37/161</w:t>
            </w:r>
          </w:p>
        </w:tc>
        <w:tc>
          <w:tcPr>
            <w:tcW w:type="dxa" w:w="158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3" w:lineRule="auto"/>
            </w:pPr>
            <w:r>
              <w:rPr>
                <w:sz w:val="17"/>
              </w:rPr>
              <w:t>78.7 ms</w:t>
            </w:r>
          </w:p>
        </w:tc>
        <w:tc>
          <w:tcPr>
            <w:tcW w:type="dxa" w:w="141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3" w:lineRule="auto"/>
            </w:pPr>
            <w:r>
              <w:rPr>
                <w:sz w:val="17"/>
              </w:rPr>
              <w:t>130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line="283" w:lineRule="auto"/>
            </w:pPr>
            <w:r>
              <w:rPr>
                <w:sz w:val="17"/>
              </w:rPr>
              <w:t>V12_01 原图＋9细视图</w:t>
            </w:r>
          </w:p>
        </w:tc>
        <w:tc>
          <w:tcPr>
            <w:tcW w:type="dxa" w:w="170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line="283" w:lineRule="auto"/>
            </w:pPr>
            <w:r>
              <w:rPr>
                <w:sz w:val="17"/>
              </w:rPr>
              <w:t>77.478%</w:t>
            </w:r>
          </w:p>
        </w:tc>
        <w:tc>
          <w:tcPr>
            <w:tcW w:type="dxa" w:w="19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line="283" w:lineRule="auto"/>
            </w:pPr>
            <w:r>
              <w:rPr>
                <w:sz w:val="17"/>
              </w:rPr>
              <w:t>98/161</w:t>
            </w:r>
          </w:p>
        </w:tc>
        <w:tc>
          <w:tcPr>
            <w:tcW w:type="dxa" w:w="158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line="283" w:lineRule="auto"/>
            </w:pPr>
            <w:r>
              <w:rPr>
                <w:sz w:val="17"/>
              </w:rPr>
              <w:t>296.5 ms</w:t>
            </w:r>
          </w:p>
        </w:tc>
        <w:tc>
          <w:tcPr>
            <w:tcW w:type="dxa" w:w="141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line="283" w:lineRule="auto"/>
            </w:pPr>
            <w:r>
              <w:rPr>
                <w:sz w:val="17"/>
              </w:rPr>
              <w:t>385</w:t>
            </w:r>
          </w:p>
        </w:tc>
      </w:tr>
    </w:tbl>
    <w:p>
      <w:pPr>
        <w:spacing w:after="0"/>
      </w:pPr>
    </w:p>
    <w:p>
      <w:r>
        <w:t>口径：旧划分验证集、seed 42、best_mask 权重、640 common-raster 配对评估；极小实例为面积小于 256 像素的固定阈值诊断匹配数，不是 COCO AP-small。RTX 3090 上记录的时间属于对应的完整推理预算。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7911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预实验精度代价对照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91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7"/>
        </w:rPr>
        <w:t>图 1  旧验证集上 V12_01 的精度、极小实例与时间取舍。图中各数字由同一配对评估 JSON 读取。</w:t>
      </w:r>
    </w:p>
    <w:p>
      <w:r>
        <w:t>同一批 V12 中，V12_04 在细视图预算下达到 78.309% Mask AP50–95，极小实例匹配 97/161，中位时间 338.7 ms。这是内部旧验证集的最佳细尺度观察点，可以说明方案有继续研究的价值；它不是正式独立测试成绩，也不能和原图单次前向的速度配成一个‘又快又准’的数字。</w:t>
      </w:r>
    </w:p>
    <w:p>
      <w:r>
        <w:t>V12_02→V12_03 的原图配对对照中，背景错误桶由 144 降到 108，Mask AP50–95 从 68.324% 到 68.507%，但极小实例由 35/161 变为 33/161。可以说‘识别路由显示出抑制部分背景误报的线索’，不能说已解决叶果混淆；背景桶没有人工区分叶片、枝条和其他背景。</w:t>
      </w:r>
    </w:p>
    <w:p>
      <w:r>
        <w:t>I_V1 十臂中，I05 的训练验证器峰值为 72.477%，I00 重放锚点为 72.363%，只差 0.114 个百分点；在相同细视图配对评估下 I05 为 77.426%，I00 为 77.399%，而 V12_04 为 78.309%。所以 I_V1 可以展示完成了对照和复盘，不能包装成双原型网络已经稳定超过旧方案。I_V2 五组 50 epoch 的末轮 Mask AP50–95 仅在 69.566%–69.701% 之间，未见可靠 P2 收益。</w:t>
      </w:r>
    </w:p>
    <w:p>
      <w:pPr>
        <w:pStyle w:val="Heading1"/>
      </w:pPr>
      <w:r>
        <w:t>三 容易被问住的地方和建议回答</w:t>
      </w:r>
    </w:p>
    <w:p>
      <w:pPr>
        <w:pStyle w:val="Heading2"/>
      </w:pPr>
      <w:r>
        <w:t>目前最好的结果到底是多少？</w:t>
      </w:r>
    </w:p>
    <w:p>
      <w:r>
        <w:t>如果只问旧验证集上的探索性峰值，V12_04 细视图配对评估为 78.309% Mask AP50–95。但它用了原图加九个细视图，约 338.7 ms/图，并非正式划分独立测试。我更愿意把它作为发现小果受观察尺度限制的预实验。</w:t>
      </w:r>
    </w:p>
    <w:p>
      <w:pPr>
        <w:pStyle w:val="Heading2"/>
      </w:pPr>
      <w:r>
        <w:t>旧结果为什么不能直接写成正式结论？</w:t>
      </w:r>
    </w:p>
    <w:p>
      <w:r>
        <w:t>核查发现 V12 服务器训练为 676 图/4,324 实例、验证为 193 图/1,049 实例，和正式版本的 4,120/1,181 实例不符。按文件名映射，V12_03 训练侧还包含正式 val 的 126 张和正式 test 的 57 张。因此原权重不能再拿正式 test 补测来恢复独立性，必须在正确划分上重训。</w:t>
      </w:r>
    </w:p>
    <w:p>
      <w:pPr>
        <w:pStyle w:val="Heading2"/>
      </w:pPr>
      <w:r>
        <w:t>既然切片增益明显，为什么还要改网络？</w:t>
      </w:r>
    </w:p>
    <w:p>
      <w:r>
        <w:t>切片的增益伴随 3.77 倍左右的时间和更多背景错误。下一步先把‘候选根本没出现’与‘已有候选但掩膜或实例归属错误’分开统计，再决定是改采样和选择性视图，还是改分割解码。网络改进只针对诊断出的瓶颈。</w:t>
      </w:r>
    </w:p>
    <w:p>
      <w:pPr>
        <w:pStyle w:val="Heading2"/>
      </w:pPr>
      <w:r>
        <w:t>你们的创新点是什么？</w:t>
      </w:r>
    </w:p>
    <w:p>
      <w:r>
        <w:t>问题不只是识别绿色果实，而是极小目标、深凹可见掩膜和相邻果实分离在轻量预算中的冲突。我会用固定难例子集与拓扑指标，把细节供给、场景—对象信息和边界保护分别做可归因对照；只有稳定胜过同协议基线的部分才写成最终方法贡献。</w:t>
      </w:r>
    </w:p>
    <w:p>
      <w:pPr>
        <w:pStyle w:val="Heading2"/>
      </w:pPr>
      <w:r>
        <w:t>如何证明真的解决了遮挡和叶片混淆？</w:t>
      </w:r>
    </w:p>
    <w:p>
      <w:r>
        <w:t>先按 solidity/凸包缺损、实例间隙和图内尺度比分层；在固定工作点人工把错误分成叶、枝、其他背景、漏标与边界问题。报告挑战子集的 Mask AP、Boundary F1、split/merge 以及误差区间。单张漂亮图和一个总 AP 都不够。</w:t>
      </w:r>
    </w:p>
    <w:p>
      <w:pPr>
        <w:pStyle w:val="Heading2"/>
      </w:pPr>
      <w:r>
        <w:t>为什么又做果梗定位，数据够吗？</w:t>
      </w:r>
    </w:p>
    <w:p>
      <w:r>
        <w:t>分割给出对象身份和可见轮廓，果梗点在果体周边，直接整图定位容易把邻近果实的连接点混淆。现有数据没有果梗点标签，因此先做 50–100 张双人试标和可见性规范，再比较真值 ROI 与预测 ROI，隔离定位模型误差和上游传播误差。不可判定时允许拒识，不猜坐标。</w:t>
      </w:r>
    </w:p>
    <w:p>
      <w:pPr>
        <w:pStyle w:val="Heading2"/>
      </w:pPr>
      <w:r>
        <w:t>如果最终结构没有明显超过基线怎么办？</w:t>
      </w:r>
    </w:p>
    <w:p>
      <w:r>
        <w:t>先保留经验证的观察预算—召回取舍，停止堆叠无效模块；对已筛出的最小有效改动做三种子复验。若仍无稳定增益，论文主张收缩为可靠的数据与任务诊断、受限预算下的选择性推理和面向果梗点的两阶段误差分析，不把噪声写成创新。</w:t>
      </w:r>
    </w:p>
    <w:p>
      <w:pPr>
        <w:pStyle w:val="Heading1"/>
      </w:pPr>
      <w:r>
        <w:t>四 后续改进的执行顺序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4139"/>
        <w:gridCol w:w="3685"/>
      </w:tblGrid>
      <w:tr>
        <w:trPr>
          <w:tblHeader/>
        </w:trPr>
        <w:tc>
          <w:tcPr>
            <w:tcW w:type="dxa" w:w="322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0" w:line="283" w:lineRule="auto"/>
            </w:pPr>
            <w:r>
              <w:rPr>
                <w:b/>
                <w:sz w:val="17"/>
              </w:rPr>
              <w:t>优先级</w:t>
            </w:r>
          </w:p>
        </w:tc>
        <w:tc>
          <w:tcPr>
            <w:tcW w:type="dxa" w:w="322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0" w:line="283" w:lineRule="auto"/>
            </w:pPr>
            <w:r>
              <w:rPr>
                <w:b/>
                <w:sz w:val="17"/>
              </w:rPr>
              <w:t>要做的事</w:t>
            </w:r>
          </w:p>
        </w:tc>
        <w:tc>
          <w:tcPr>
            <w:tcW w:type="dxa" w:w="322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0" w:line="283" w:lineRule="auto"/>
            </w:pPr>
            <w:r>
              <w:rPr>
                <w:b/>
                <w:sz w:val="17"/>
              </w:rPr>
              <w:t>判断是否继续的证据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3" w:lineRule="auto"/>
            </w:pPr>
            <w:r>
              <w:rPr>
                <w:sz w:val="17"/>
              </w:rPr>
              <w:t>1 协议修复</w:t>
            </w:r>
          </w:p>
        </w:tc>
        <w:tc>
          <w:tcPr>
            <w:tcW w:type="dxa" w:w="413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3" w:lineRule="auto"/>
            </w:pPr>
            <w:r>
              <w:rPr>
                <w:sz w:val="17"/>
              </w:rPr>
              <w:t>核对服务器逐图/逐标签哈希与正式 manifest；统一输入、初始化、AMP、优化器、seed 和评估脚本。</w:t>
            </w:r>
          </w:p>
        </w:tc>
        <w:tc>
          <w:tcPr>
            <w:tcW w:type="dxa" w:w="368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3" w:lineRule="auto"/>
            </w:pPr>
            <w:r>
              <w:rPr>
                <w:sz w:val="17"/>
              </w:rPr>
              <w:t>当前正式划分成员一致；YOLO11n-seg 与 RTMDet-Ins-tiny 完成 50 epoch 筛选。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line="283" w:lineRule="auto"/>
            </w:pPr>
            <w:r>
              <w:rPr>
                <w:sz w:val="17"/>
              </w:rPr>
              <w:t>2 同协议复验</w:t>
            </w:r>
          </w:p>
        </w:tc>
        <w:tc>
          <w:tcPr>
            <w:tcW w:type="dxa" w:w="413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line="283" w:lineRule="auto"/>
            </w:pPr>
            <w:r>
              <w:rPr>
                <w:sz w:val="17"/>
              </w:rPr>
              <w:t>最终候选与 YOLO11n-seg 各做 seed 42/43/44；固定 val 选模型，test 最后使用。</w:t>
            </w:r>
          </w:p>
        </w:tc>
        <w:tc>
          <w:tcPr>
            <w:tcW w:type="dxa" w:w="368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line="283" w:lineRule="auto"/>
            </w:pPr>
            <w:r>
              <w:rPr>
                <w:sz w:val="17"/>
              </w:rPr>
              <w:t>报告 Mask AP50–95/50、P/R、尺度指标及均值±标准差；不能只选最好一次。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3" w:lineRule="auto"/>
            </w:pPr>
            <w:r>
              <w:rPr>
                <w:sz w:val="17"/>
              </w:rPr>
              <w:t>3 针对性改进</w:t>
            </w:r>
          </w:p>
        </w:tc>
        <w:tc>
          <w:tcPr>
            <w:tcW w:type="dxa" w:w="413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3" w:lineRule="auto"/>
            </w:pPr>
            <w:r>
              <w:rPr>
                <w:sz w:val="17"/>
              </w:rPr>
              <w:t>先诊断漏候选、边界、split/merge 和背景 FP，再分别检验高分辨率细节、边界保护与选择性局部视图。</w:t>
            </w:r>
          </w:p>
        </w:tc>
        <w:tc>
          <w:tcPr>
            <w:tcW w:type="dxa" w:w="368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3" w:lineRule="auto"/>
            </w:pPr>
            <w:r>
              <w:rPr>
                <w:sz w:val="17"/>
              </w:rPr>
              <w:t>在同一预算和难例子集上有可归因收益；同步报告 Params、GFLOPs、端到端延迟。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line="283" w:lineRule="auto"/>
            </w:pPr>
            <w:r>
              <w:rPr>
                <w:sz w:val="17"/>
              </w:rPr>
              <w:t>4 果梗点</w:t>
            </w:r>
          </w:p>
        </w:tc>
        <w:tc>
          <w:tcPr>
            <w:tcW w:type="dxa" w:w="413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line="283" w:lineRule="auto"/>
            </w:pPr>
            <w:r>
              <w:rPr>
                <w:sz w:val="17"/>
              </w:rPr>
              <w:t>制定连接点和不可判定标注规范，双人试标后扩展；比较 oracle ROI 与预测 ROI。</w:t>
            </w:r>
          </w:p>
        </w:tc>
        <w:tc>
          <w:tcPr>
            <w:tcW w:type="dxa" w:w="368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line="283" w:lineRule="auto"/>
            </w:pPr>
            <w:r>
              <w:rPr>
                <w:sz w:val="17"/>
              </w:rPr>
              <w:t>双人一致性、归一化点误差、PCK 和拒识覆盖率能解释误差来源。</w:t>
            </w:r>
          </w:p>
        </w:tc>
      </w:tr>
    </w:tbl>
    <w:p>
      <w:pPr>
        <w:spacing w:after="0"/>
      </w:pPr>
    </w:p>
    <w:p>
      <w:r>
        <w:t>尤其要注意：B/S 系列文件名虽然带 grouped_dedup，但回传的 runtime YAML 实际指向服务器 /data/sxq/datasets/orange_yolo_2。缺服务器成员清单与哈希前，不能把 B06 的 61.862% 或 S04 的 61.501% 当作当前正式版本的已核验结果。I_V3/I_V4 是已准备的研究方案与实现，当前本地没有完整训练回传；Native 的一轮 CPU 烟测只证明流程能跑通。</w:t>
      </w:r>
    </w:p>
    <w:p>
      <w:pPr>
        <w:pStyle w:val="Heading1"/>
      </w:pPr>
      <w:r>
        <w:t>五 现场一分半讲述稿</w:t>
      </w:r>
    </w:p>
    <w:p>
      <w:r>
        <w:t>我现在做的是柑橘套袋前端视觉。套袋首先要知道每个幼果在哪里、可见轮廓是什么，然后才能在对应果实周边定位果梗连接点。我们整理了 965 张、5,890 个实例的分组去重数据；约一半果实在 640 像素输入下最短边不到 32 像素，叶枝遮挡又会造成凹陷轮廓和实例粘连。前期我做了分割网络和多尺度推理预实验。同一模型加入细尺度视图后，旧验证集的极小果匹配从 37/161 提高到 98/161，但推理时间从约 79 ms 增至约 297 ms，背景误检也增加。这说明提高局部观察分辨率确实有价值，但不能无限切图。过去的旧划分结果存在成员不一致，因此我不会把它当正式论文结论。接下来先锁定分组去重划分和同协议基线，分清漏检、边界和粘连问题，再做轻量化的选择性细节补充；最后以果实 ROI 为条件建立果梗点标注与定位评价。</w:t>
      </w:r>
    </w:p>
    <w:p>
      <w:pPr>
        <w:pStyle w:val="Heading1"/>
      </w:pPr>
      <w:r>
        <w:t>六 现场表述校准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91"/>
        <w:gridCol w:w="6180"/>
      </w:tblGrid>
      <w:tr>
        <w:trPr>
          <w:tblHeader/>
        </w:trPr>
        <w:tc>
          <w:tcPr>
            <w:tcW w:type="dxa" w:w="48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0" w:line="283" w:lineRule="auto"/>
            </w:pPr>
            <w:r>
              <w:rPr>
                <w:b/>
                <w:sz w:val="17"/>
              </w:rPr>
              <w:t>不要这样说</w:t>
            </w:r>
          </w:p>
        </w:tc>
        <w:tc>
          <w:tcPr>
            <w:tcW w:type="dxa" w:w="48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0" w:line="283" w:lineRule="auto"/>
            </w:pPr>
            <w:r>
              <w:rPr>
                <w:b/>
                <w:sz w:val="17"/>
              </w:rPr>
              <w:t>建议这样说</w:t>
            </w:r>
          </w:p>
        </w:tc>
      </w:tr>
      <w:tr>
        <w:tc>
          <w:tcPr>
            <w:tcW w:type="dxa" w:w="289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3" w:lineRule="auto"/>
            </w:pPr>
            <w:r>
              <w:rPr>
                <w:sz w:val="17"/>
              </w:rPr>
              <w:t>我们的模型已经达到 78.3%，而且是轻量实时的。</w:t>
            </w:r>
          </w:p>
        </w:tc>
        <w:tc>
          <w:tcPr>
            <w:tcW w:type="dxa" w:w="61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3" w:lineRule="auto"/>
            </w:pPr>
            <w:r>
              <w:rPr>
                <w:sz w:val="17"/>
              </w:rPr>
              <w:t>旧验证集细视图预算下的内部 AP 为 78.309%，相应中位时间为 338.7 ms/图；正式性能待重跑。</w:t>
            </w:r>
          </w:p>
        </w:tc>
      </w:tr>
      <w:tr>
        <w:tc>
          <w:tcPr>
            <w:tcW w:type="dxa" w:w="289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line="283" w:lineRule="auto"/>
            </w:pPr>
            <w:r>
              <w:rPr>
                <w:sz w:val="17"/>
              </w:rPr>
              <w:t>叶果混淆已经解决。</w:t>
            </w:r>
          </w:p>
        </w:tc>
        <w:tc>
          <w:tcPr>
            <w:tcW w:type="dxa" w:w="61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line="283" w:lineRule="auto"/>
            </w:pPr>
            <w:r>
              <w:rPr>
                <w:sz w:val="17"/>
              </w:rPr>
              <w:t>固定阈值背景错误桶在一组对照中减少；尚需人工确认误报类型和相同工作点下的召回。</w:t>
            </w:r>
          </w:p>
        </w:tc>
      </w:tr>
      <w:tr>
        <w:tc>
          <w:tcPr>
            <w:tcW w:type="dxa" w:w="289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3" w:lineRule="auto"/>
            </w:pPr>
            <w:r>
              <w:rPr>
                <w:sz w:val="17"/>
              </w:rPr>
              <w:t>数据已经完全清洗，测试集可以补测旧权重。</w:t>
            </w:r>
          </w:p>
        </w:tc>
        <w:tc>
          <w:tcPr>
            <w:tcW w:type="dxa" w:w="61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3" w:lineRule="auto"/>
            </w:pPr>
            <w:r>
              <w:rPr>
                <w:sz w:val="17"/>
              </w:rPr>
              <w:t>正式版完成分组去重；旧权重见过部分正式测试图，必须按新划分重新训练。</w:t>
            </w:r>
          </w:p>
        </w:tc>
      </w:tr>
      <w:tr>
        <w:tc>
          <w:tcPr>
            <w:tcW w:type="dxa" w:w="289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line="283" w:lineRule="auto"/>
            </w:pPr>
            <w:r>
              <w:rPr>
                <w:sz w:val="17"/>
              </w:rPr>
              <w:t>965 张图全部来自田间实拍，已经验证跨果园泛化。</w:t>
            </w:r>
          </w:p>
        </w:tc>
        <w:tc>
          <w:tcPr>
            <w:tcW w:type="dxa" w:w="61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line="283" w:lineRule="auto"/>
            </w:pPr>
            <w:r>
              <w:rPr>
                <w:sz w:val="17"/>
              </w:rPr>
              <w:t>训练集含 3 张生成图和 29 张视频来源图；val/test 为相机图。跨园泛化还需要独立采集批次。</w:t>
            </w:r>
          </w:p>
        </w:tc>
      </w:tr>
      <w:tr>
        <w:tc>
          <w:tcPr>
            <w:tcW w:type="dxa" w:w="289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3" w:lineRule="auto"/>
            </w:pPr>
            <w:r>
              <w:rPr>
                <w:sz w:val="17"/>
              </w:rPr>
              <w:t>果梗定位已经做完。</w:t>
            </w:r>
          </w:p>
        </w:tc>
        <w:tc>
          <w:tcPr>
            <w:tcW w:type="dxa" w:w="61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3" w:lineRule="auto"/>
            </w:pPr>
            <w:r>
              <w:rPr>
                <w:sz w:val="17"/>
              </w:rPr>
              <w:t>实例分割数据已有，果梗点标签尚无；先做双人试标与 ROI 误差传播实验。</w:t>
            </w:r>
          </w:p>
        </w:tc>
      </w:tr>
    </w:tbl>
    <w:p>
      <w:pPr>
        <w:spacing w:after="0"/>
      </w:pPr>
    </w:p>
    <w:p>
      <w:pPr>
        <w:pStyle w:val="Heading1"/>
      </w:pPr>
      <w:r>
        <w:t>证据索引</w:t>
      </w:r>
    </w:p>
    <w:p>
      <w:pPr>
        <w:ind w:left="227"/>
      </w:pPr>
      <w:r>
        <w:rPr>
          <w:sz w:val="17"/>
        </w:rPr>
        <w:t>正式数据审计：data/orange_yolo_grouped_dedup_20260820/audit/audit_report.json</w:t>
      </w:r>
    </w:p>
    <w:p>
      <w:pPr>
        <w:ind w:left="227"/>
      </w:pPr>
      <w:r>
        <w:rPr>
          <w:sz w:val="17"/>
        </w:rPr>
        <w:t>数据难例画像：_work/researchwrite/citrus_proposal_20260925/exports/dataset_profile.json</w:t>
      </w:r>
    </w:p>
    <w:p>
      <w:pPr>
        <w:ind w:left="227"/>
      </w:pPr>
      <w:r>
        <w:rPr>
          <w:sz w:val="17"/>
        </w:rPr>
        <w:t>全量训练曲线索引：_work/20260923_i_v3/historical_results_inventory.csv；本次复核 299 个 results.csv，含重复展示副本。</w:t>
      </w:r>
    </w:p>
    <w:p>
      <w:pPr>
        <w:ind w:left="227"/>
      </w:pPr>
      <w:r>
        <w:rPr>
          <w:sz w:val="17"/>
        </w:rPr>
        <w:t>V12 配对指标：1_SEVER/results/E/E_V12/CITRUS_EV12_PRIORITY_300EP/各运行/paired_fine_eval/paired_metrics.json</w:t>
      </w:r>
    </w:p>
    <w:p>
      <w:pPr>
        <w:ind w:left="227"/>
      </w:pPr>
      <w:r>
        <w:rPr>
          <w:sz w:val="17"/>
        </w:rPr>
        <w:t>V12 跨划分审查：1_SEVER/code/ultralytics-main-new/docs/I_V1_REVIEW_20260920/synthesis.md</w:t>
      </w:r>
    </w:p>
    <w:p>
      <w:pPr>
        <w:ind w:left="227"/>
      </w:pPr>
      <w:r>
        <w:rPr>
          <w:sz w:val="17"/>
        </w:rPr>
        <w:t>B/S 实际 runtime YAML：1_SEVER/results/B_series/CITRUS_B_V2_SCREEN_50EP/_protocol/ 与 S_series/grouped_clean_300ep/_protocol/。</w:t>
      </w:r>
    </w:p>
    <w:p>
      <w:pPr>
        <w:ind w:left="227"/>
      </w:pPr>
      <w:r>
        <w:rPr>
          <w:sz w:val="17"/>
        </w:rPr>
        <w:t>I_V1/I_V2 运行记录：1_SEVER/results/I/；I_V3 证据汇总：1_SEVER/code/ultralytics-main-new/docs/I_V3_EVIDENCE_AND_RUN_20260923.md。</w:t>
      </w:r>
    </w:p>
    <w:sectPr w:rsidR="00FC693F" w:rsidRPr="0006063C" w:rsidSect="00034616">
      <w:footerReference w:type="default" r:id="rId10"/>
      <w:pgSz w:w="12240" w:h="15840"/>
      <w:pgMar w:top="1191" w:right="1276" w:bottom="1077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石晓强  ·  开题答辩内部备问  ·  2026 年 9 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1" w:lineRule="auto" w:after="12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6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