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Этап 4. Описание проекта TradeForge</w:t>
      </w:r>
    </w:p>
    <w:p>
      <w:r>
        <w:t>Проект посвящен созданию системы анализа BTCUSDT и проверки торговых моделей на исторических данных.</w:t>
      </w:r>
    </w:p>
    <w:p>
      <w:r>
        <w:t>Цель проекта: построить полный pipeline от рыночных данных до готовой модели, сигнала и веб-интерфейса.</w:t>
      </w:r>
    </w:p>
    <w:p>
      <w:r>
        <w:t>В проекте используются свечи BTCUSDT 15m, признаки цены, объема, волатильности, open interest, funding, liquidation imbalance, news/sentiment и дополнительные meta-признаки.</w:t>
      </w:r>
    </w:p>
    <w:p>
      <w:r>
        <w:t>В ходе экспериментов проверялись baseline-модели, Logistic Regression, Random Forest, HistGradientBoosting, а также sequence-подходы семейства iTransformer/PatchTST/TSMixer.</w:t>
      </w:r>
    </w:p>
    <w:p>
      <w:r>
        <w:t>Финальная демонстрация для этапа 5 вынесена в два ноутбука: один использует готовую модель, второй показывает эксперименты и сравнение подходов.</w:t>
      </w:r>
    </w:p>
    <w:p>
      <w:r>
        <w:t>Вывод: краткосрочный рынок BTC шумный, поэтому модель не должна восприниматься как гарантия прибыли. Главная ценность проекта — воспроизводимый ML-pipeline, backtest, web dashboard и понятная структура проверки модели.</w:t>
      </w:r>
    </w:p>
    <w:sectPr>
      <w:pgSz w:w="11906" w:h="16838"/>
      <w:pgMar w:top="1440" w:right="1440" w:bottom="1440" w:left="1440"/>
    </w:sectPr>
  </w:body>
</w:document>
</file>