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32C3"/>
    <w:p w14:paraId="17CB6AFB"/>
    <w:p w14:paraId="0CD50062"/>
    <w:p w14:paraId="68A8CAA2"/>
    <w:p w14:paraId="745683AB">
      <w:pPr>
        <w:jc w:val="center"/>
      </w:pPr>
      <w:r>
        <w:rPr>
          <w:rFonts w:ascii="Arial" w:hAnsi="Arial" w:eastAsia="黑体"/>
          <w:b/>
          <w:sz w:val="52"/>
        </w:rPr>
        <w:t>旅游规划智能体系统</w:t>
      </w:r>
    </w:p>
    <w:p w14:paraId="789FC713">
      <w:pPr>
        <w:spacing w:after="600"/>
        <w:jc w:val="center"/>
      </w:pPr>
      <w:r>
        <w:rPr>
          <w:rFonts w:ascii="Arial" w:hAnsi="Arial" w:eastAsia="黑体"/>
          <w:b/>
          <w:sz w:val="44"/>
        </w:rPr>
        <w:t>项目编码规范文档</w:t>
      </w:r>
    </w:p>
    <w:p w14:paraId="7BF03DF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086D8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EFC9842">
            <w:r>
              <w:rPr>
                <w:rFonts w:ascii="Times New Roman" w:hAnsi="Times New Roman" w:eastAsia="宋体"/>
                <w:b/>
                <w:sz w:val="22"/>
              </w:rPr>
              <w:t>项目名称</w:t>
            </w:r>
          </w:p>
        </w:tc>
        <w:tc>
          <w:tcPr>
            <w:tcW w:w="4419" w:type="dxa"/>
          </w:tcPr>
          <w:p w14:paraId="371A4883">
            <w:r>
              <w:rPr>
                <w:rFonts w:ascii="Times New Roman" w:hAnsi="Times New Roman" w:eastAsia="宋体"/>
                <w:sz w:val="22"/>
              </w:rPr>
              <w:t>旅游规划智能体系统</w:t>
            </w:r>
          </w:p>
        </w:tc>
      </w:tr>
      <w:tr w14:paraId="1741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FFC0B16">
            <w:r>
              <w:rPr>
                <w:rFonts w:ascii="Times New Roman" w:hAnsi="Times New Roman" w:eastAsia="宋体"/>
                <w:b/>
                <w:sz w:val="22"/>
              </w:rPr>
              <w:t>文档名称</w:t>
            </w:r>
          </w:p>
        </w:tc>
        <w:tc>
          <w:tcPr>
            <w:tcW w:w="4419" w:type="dxa"/>
          </w:tcPr>
          <w:p w14:paraId="0224289C">
            <w:r>
              <w:rPr>
                <w:rFonts w:ascii="Times New Roman" w:hAnsi="Times New Roman" w:eastAsia="宋体"/>
                <w:sz w:val="22"/>
              </w:rPr>
              <w:t>项目编码规范文档</w:t>
            </w:r>
          </w:p>
        </w:tc>
      </w:tr>
      <w:tr w14:paraId="4128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B51E55F">
            <w:r>
              <w:rPr>
                <w:rFonts w:ascii="Times New Roman" w:hAnsi="Times New Roman" w:eastAsia="宋体"/>
                <w:b/>
                <w:sz w:val="22"/>
              </w:rPr>
              <w:t>文档版本</w:t>
            </w:r>
          </w:p>
        </w:tc>
        <w:tc>
          <w:tcPr>
            <w:tcW w:w="4419" w:type="dxa"/>
          </w:tcPr>
          <w:p w14:paraId="2143E3B0">
            <w:r>
              <w:rPr>
                <w:rFonts w:ascii="Times New Roman" w:hAnsi="Times New Roman" w:eastAsia="宋体"/>
                <w:sz w:val="22"/>
              </w:rPr>
              <w:t>V1.2</w:t>
            </w:r>
          </w:p>
        </w:tc>
      </w:tr>
      <w:tr w14:paraId="3611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94B31D9">
            <w:r>
              <w:rPr>
                <w:rFonts w:ascii="Times New Roman" w:hAnsi="Times New Roman" w:eastAsia="宋体"/>
                <w:b/>
                <w:sz w:val="22"/>
              </w:rPr>
              <w:t>编制单位</w:t>
            </w:r>
          </w:p>
        </w:tc>
        <w:tc>
          <w:tcPr>
            <w:tcW w:w="4419" w:type="dxa"/>
          </w:tcPr>
          <w:p w14:paraId="6FB59E3B">
            <w:r>
              <w:rPr>
                <w:rFonts w:ascii="Times New Roman" w:hAnsi="Times New Roman" w:eastAsia="宋体"/>
                <w:sz w:val="22"/>
              </w:rPr>
              <w:t>课程设计小组（成员待填）</w:t>
            </w:r>
          </w:p>
        </w:tc>
      </w:tr>
      <w:tr w14:paraId="578A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4FB9C9E">
            <w:r>
              <w:rPr>
                <w:rFonts w:ascii="Times New Roman" w:hAnsi="Times New Roman" w:eastAsia="宋体"/>
                <w:b/>
                <w:sz w:val="22"/>
              </w:rPr>
              <w:t>编制日期</w:t>
            </w:r>
          </w:p>
        </w:tc>
        <w:tc>
          <w:tcPr>
            <w:tcW w:w="4419" w:type="dxa"/>
          </w:tcPr>
          <w:p w14:paraId="70220155">
            <w:r>
              <w:rPr>
                <w:rFonts w:ascii="Times New Roman" w:hAnsi="Times New Roman" w:eastAsia="宋体"/>
                <w:sz w:val="22"/>
              </w:rPr>
              <w:t>2026年9月13日</w:t>
            </w:r>
          </w:p>
        </w:tc>
      </w:tr>
      <w:tr w14:paraId="3022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B01D776">
            <w:r>
              <w:rPr>
                <w:rFonts w:ascii="Times New Roman" w:hAnsi="Times New Roman" w:eastAsia="宋体"/>
                <w:b/>
                <w:sz w:val="22"/>
              </w:rPr>
              <w:t>文档状态</w:t>
            </w:r>
          </w:p>
        </w:tc>
        <w:tc>
          <w:tcPr>
            <w:tcW w:w="4419" w:type="dxa"/>
          </w:tcPr>
          <w:p w14:paraId="3880EF29">
            <w:r>
              <w:rPr>
                <w:rFonts w:ascii="Times New Roman" w:hAnsi="Times New Roman" w:eastAsia="宋体"/>
                <w:sz w:val="22"/>
              </w:rPr>
              <w:t>发布</w:t>
            </w:r>
          </w:p>
        </w:tc>
      </w:tr>
    </w:tbl>
    <w:p w14:paraId="4B15A10A">
      <w:r>
        <w:br w:type="page"/>
      </w:r>
    </w:p>
    <w:p w14:paraId="3F54D7F9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09"/>
        <w:gridCol w:w="2209"/>
        <w:gridCol w:w="2209"/>
      </w:tblGrid>
      <w:tr w14:paraId="2B0D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E8E8E8"/>
          </w:tcPr>
          <w:p w14:paraId="74CFB6C8">
            <w:r>
              <w:rPr>
                <w:rFonts w:ascii="Times New Roman" w:hAnsi="Times New Roman" w:eastAsia="宋体"/>
                <w:b/>
                <w:sz w:val="22"/>
              </w:rPr>
              <w:t>版本</w:t>
            </w:r>
          </w:p>
        </w:tc>
        <w:tc>
          <w:tcPr>
            <w:tcW w:w="2209" w:type="dxa"/>
            <w:shd w:val="clear" w:color="auto" w:fill="E8E8E8"/>
          </w:tcPr>
          <w:p w14:paraId="168878B4">
            <w:r>
              <w:rPr>
                <w:rFonts w:ascii="Times New Roman" w:hAnsi="Times New Roman" w:eastAsia="宋体"/>
                <w:b/>
                <w:sz w:val="22"/>
              </w:rPr>
              <w:t>日期</w:t>
            </w:r>
          </w:p>
        </w:tc>
        <w:tc>
          <w:tcPr>
            <w:tcW w:w="2209" w:type="dxa"/>
            <w:shd w:val="clear" w:color="auto" w:fill="E8E8E8"/>
          </w:tcPr>
          <w:p w14:paraId="3454B96E">
            <w:r>
              <w:rPr>
                <w:rFonts w:ascii="Times New Roman" w:hAnsi="Times New Roman" w:eastAsia="宋体"/>
                <w:b/>
                <w:sz w:val="22"/>
              </w:rPr>
              <w:t>修订说明</w:t>
            </w:r>
          </w:p>
        </w:tc>
        <w:tc>
          <w:tcPr>
            <w:tcW w:w="2209" w:type="dxa"/>
            <w:shd w:val="clear" w:color="auto" w:fill="E8E8E8"/>
          </w:tcPr>
          <w:p w14:paraId="00D4544F">
            <w:r>
              <w:rPr>
                <w:rFonts w:ascii="Times New Roman" w:hAnsi="Times New Roman" w:eastAsia="宋体"/>
                <w:b/>
                <w:sz w:val="22"/>
              </w:rPr>
              <w:t>修订人</w:t>
            </w:r>
          </w:p>
        </w:tc>
      </w:tr>
      <w:tr w14:paraId="2D5CB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84997BC">
            <w:r>
              <w:rPr>
                <w:rFonts w:ascii="Times New Roman" w:hAnsi="Times New Roman" w:eastAsia="宋体"/>
                <w:sz w:val="22"/>
              </w:rPr>
              <w:t>V1.0</w:t>
            </w:r>
          </w:p>
        </w:tc>
        <w:tc>
          <w:tcPr>
            <w:tcW w:w="2209" w:type="dxa"/>
          </w:tcPr>
          <w:p w14:paraId="3634B02A">
            <w:r>
              <w:rPr>
                <w:rFonts w:ascii="Times New Roman" w:hAnsi="Times New Roman" w:eastAsia="宋体"/>
                <w:sz w:val="22"/>
              </w:rPr>
              <w:t>2026-09</w:t>
            </w:r>
          </w:p>
        </w:tc>
        <w:tc>
          <w:tcPr>
            <w:tcW w:w="2209" w:type="dxa"/>
          </w:tcPr>
          <w:p w14:paraId="7AF869F8">
            <w:r>
              <w:rPr>
                <w:rFonts w:ascii="Times New Roman" w:hAnsi="Times New Roman" w:eastAsia="宋体"/>
                <w:sz w:val="22"/>
              </w:rPr>
              <w:t>初稿形成，明确前后端编码、数据库、部署等约定</w:t>
            </w:r>
          </w:p>
        </w:tc>
        <w:tc>
          <w:tcPr>
            <w:tcW w:w="2209" w:type="dxa"/>
          </w:tcPr>
          <w:p w14:paraId="58A60141">
            <w:r>
              <w:rPr>
                <w:rFonts w:ascii="Times New Roman" w:hAnsi="Times New Roman" w:eastAsia="宋体"/>
                <w:sz w:val="22"/>
              </w:rPr>
              <w:t>待填</w:t>
            </w:r>
          </w:p>
        </w:tc>
      </w:tr>
      <w:tr w14:paraId="3BDB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6A711B3F">
            <w:r>
              <w:rPr>
                <w:rFonts w:ascii="Times New Roman" w:hAnsi="Times New Roman" w:eastAsia="宋体"/>
                <w:sz w:val="22"/>
              </w:rPr>
              <w:t>V1.1</w:t>
            </w:r>
          </w:p>
        </w:tc>
        <w:tc>
          <w:tcPr>
            <w:tcW w:w="2209" w:type="dxa"/>
          </w:tcPr>
          <w:p w14:paraId="5806A953">
            <w:r>
              <w:rPr>
                <w:rFonts w:ascii="Times New Roman" w:hAnsi="Times New Roman" w:eastAsia="宋体"/>
                <w:sz w:val="22"/>
              </w:rPr>
              <w:t>2026-09-13</w:t>
            </w:r>
          </w:p>
        </w:tc>
        <w:tc>
          <w:tcPr>
            <w:tcW w:w="2209" w:type="dxa"/>
          </w:tcPr>
          <w:p w14:paraId="54749815">
            <w:r>
              <w:rPr>
                <w:rFonts w:ascii="Times New Roman" w:hAnsi="Times New Roman" w:eastAsia="宋体"/>
                <w:sz w:val="22"/>
              </w:rPr>
              <w:t>全文行文修订，补充条目说明与动机</w:t>
            </w:r>
          </w:p>
        </w:tc>
        <w:tc>
          <w:tcPr>
            <w:tcW w:w="2209" w:type="dxa"/>
          </w:tcPr>
          <w:p w14:paraId="0613D44C">
            <w:r>
              <w:rPr>
                <w:rFonts w:ascii="Times New Roman" w:hAnsi="Times New Roman" w:eastAsia="宋体"/>
                <w:sz w:val="22"/>
              </w:rPr>
              <w:t>待填</w:t>
            </w:r>
          </w:p>
        </w:tc>
      </w:tr>
      <w:tr w14:paraId="358E5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6FC6380">
            <w:r>
              <w:rPr>
                <w:rFonts w:ascii="Times New Roman" w:hAnsi="Times New Roman" w:eastAsia="宋体"/>
                <w:sz w:val="22"/>
              </w:rPr>
              <w:t>V1.2</w:t>
            </w:r>
          </w:p>
        </w:tc>
        <w:tc>
          <w:tcPr>
            <w:tcW w:w="2209" w:type="dxa"/>
          </w:tcPr>
          <w:p w14:paraId="3BBD7F5B">
            <w:r>
              <w:rPr>
                <w:rFonts w:ascii="Times New Roman" w:hAnsi="Times New Roman" w:eastAsia="宋体"/>
                <w:sz w:val="22"/>
              </w:rPr>
              <w:t>2026-09-13</w:t>
            </w:r>
          </w:p>
        </w:tc>
        <w:tc>
          <w:tcPr>
            <w:tcW w:w="2209" w:type="dxa"/>
          </w:tcPr>
          <w:p w14:paraId="786F31D9">
            <w:r>
              <w:rPr>
                <w:rFonts w:ascii="Times New Roman" w:hAnsi="Times New Roman" w:eastAsia="宋体"/>
                <w:sz w:val="22"/>
              </w:rPr>
              <w:t>按软件工程成文标准调整：增补封面、修订记录、目录；条目改为编号制</w:t>
            </w:r>
          </w:p>
        </w:tc>
        <w:tc>
          <w:tcPr>
            <w:tcW w:w="2209" w:type="dxa"/>
          </w:tcPr>
          <w:p w14:paraId="1A363FF5">
            <w:r>
              <w:rPr>
                <w:rFonts w:ascii="Times New Roman" w:hAnsi="Times New Roman" w:eastAsia="宋体"/>
                <w:sz w:val="22"/>
              </w:rPr>
              <w:t>待填</w:t>
            </w:r>
          </w:p>
        </w:tc>
      </w:tr>
    </w:tbl>
    <w:p w14:paraId="3FEEAD7A"/>
    <w:p w14:paraId="0F153EC5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目录</w:t>
      </w:r>
    </w:p>
    <w:p w14:paraId="63A1731E">
      <w:r>
        <w:fldChar w:fldCharType="begin"/>
      </w:r>
      <w:r>
        <w:instrText xml:space="preserve">TOC \o "1-2" \h \z \u</w:instrText>
      </w:r>
      <w:r>
        <w:fldChar w:fldCharType="separate"/>
      </w:r>
      <w:r>
        <w:t>（目录为自动生成域：在 Word 中右键此处，选择"更新域"即可生成）</w:t>
      </w:r>
      <w:r>
        <w:fldChar w:fldCharType="end"/>
      </w:r>
    </w:p>
    <w:p w14:paraId="594A7135">
      <w:r>
        <w:br w:type="page"/>
      </w:r>
    </w:p>
    <w:p w14:paraId="47D1D144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1 文档概述</w:t>
      </w:r>
    </w:p>
    <w:p w14:paraId="2BCB99B7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1.1 项目简介</w:t>
      </w:r>
    </w:p>
    <w:p w14:paraId="4FAC526B">
      <w:pPr>
        <w:ind w:firstLine="480"/>
      </w:pPr>
      <w:r>
        <w:rPr>
          <w:rFonts w:ascii="Times New Roman" w:hAnsi="Times New Roman" w:eastAsia="宋体"/>
          <w:sz w:val="24"/>
        </w:rPr>
        <w:t>旅游规划智能体系统是一个基于大模型与 Agent 技术的前后端分离单体项目。用户输入目的地、出行天数、人数、预算和出行偏好后，系统自动完成景点、交通、住宿、美食的编排，生成一份可以直接使用的旅行方案，并支持通过多轮对话修改行程、将行程导出为 PDF 或图片。后台部分提供线路库、用户记录与统计管理功能。</w:t>
      </w:r>
    </w:p>
    <w:p w14:paraId="4324E747">
      <w:pPr>
        <w:ind w:firstLine="480"/>
      </w:pPr>
      <w:r>
        <w:rPr>
          <w:rFonts w:ascii="Times New Roman" w:hAnsi="Times New Roman" w:eastAsia="宋体"/>
          <w:sz w:val="24"/>
        </w:rPr>
        <w:t>技术选型如下：</w:t>
      </w:r>
    </w:p>
    <w:p w14:paraId="56CC6310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</w:t>
      </w:r>
      <w:r>
        <w:rPr>
          <w:rFonts w:ascii="Times New Roman" w:hAnsi="Times New Roman" w:eastAsia="宋体"/>
          <w:b/>
          <w:sz w:val="24"/>
        </w:rPr>
        <w:t>后端：</w:t>
      </w:r>
      <w:r>
        <w:rPr>
          <w:rFonts w:ascii="Times New Roman" w:hAnsi="Times New Roman" w:eastAsia="宋体"/>
          <w:sz w:val="24"/>
        </w:rPr>
        <w:t>Spring Boot、MyBatis、Redis、RabbitMQ、Spring Security，日志统一使用 Slf4j，最终通过 Docker 部署。</w:t>
      </w:r>
    </w:p>
    <w:p w14:paraId="550D321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</w:t>
      </w:r>
      <w:r>
        <w:rPr>
          <w:rFonts w:ascii="Times New Roman" w:hAnsi="Times New Roman" w:eastAsia="宋体"/>
          <w:b/>
          <w:sz w:val="24"/>
        </w:rPr>
        <w:t>前端：</w:t>
      </w:r>
      <w:r>
        <w:rPr>
          <w:rFonts w:ascii="Times New Roman" w:hAnsi="Times New Roman" w:eastAsia="宋体"/>
          <w:sz w:val="24"/>
        </w:rPr>
        <w:t>Vue3 + Vite，规范检查使用 ESLint，数据看板使用 ECharts。</w:t>
      </w:r>
    </w:p>
    <w:p w14:paraId="7C14720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</w:t>
      </w:r>
      <w:r>
        <w:rPr>
          <w:rFonts w:ascii="Times New Roman" w:hAnsi="Times New Roman" w:eastAsia="宋体"/>
          <w:b/>
          <w:sz w:val="24"/>
        </w:rPr>
        <w:t>AI 能力：</w:t>
      </w:r>
      <w:r>
        <w:rPr>
          <w:rFonts w:ascii="Times New Roman" w:hAnsi="Times New Roman" w:eastAsia="宋体"/>
          <w:sz w:val="24"/>
        </w:rPr>
        <w:t>调用云端大模型 API 实现智能体对话与行程生成，不部署本地大模型。</w:t>
      </w:r>
    </w:p>
    <w:p w14:paraId="4F1B2F67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1.2 编写目的</w:t>
      </w:r>
    </w:p>
    <w:p w14:paraId="00DE36E0">
      <w:pPr>
        <w:ind w:firstLine="480"/>
      </w:pPr>
      <w:r>
        <w:rPr>
          <w:rFonts w:ascii="Times New Roman" w:hAnsi="Times New Roman" w:eastAsia="宋体"/>
          <w:sz w:val="24"/>
        </w:rPr>
        <w:t>小组分工开发时，最容易出现的问题就是风格不统一：命名各起各的、目录随手建、注释可有可无，合并代码时互相看不懂。本文档把命名、注释、目录结构、代码格式这些约定固定下来，一方面降低协作与代码评审的沟通成本，提升代码的可读性和可维护性；另一方面配合自动化工具（阿里规约插件、ESLint）把一部分低级问题挡在提交之前。同时也满足课程设计对工程规范的考核要求。</w:t>
      </w:r>
    </w:p>
    <w:p w14:paraId="4079388A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1.3 参考资料</w:t>
      </w:r>
    </w:p>
    <w:p w14:paraId="5F39D794">
      <w:pPr>
        <w:ind w:left="480" w:hanging="480"/>
      </w:pPr>
      <w:r>
        <w:rPr>
          <w:rFonts w:ascii="Times New Roman" w:hAnsi="Times New Roman" w:eastAsia="宋体"/>
          <w:sz w:val="24"/>
        </w:rPr>
        <w:t>[1] 《阿里巴巴Java开发手册》（Alibaba Java Coding Guidelines 1.3.1）</w:t>
      </w:r>
    </w:p>
    <w:p w14:paraId="3B4770D4">
      <w:pPr>
        <w:ind w:left="480" w:hanging="480"/>
      </w:pPr>
      <w:r>
        <w:rPr>
          <w:rFonts w:ascii="Times New Roman" w:hAnsi="Times New Roman" w:eastAsia="宋体"/>
          <w:sz w:val="24"/>
        </w:rPr>
        <w:t>[2] ESLint 官方中文文档</w:t>
      </w:r>
    </w:p>
    <w:p w14:paraId="19D6FD40">
      <w:pPr>
        <w:ind w:left="480" w:hanging="480"/>
      </w:pPr>
      <w:r>
        <w:rPr>
          <w:rFonts w:ascii="Times New Roman" w:hAnsi="Times New Roman" w:eastAsia="宋体"/>
          <w:sz w:val="24"/>
        </w:rPr>
        <w:t>[3] 《2024级软件工程课程设计题目及要求》</w:t>
      </w:r>
    </w:p>
    <w:p w14:paraId="661DAC7F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1.4 适用范围</w:t>
      </w:r>
    </w:p>
    <w:p w14:paraId="4EA5EE3F">
      <w:pPr>
        <w:ind w:firstLine="480"/>
      </w:pPr>
      <w:r>
        <w:rPr>
          <w:rFonts w:ascii="Times New Roman" w:hAnsi="Times New Roman" w:eastAsia="宋体"/>
          <w:sz w:val="24"/>
        </w:rPr>
        <w:t>本规范约束项目全部前后端源代码、SQL 脚本与配置文件，对项目组所有成员生效。课程设计最终提交的代码必须符合本文档的约定。</w:t>
      </w:r>
    </w:p>
    <w:p w14:paraId="7BD08D44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2 后端Java编码规范</w:t>
      </w:r>
    </w:p>
    <w:p w14:paraId="6002C343">
      <w:pPr>
        <w:ind w:firstLine="480"/>
      </w:pPr>
      <w:r>
        <w:rPr>
          <w:rFonts w:ascii="Times New Roman" w:hAnsi="Times New Roman" w:eastAsia="宋体"/>
          <w:sz w:val="24"/>
        </w:rPr>
        <w:t>本章以《阿里巴巴Java开发手册》为基准，只摘录与本项目相关的条目，以及小组讨论后额外补充的约定，完整规则以原手册为准。如两者有出入，以手册为准。</w:t>
      </w:r>
    </w:p>
    <w:p w14:paraId="6BEBE82C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2.1 命名规约</w:t>
      </w:r>
    </w:p>
    <w:p w14:paraId="4FC16C87">
      <w:pPr>
        <w:ind w:firstLine="480"/>
      </w:pPr>
      <w:r>
        <w:rPr>
          <w:rFonts w:ascii="Times New Roman" w:hAnsi="Times New Roman" w:eastAsia="宋体"/>
          <w:sz w:val="24"/>
        </w:rPr>
        <w:t>命名的总原则是"见名知义"：能看英文就不拼拼音，能用一个单词说清就不凑三个。具体约定如下：</w:t>
      </w:r>
    </w:p>
    <w:p w14:paraId="7B572720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（1）包名全部小写，格式为 com.travelplan.xxx，保持连续的单个单词，不出现大写。</w:t>
      </w:r>
    </w:p>
    <w:p w14:paraId="5B8ABDA3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（2）类名使用大驼峰，DO、DTO、VO 等后缀要能看出对象所属的层，如 TravelPlanDO、TravelRouteDTO、RouteManageService。</w:t>
      </w:r>
    </w:p>
    <w:p w14:paraId="56D2F14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（3）方法名、变量名使用小驼峰。Service 层方法名统一约定前缀：get 查单个、list 查列表、count 统计、save/insert 新增、update 修改、remove/delete 删除，看到方法名就能猜到对应的操作。</w:t>
      </w:r>
    </w:p>
    <w:p w14:paraId="139FD2E4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（4）常量全大写、下划线分隔，如 MAX_TRAVEL_DAY。</w:t>
      </w:r>
    </w:p>
    <w:p w14:paraId="0DC7A711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（5）表名全小写下划线，按"业务_功能"组织，如 travel_route、user_travel_record，一律使用单数。</w:t>
      </w:r>
    </w:p>
    <w:p w14:paraId="3F4C100D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（6）字段名同样小写下划线。每张表必须带 id、gmt_create、gmt_modified 三个公共字段，逻辑删除统一使用 is_deleted（tinyint）。</w:t>
      </w:r>
    </w:p>
    <w:p w14:paraId="1ED4FC5A">
      <w:pPr>
        <w:ind w:firstLine="480"/>
      </w:pPr>
      <w:r>
        <w:rPr>
          <w:rFonts w:ascii="Times New Roman" w:hAnsi="Times New Roman" w:eastAsia="宋体"/>
          <w:sz w:val="24"/>
        </w:rPr>
        <w:t>以下写法视为不合规：拼音英文混合命名（如 dingdanStatus）、中文命名，以及直接写进业务代码的魔法数字。</w:t>
      </w:r>
    </w:p>
    <w:p w14:paraId="63E5D126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2.2 分层模型定义</w:t>
      </w:r>
    </w:p>
    <w:p w14:paraId="0A05E66E">
      <w:pPr>
        <w:ind w:firstLine="480"/>
      </w:pPr>
      <w:r>
        <w:rPr>
          <w:rFonts w:ascii="Times New Roman" w:hAnsi="Times New Roman" w:eastAsia="宋体"/>
          <w:sz w:val="24"/>
        </w:rPr>
        <w:t>后端按 Controller（Web 请求层）→ Service（业务层）→ Manager（通用处理层）→ DAO/Mapper（持久层）四层组织。各层之间传递的对象按下表定义，禁止用 Map 传参——字段名拼错只能等到运行时才暴露。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6122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E8E8E8"/>
          </w:tcPr>
          <w:p w14:paraId="7EAD8BD5">
            <w:r>
              <w:rPr>
                <w:rFonts w:ascii="Times New Roman" w:hAnsi="Times New Roman" w:eastAsia="宋体"/>
                <w:b/>
                <w:sz w:val="22"/>
              </w:rPr>
              <w:t>对象类型</w:t>
            </w:r>
          </w:p>
        </w:tc>
        <w:tc>
          <w:tcPr>
            <w:tcW w:w="4419" w:type="dxa"/>
            <w:shd w:val="clear" w:color="auto" w:fill="E8E8E8"/>
          </w:tcPr>
          <w:p w14:paraId="341C602D">
            <w:r>
              <w:rPr>
                <w:rFonts w:ascii="Times New Roman" w:hAnsi="Times New Roman" w:eastAsia="宋体"/>
                <w:b/>
                <w:sz w:val="22"/>
              </w:rPr>
              <w:t>说明</w:t>
            </w:r>
          </w:p>
        </w:tc>
      </w:tr>
      <w:tr w14:paraId="1D2F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E478EF7">
            <w:r>
              <w:rPr>
                <w:rFonts w:ascii="Times New Roman" w:hAnsi="Times New Roman" w:eastAsia="宋体"/>
                <w:sz w:val="22"/>
              </w:rPr>
              <w:t>DO</w:t>
            </w:r>
          </w:p>
        </w:tc>
        <w:tc>
          <w:tcPr>
            <w:tcW w:w="4419" w:type="dxa"/>
          </w:tcPr>
          <w:p w14:paraId="13CB12C1">
            <w:r>
              <w:rPr>
                <w:rFonts w:ascii="Times New Roman" w:hAnsi="Times New Roman" w:eastAsia="宋体"/>
                <w:sz w:val="22"/>
              </w:rPr>
              <w:t>数据库实体对象，和数据表一一对应</w:t>
            </w:r>
          </w:p>
        </w:tc>
      </w:tr>
      <w:tr w14:paraId="4D05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B235C22">
            <w:r>
              <w:rPr>
                <w:rFonts w:ascii="Times New Roman" w:hAnsi="Times New Roman" w:eastAsia="宋体"/>
                <w:sz w:val="22"/>
              </w:rPr>
              <w:t>DTO</w:t>
            </w:r>
          </w:p>
        </w:tc>
        <w:tc>
          <w:tcPr>
            <w:tcW w:w="4419" w:type="dxa"/>
          </w:tcPr>
          <w:p w14:paraId="7E5F1654">
            <w:r>
              <w:rPr>
                <w:rFonts w:ascii="Times New Roman" w:hAnsi="Times New Roman" w:eastAsia="宋体"/>
                <w:sz w:val="22"/>
              </w:rPr>
              <w:t>服务之间的数据传输对象</w:t>
            </w:r>
          </w:p>
        </w:tc>
      </w:tr>
      <w:tr w14:paraId="38FC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23D0E76">
            <w:r>
              <w:rPr>
                <w:rFonts w:ascii="Times New Roman" w:hAnsi="Times New Roman" w:eastAsia="宋体"/>
                <w:sz w:val="22"/>
              </w:rPr>
              <w:t>VO</w:t>
            </w:r>
          </w:p>
        </w:tc>
        <w:tc>
          <w:tcPr>
            <w:tcW w:w="4419" w:type="dxa"/>
          </w:tcPr>
          <w:p w14:paraId="3247F916">
            <w:r>
              <w:rPr>
                <w:rFonts w:ascii="Times New Roman" w:hAnsi="Times New Roman" w:eastAsia="宋体"/>
                <w:sz w:val="22"/>
              </w:rPr>
              <w:t>返回给前端的视图对象</w:t>
            </w:r>
          </w:p>
        </w:tc>
      </w:tr>
      <w:tr w14:paraId="702D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15118A9">
            <w:r>
              <w:rPr>
                <w:rFonts w:ascii="Times New Roman" w:hAnsi="Times New Roman" w:eastAsia="宋体"/>
                <w:sz w:val="22"/>
              </w:rPr>
              <w:t>Query</w:t>
            </w:r>
          </w:p>
        </w:tc>
        <w:tc>
          <w:tcPr>
            <w:tcW w:w="4419" w:type="dxa"/>
          </w:tcPr>
          <w:p w14:paraId="3C5B7392">
            <w:r>
              <w:rPr>
                <w:rFonts w:ascii="Times New Roman" w:hAnsi="Times New Roman" w:eastAsia="宋体"/>
                <w:sz w:val="22"/>
              </w:rPr>
              <w:t>查询条件封装对象</w:t>
            </w:r>
          </w:p>
        </w:tc>
      </w:tr>
    </w:tbl>
    <w:p w14:paraId="37B0FD56"/>
    <w:p w14:paraId="7A5AA57C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2.3 代码格式</w:t>
      </w:r>
    </w:p>
    <w:p w14:paraId="1827E37A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（1）缩进统一为 4 个空格，在 IDEA 中把 Tab 设为空格，避免不同编辑器下排版错乱。</w:t>
      </w:r>
    </w:p>
    <w:p w14:paraId="6C57B57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（2）左大括号不换行，右大括号必须换行。</w:t>
      </w:r>
    </w:p>
    <w:p w14:paraId="7FF38476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（3）运算符两侧留空格；if/for/while 与括号之间留一个空格。</w:t>
      </w:r>
    </w:p>
    <w:p w14:paraId="2E03948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（4）单行不超过 120 字符，超长就换行，不要为了省行数挤成一行。</w:t>
      </w:r>
    </w:p>
    <w:p w14:paraId="50E4769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（5）不同业务逻辑的代码块之间空一行，读起来有段落感。</w:t>
      </w:r>
    </w:p>
    <w:p w14:paraId="366A77F1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2.4 OOP规约</w:t>
      </w:r>
    </w:p>
    <w:p w14:paraId="1A0D23E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（1）POJO 中的布尔属性不要加 is 前缀，部分序列化框架会解析失败，这是阿里手册里点名的经典坑。</w:t>
      </w:r>
    </w:p>
    <w:p w14:paraId="46BB0D17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（2）重写 equals 必须同时重写 hashCode。</w:t>
      </w:r>
    </w:p>
    <w:p w14:paraId="2BE9B611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（3）所有重写方法加 @Override，让编译器帮忙确认签名没写错。</w:t>
      </w:r>
    </w:p>
    <w:p w14:paraId="79FA6439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（4）POJO 属性统一使用包装类型（Integer/Long），数据库字段为 null 时基本类型拆箱会直接 NPE。</w:t>
      </w:r>
    </w:p>
    <w:p w14:paraId="736E9FC2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（5）静态成员通过类名访问，不绕道对象引用。</w:t>
      </w:r>
    </w:p>
    <w:p w14:paraId="71BD35CA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2.5 集合处理</w:t>
      </w:r>
    </w:p>
    <w:p w14:paraId="0EE0EF0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（1）不要在 foreach 循环里直接 add/remove 元素，需要边遍历边删时使用 Iterator。</w:t>
      </w:r>
    </w:p>
    <w:p w14:paraId="7247C3C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（2）集合初始化时尽量指定容量，能省一次扩容拷贝。</w:t>
      </w:r>
    </w:p>
    <w:p w14:paraId="49D1F66A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（3）遍历 Map 优先使用 entrySet，keySet 相当于多遍历一次。</w:t>
      </w:r>
    </w:p>
    <w:p w14:paraId="778FB26D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（4）ArrayList 的 subList 返回的是视图而不是新列表，不能强转回 ArrayList。</w:t>
      </w:r>
    </w:p>
    <w:p w14:paraId="77838045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2.6 异常与日志规约</w:t>
      </w:r>
    </w:p>
    <w:p w14:paraId="78CA47A9">
      <w:pPr>
        <w:ind w:firstLine="480"/>
      </w:pPr>
      <w:r>
        <w:rPr>
          <w:rFonts w:ascii="Times New Roman" w:hAnsi="Times New Roman" w:eastAsia="宋体"/>
          <w:sz w:val="24"/>
        </w:rPr>
        <w:t>日志统一走 Slf4j 门面，不直接使用 Log4j/Logback 的原生 API，方便后续替换实现：</w:t>
      </w:r>
    </w:p>
    <w:p w14:paraId="34DF9901">
      <w:pPr>
        <w:shd w:val="clear" w:fill="F2F2F2"/>
        <w:spacing w:after="120" w:line="276" w:lineRule="auto"/>
        <w:ind w:left="480"/>
      </w:pPr>
      <w:r>
        <w:rPr>
          <w:rFonts w:ascii="Consolas" w:hAnsi="Consolas" w:eastAsia="宋体"/>
          <w:sz w:val="21"/>
        </w:rPr>
        <w:t>private static final Logger logger = LoggerFactory.getLogger(TravelPlanServiceImpl.class);</w:t>
      </w:r>
    </w:p>
    <w:p w14:paraId="6CE02292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（1）打日志用占位符而不是字符串拼接：logger.info("用户{}生成行程", userId)。</w:t>
      </w:r>
    </w:p>
    <w:p w14:paraId="1686F26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（2）error 级别必须把异常对象作为最后一个参数带上，输出完整堆栈。</w:t>
      </w:r>
    </w:p>
    <w:p w14:paraId="4E5DB316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（3）捕获异常后不允许空处理，要么处理掉，要么向上抛。</w:t>
      </w:r>
    </w:p>
    <w:p w14:paraId="4CF3B3A6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（4）不要用异常做业务流程控制。</w:t>
      </w:r>
    </w:p>
    <w:p w14:paraId="0992C20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（5）DAO 层的异常包装成自定义 DAOException 向上抛，到 Web 层统一转为标准结果返回给前端，不再继续向外抛。</w:t>
      </w:r>
    </w:p>
    <w:p w14:paraId="7037FCF5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2.7 数据库与MyBatis规约</w:t>
      </w:r>
    </w:p>
    <w:p w14:paraId="2684D836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（1）SQL 中不写 select *，用到哪些字段就明确写出来，也为后续加字段留余地。</w:t>
      </w:r>
    </w:p>
    <w:p w14:paraId="4C5EB2AA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（2）参数绑定一律使用 #{}；${} 会直接拼 SQL，存在注入风险，禁止使用。</w:t>
      </w:r>
    </w:p>
    <w:p w14:paraId="3788D1A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（3）超过三张表的 JOIN 拆成多次查询，在内存中组装。</w:t>
      </w:r>
    </w:p>
    <w:p w14:paraId="591A59D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（4）建表必备字段：id（unsigned bigint 主键）、gmt_create、gmt_modified（datetime）。</w:t>
      </w:r>
    </w:p>
    <w:p w14:paraId="71D29F1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（5）不使用存储过程和数据库外键，关联逻辑放在应用层维护，方便后续扩展。</w:t>
      </w:r>
    </w:p>
    <w:p w14:paraId="7A0100B4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（6）任何 UPDATE 都要记得同步更新 gmt_modified。</w:t>
      </w:r>
    </w:p>
    <w:p w14:paraId="55EDD5B2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2.8 安全规约</w:t>
      </w:r>
    </w:p>
    <w:p w14:paraId="30CD762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（1）所有接口必须经过 Spring Security 的权限校验，不允许出现未鉴权的接口。</w:t>
      </w:r>
    </w:p>
    <w:p w14:paraId="574E966D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（2）请求入参一律做校验，防 SQL 注入与 XSS。</w:t>
      </w:r>
    </w:p>
    <w:p w14:paraId="044A4C09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（3）手机号等敏感信息返回前做脱敏处理。</w:t>
      </w:r>
    </w:p>
    <w:p w14:paraId="6230318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（4）对外接口考虑防重与限流。</w:t>
      </w:r>
    </w:p>
    <w:p w14:paraId="1CE23A37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2.9 注释规范</w:t>
      </w:r>
    </w:p>
    <w:p w14:paraId="7360A37B">
      <w:pPr>
        <w:ind w:firstLine="480"/>
      </w:pPr>
      <w:r>
        <w:rPr>
          <w:rFonts w:ascii="Times New Roman" w:hAnsi="Times New Roman" w:eastAsia="宋体"/>
          <w:sz w:val="24"/>
        </w:rPr>
        <w:t>注释既是写给别人看的，也是写给三个月后的自己看的。</w:t>
      </w:r>
    </w:p>
    <w:p w14:paraId="7C3E6264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（1）类和接口使用 Javadoc，写明 @Description、@Author、@Date、@Version。</w:t>
      </w:r>
    </w:p>
    <w:p w14:paraId="4BB74D3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（2）接口方法、抽象方法必须写 Javadoc，说清入参、返回值和业务含义。</w:t>
      </w:r>
    </w:p>
    <w:p w14:paraId="6FC296E0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（3）方法内部的注释写在对应代码上方；枚举的每个成员都要注明业务含义。</w:t>
      </w:r>
    </w:p>
    <w:p w14:paraId="5C88C2E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（4）关键业务逻辑处补充行内说明。</w:t>
      </w:r>
    </w:p>
    <w:p w14:paraId="6BE83ED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（5）没用的代码直接删掉，不要注释掉留着——Git 历史里都有，注释留存只会制造噪音。</w:t>
      </w:r>
    </w:p>
    <w:p w14:paraId="423146BF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2.10 IDEA插件配置</w:t>
      </w:r>
    </w:p>
    <w:p w14:paraId="316CA2D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（1）安装插件 Alibaba Java Coding Guidelines。</w:t>
      </w:r>
    </w:p>
    <w:p w14:paraId="3148C919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（2）开启实时检测：Tools → 阿里编码规约 → 开启实时检测。</w:t>
      </w:r>
    </w:p>
    <w:p w14:paraId="6CDADDE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（3）在 IDEA 中配置类注释模板与方法注释的 Live Template。</w:t>
      </w:r>
    </w:p>
    <w:p w14:paraId="12B3B630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（4）提交前执行一次规约扫描，Blocker、Critical 级别的问题必须清零。</w:t>
      </w:r>
    </w:p>
    <w:p w14:paraId="728213E4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3 前端Vue3编码规范</w:t>
      </w:r>
    </w:p>
    <w:p w14:paraId="579157B5">
      <w:pPr>
        <w:ind w:firstLine="480"/>
      </w:pPr>
      <w:r>
        <w:rPr>
          <w:rFonts w:ascii="Times New Roman" w:hAnsi="Times New Roman" w:eastAsia="宋体"/>
          <w:sz w:val="24"/>
        </w:rPr>
        <w:t>前端使用 Vue3 + Vite 搭建，规范检查交给 ESLint。</w:t>
      </w:r>
    </w:p>
    <w:p w14:paraId="4362283D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3.1 依赖安装与脚本配置</w:t>
      </w:r>
    </w:p>
    <w:p w14:paraId="4BCC171D">
      <w:pPr>
        <w:spacing w:after="40"/>
      </w:pPr>
      <w:r>
        <w:rPr>
          <w:rFonts w:ascii="Times New Roman" w:hAnsi="Times New Roman" w:eastAsia="宋体"/>
          <w:sz w:val="21"/>
        </w:rPr>
        <w:t>安装 ESLint：</w:t>
      </w:r>
    </w:p>
    <w:p w14:paraId="0CA8FA6B">
      <w:pPr>
        <w:shd w:val="clear" w:fill="F2F2F2"/>
        <w:spacing w:after="120" w:line="276" w:lineRule="auto"/>
        <w:ind w:left="480"/>
      </w:pPr>
      <w:r>
        <w:rPr>
          <w:rFonts w:ascii="Consolas" w:hAnsi="Consolas" w:eastAsia="宋体"/>
          <w:sz w:val="21"/>
        </w:rPr>
        <w:t>npm install eslint --save-dev</w:t>
      </w:r>
    </w:p>
    <w:p w14:paraId="1DF8AF6A">
      <w:pPr>
        <w:ind w:firstLine="480"/>
      </w:pPr>
      <w:r>
        <w:rPr>
          <w:rFonts w:ascii="Times New Roman" w:hAnsi="Times New Roman" w:eastAsia="宋体"/>
          <w:sz w:val="24"/>
        </w:rPr>
        <w:t>在 package.json 中加入以下脚本：</w:t>
      </w:r>
    </w:p>
    <w:p w14:paraId="6402DFFC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"scripts": {</w:t>
      </w:r>
    </w:p>
    <w:p w14:paraId="269B5EC9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 xml:space="preserve">  "dev": "vite",</w:t>
      </w:r>
    </w:p>
    <w:p w14:paraId="61770DEF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 xml:space="preserve">  "build": "vite build",</w:t>
      </w:r>
    </w:p>
    <w:p w14:paraId="216FA123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 xml:space="preserve">  "lint:create": "eslint --init",</w:t>
      </w:r>
    </w:p>
    <w:p w14:paraId="0B8D4C4F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 xml:space="preserve">  "lint": "eslint src --fix"</w:t>
      </w:r>
    </w:p>
    <w:p w14:paraId="292FB2BA">
      <w:pPr>
        <w:shd w:val="clear" w:fill="F2F2F2"/>
        <w:spacing w:after="120" w:line="276" w:lineRule="auto"/>
        <w:ind w:left="480"/>
      </w:pPr>
      <w:r>
        <w:rPr>
          <w:rFonts w:ascii="Consolas" w:hAnsi="Consolas" w:eastAsia="宋体"/>
          <w:sz w:val="21"/>
        </w:rPr>
        <w:t>}</w:t>
      </w:r>
    </w:p>
    <w:p w14:paraId="0861F069">
      <w:pPr>
        <w:ind w:firstLine="480"/>
      </w:pPr>
      <w:r>
        <w:rPr>
          <w:rFonts w:ascii="Times New Roman" w:hAnsi="Times New Roman" w:eastAsia="宋体"/>
          <w:sz w:val="24"/>
        </w:rPr>
        <w:t>npm run lint:create 用于生成 .eslintrc.js 配置文件；日常执行 npm run lint 做代码检查，简单的格式问题会自动修复。</w:t>
      </w:r>
    </w:p>
    <w:p w14:paraId="12101A11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3.2 .eslintrc.js 配置说明</w:t>
      </w:r>
    </w:p>
    <w:p w14:paraId="507EC14C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（1）env：声明 browser 与 es6 环境。</w:t>
      </w:r>
    </w:p>
    <w:p w14:paraId="35733436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（2）parserOptions：指定 ES6 语法支持。</w:t>
      </w:r>
    </w:p>
    <w:p w14:paraId="6B29DE17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（3）extends：继承 eslint 推荐规则。</w:t>
      </w:r>
    </w:p>
    <w:p w14:paraId="36AF6A3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（4）rules：项目自定义规则。</w:t>
      </w:r>
    </w:p>
    <w:p w14:paraId="4B119F0C">
      <w:pPr>
        <w:ind w:firstLine="480"/>
      </w:pPr>
      <w:r>
        <w:rPr>
          <w:rFonts w:ascii="Times New Roman" w:hAnsi="Times New Roman" w:eastAsia="宋体"/>
          <w:sz w:val="24"/>
        </w:rPr>
        <w:t>规则等级分三档：0/off 关闭，1/warn 警告，2/error 报错并阻断检查。</w:t>
      </w:r>
    </w:p>
    <w:p w14:paraId="5637333E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3.3 编码风格约束</w:t>
      </w:r>
    </w:p>
    <w:p w14:paraId="687E8DD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（1）组件文件用大驼峰，如 TravelPlanCreate.vue；变量、函数用小驼峰；常量全大写下划线。</w:t>
      </w:r>
    </w:p>
    <w:p w14:paraId="22823141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（2）字符串统一使用单引号，语句结尾强制分号。</w:t>
      </w:r>
    </w:p>
    <w:p w14:paraId="0E39BD4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（3）不留未使用的变量；声明一律使用 let/const，禁用 var。</w:t>
      </w:r>
    </w:p>
    <w:p w14:paraId="7F0DE332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（4）if/for/while 必须带大括号，不允许单行省略。</w:t>
      </w:r>
    </w:p>
    <w:p w14:paraId="4F12B10F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（5）template 中组件属性使用短横线命名。</w:t>
      </w:r>
    </w:p>
    <w:p w14:paraId="14C7B73A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（6）不写 debugger；业务代码里不留 console（本地调试可以，提交前清掉）。</w:t>
      </w:r>
    </w:p>
    <w:p w14:paraId="55301E49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（7）函数参数与对象的换行交给 ESLint 自动修复，不手工纠结。</w:t>
      </w:r>
    </w:p>
    <w:p w14:paraId="1454DF3F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（8）单文件组件固定 script、template、style 的顺序，style 开启 scoped 隔离样式。</w:t>
      </w:r>
    </w:p>
    <w:p w14:paraId="6F1E87C5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3.4 目录与文件命名</w:t>
      </w:r>
    </w:p>
    <w:p w14:paraId="4780B6BE">
      <w:pPr>
        <w:ind w:firstLine="480"/>
      </w:pPr>
      <w:r>
        <w:rPr>
          <w:rFonts w:ascii="Times New Roman" w:hAnsi="Times New Roman" w:eastAsia="宋体"/>
          <w:sz w:val="24"/>
        </w:rPr>
        <w:t>src 目录组织如下：</w:t>
      </w:r>
    </w:p>
    <w:p w14:paraId="107C90F6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src</w:t>
      </w:r>
    </w:p>
    <w:p w14:paraId="4A740F86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├─api         # 接口请求封装</w:t>
      </w:r>
    </w:p>
    <w:p w14:paraId="0786AA6F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├─assets      # 静态资源</w:t>
      </w:r>
    </w:p>
    <w:p w14:paraId="4B442D73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├─components  # 公共组件</w:t>
      </w:r>
    </w:p>
    <w:p w14:paraId="1AFCF2D2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├─views       # 页面视图</w:t>
      </w:r>
    </w:p>
    <w:p w14:paraId="264F5976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├─router      # 路由</w:t>
      </w:r>
    </w:p>
    <w:p w14:paraId="0568D155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├─store       # pinia 状态管理</w:t>
      </w:r>
    </w:p>
    <w:p w14:paraId="7150848F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├─utils       # 工具函数</w:t>
      </w:r>
    </w:p>
    <w:p w14:paraId="3A91DF59">
      <w:pPr>
        <w:shd w:val="clear" w:fill="F2F2F2"/>
        <w:spacing w:after="120" w:line="276" w:lineRule="auto"/>
        <w:ind w:left="480"/>
      </w:pPr>
      <w:r>
        <w:rPr>
          <w:rFonts w:ascii="Consolas" w:hAnsi="Consolas" w:eastAsia="宋体"/>
          <w:sz w:val="21"/>
        </w:rPr>
        <w:t>└─App.vue</w:t>
      </w:r>
    </w:p>
    <w:p w14:paraId="37D71032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（1）js 文件用小驼峰，Vue 组件用大驼峰。</w:t>
      </w:r>
    </w:p>
    <w:p w14:paraId="61EDAC00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（2）文件夹统一短横线命名，不使用中文。</w:t>
      </w:r>
    </w:p>
    <w:p w14:paraId="6B2E9F83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3.5 注释规范</w:t>
      </w:r>
    </w:p>
    <w:p w14:paraId="665245A0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（1）组件文件头部写一段说明，讲清楚这个组件的业务用途。</w:t>
      </w:r>
    </w:p>
    <w:p w14:paraId="394DD61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（2）复杂工具函数添加 JSDoc，注明入参与返回值。</w:t>
      </w:r>
    </w:p>
    <w:p w14:paraId="504F77D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（3）template 中较复杂的逻辑加注释。</w:t>
      </w:r>
    </w:p>
    <w:p w14:paraId="738ABAE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（4）废弃代码直接删除，与后端约定相同。</w:t>
      </w:r>
    </w:p>
    <w:p w14:paraId="3361F0A4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4 Git版本控制规范</w:t>
      </w:r>
    </w:p>
    <w:p w14:paraId="040AB566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（1）不允许直接向 main 分支提交代码，功能开发一律走 feature 分支，合并前进行代码评审。</w:t>
      </w:r>
    </w:p>
    <w:p w14:paraId="246A8313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（2）commit message 格式为"[模块] 简短描述"，例如"[行程模块] 新增行程生成接口"，一眼能看出改动范围。</w:t>
      </w:r>
    </w:p>
    <w:p w14:paraId="378B24DD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（3）提交前自查：后端过一遍阿里规约扫描，前端执行 npm run lint。</w:t>
      </w:r>
    </w:p>
    <w:p w14:paraId="298A7D74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（4）配置文件中不允许出现数据库密码、accessKey 等敏感信息，本地差异配置用模板文件加 .gitignore 处理。</w:t>
      </w:r>
    </w:p>
    <w:p w14:paraId="197EFB16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5 工程目录结构</w:t>
      </w:r>
    </w:p>
    <w:p w14:paraId="2C3D2D89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5.1 后端Spring Boot目录</w:t>
      </w:r>
    </w:p>
    <w:p w14:paraId="2F886963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com.travelplan</w:t>
      </w:r>
    </w:p>
    <w:p w14:paraId="36B3B669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├─common        # 公共模块：统一返回结果、全局异常、常量、工具类</w:t>
      </w:r>
    </w:p>
    <w:p w14:paraId="5D29827D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├─config        # 配置类：Security、Redis、MQ、Web 配置</w:t>
      </w:r>
    </w:p>
    <w:p w14:paraId="169867B8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├─controller    # 控制器层</w:t>
      </w:r>
    </w:p>
    <w:p w14:paraId="7C614DB5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├─dto           # DTO 对象</w:t>
      </w:r>
    </w:p>
    <w:p w14:paraId="66DE812F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├─vo            # VO 返回对象</w:t>
      </w:r>
    </w:p>
    <w:p w14:paraId="1E410B59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├─query         # 查询条件对象</w:t>
      </w:r>
    </w:p>
    <w:p w14:paraId="451FC2E6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├─entity        # DO 数据库实体</w:t>
      </w:r>
    </w:p>
    <w:p w14:paraId="0FD9BA7D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├─mapper        # MyBatis Mapper 接口</w:t>
      </w:r>
    </w:p>
    <w:p w14:paraId="2EE3BB0B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├─service       # 业务接口</w:t>
      </w:r>
    </w:p>
    <w:p w14:paraId="162BDD5B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│  └─impl       # 业务实现类</w:t>
      </w:r>
    </w:p>
    <w:p w14:paraId="1C635C59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└─util          # 工具类</w:t>
      </w:r>
    </w:p>
    <w:p w14:paraId="5F76DEAD">
      <w:pPr>
        <w:shd w:val="clear" w:fill="F2F2F2"/>
        <w:spacing w:after="0" w:line="276" w:lineRule="auto"/>
        <w:ind w:left="480"/>
      </w:pPr>
    </w:p>
    <w:p w14:paraId="17D17C9B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resources</w:t>
      </w:r>
    </w:p>
    <w:p w14:paraId="4AC319F5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├─mapper        # xml 映射文件</w:t>
      </w:r>
    </w:p>
    <w:p w14:paraId="5D140809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├─application.yml</w:t>
      </w:r>
    </w:p>
    <w:p w14:paraId="59E866EA">
      <w:pPr>
        <w:shd w:val="clear" w:fill="F2F2F2"/>
        <w:spacing w:after="120" w:line="276" w:lineRule="auto"/>
        <w:ind w:left="480"/>
      </w:pPr>
      <w:r>
        <w:rPr>
          <w:rFonts w:ascii="Consolas" w:hAnsi="Consolas" w:eastAsia="宋体"/>
          <w:sz w:val="21"/>
        </w:rPr>
        <w:t>└─db            # 数据库初始化脚本</w:t>
      </w:r>
    </w:p>
    <w:p w14:paraId="67E4D428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5.2 前端目录（Vue3 + Vite）</w:t>
      </w:r>
    </w:p>
    <w:p w14:paraId="4B8098D1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src</w:t>
      </w:r>
    </w:p>
    <w:p w14:paraId="76BAB1DF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├─api           # axios 请求封装</w:t>
      </w:r>
    </w:p>
    <w:p w14:paraId="42DA1FFA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├─assets        # 图片、静态资源</w:t>
      </w:r>
    </w:p>
    <w:p w14:paraId="39B704DD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├─components    # 公共复用组件</w:t>
      </w:r>
    </w:p>
    <w:p w14:paraId="72853522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├─views         # 页面：行程生成、我的行程、后台管理、数据大屏</w:t>
      </w:r>
    </w:p>
    <w:p w14:paraId="11D8CDCD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├─router        # vue-router 路由</w:t>
      </w:r>
    </w:p>
    <w:p w14:paraId="5AC196AB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├─store         # pinia 状态管理</w:t>
      </w:r>
    </w:p>
    <w:p w14:paraId="658A18C7">
      <w:pPr>
        <w:shd w:val="clear" w:fill="F2F2F2"/>
        <w:spacing w:after="0" w:line="276" w:lineRule="auto"/>
        <w:ind w:left="480"/>
      </w:pPr>
      <w:r>
        <w:rPr>
          <w:rFonts w:ascii="Consolas" w:hAnsi="Consolas" w:eastAsia="宋体"/>
          <w:sz w:val="21"/>
        </w:rPr>
        <w:t>├─utils         # 通用工具</w:t>
      </w:r>
    </w:p>
    <w:p w14:paraId="676BCE45">
      <w:pPr>
        <w:shd w:val="clear" w:fill="F2F2F2"/>
        <w:spacing w:after="120" w:line="276" w:lineRule="auto"/>
        <w:ind w:left="480"/>
      </w:pPr>
      <w:r>
        <w:rPr>
          <w:rFonts w:ascii="Consolas" w:hAnsi="Consolas" w:eastAsia="宋体"/>
          <w:sz w:val="21"/>
        </w:rPr>
        <w:t>└─App.vue</w:t>
      </w:r>
    </w:p>
    <w:p w14:paraId="0F8D32F5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6 SQL脚本编写规范</w:t>
      </w:r>
    </w:p>
    <w:p w14:paraId="73DCCBBC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（1）初始化脚本统一放在 resources/db/travelplan_init.sql。</w:t>
      </w:r>
    </w:p>
    <w:p w14:paraId="4D03B47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（2）表名、字段名全部小写下划线分隔。</w:t>
      </w:r>
    </w:p>
    <w:p w14:paraId="26AE594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（3）建表语句中每个字段都要写 COMMENT——这是给后面写文档和排查问题的人看的。</w:t>
      </w:r>
    </w:p>
    <w:p w14:paraId="2D2C1B8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（4）脚本要能重复执行，id 主键自增。</w:t>
      </w:r>
    </w:p>
    <w:p w14:paraId="4251DDDC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（5）不允许 drop 生产表，新增字段一律使用 alter。</w:t>
      </w:r>
    </w:p>
    <w:p w14:paraId="708ACE4B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（6）索引命名：主键 pk_，唯一索引 uk_，普通索引 idx_。</w:t>
      </w:r>
    </w:p>
    <w:p w14:paraId="5082FC2D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7 Docker部署规范</w:t>
      </w:r>
    </w:p>
    <w:p w14:paraId="59628D78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（1）Dockerfile 统一放在项目根目录。</w:t>
      </w:r>
    </w:p>
    <w:p w14:paraId="072825A2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（2）镜像命名 travelplan:v1.0，版本号随迭代递增。</w:t>
      </w:r>
    </w:p>
    <w:p w14:paraId="6817CD6A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（3）不要把配置硬编码进 Dockerfile，统一通过 yml 环境变量传入。</w:t>
      </w:r>
    </w:p>
    <w:p w14:paraId="3C509EB9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（4）容器日志由 Slf4j 输出到控制台，便于 docker logs 收集。</w:t>
      </w:r>
    </w:p>
    <w:p w14:paraId="2070049A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8 课程设计交付文档要求</w:t>
      </w:r>
    </w:p>
    <w:p w14:paraId="0641B711">
      <w:pPr>
        <w:ind w:firstLine="480"/>
      </w:pPr>
      <w:r>
        <w:rPr>
          <w:rFonts w:ascii="Times New Roman" w:hAnsi="Times New Roman" w:eastAsia="宋体"/>
          <w:sz w:val="24"/>
        </w:rPr>
        <w:t>课程设计共交付 7 套材料：功能分析、接口文档、详细设计、部署文档、操作手册、源码、数据库脚本。写文档时注意以下几点，避免文档和代码"两张皮"：</w:t>
      </w:r>
    </w:p>
    <w:p w14:paraId="21A56445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（1）文档中的标识符命名与代码保持一致，改了代码记得同步改文档。</w:t>
      </w:r>
    </w:p>
    <w:p w14:paraId="395809CE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（2）数据库字段说明与实体类 DO 一一对应。</w:t>
      </w:r>
    </w:p>
    <w:p w14:paraId="7C286B62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（3）接口文档的字段说明与 VO/DTO 对齐。</w:t>
      </w:r>
    </w:p>
    <w:p w14:paraId="0F5E05FF">
      <w:pPr>
        <w:spacing w:line="336" w:lineRule="auto"/>
        <w:ind w:left="480" w:hanging="480"/>
      </w:pPr>
      <w:r>
        <w:rPr>
          <w:rFonts w:ascii="Times New Roman" w:hAnsi="Times New Roman" w:eastAsia="宋体"/>
          <w:sz w:val="24"/>
        </w:rPr>
        <w:t>（4）文档中贴的代码截图不能出现违反本规范的代码。</w:t>
      </w:r>
    </w:p>
    <w:p w14:paraId="51034F55">
      <w:pPr>
        <w:pStyle w:val="3"/>
        <w:spacing w:before="280" w:after="160"/>
      </w:pPr>
      <w:r>
        <w:rPr>
          <w:rFonts w:ascii="Arial" w:hAnsi="Arial" w:eastAsia="黑体"/>
          <w:b/>
          <w:color w:val="000000"/>
          <w:sz w:val="32"/>
        </w:rPr>
        <w:t>9 提交前自查清单</w:t>
      </w:r>
    </w:p>
    <w:p w14:paraId="35C854DD">
      <w:pPr>
        <w:ind w:firstLine="480"/>
      </w:pPr>
      <w:r>
        <w:rPr>
          <w:rFonts w:ascii="Times New Roman" w:hAnsi="Times New Roman" w:eastAsia="宋体"/>
          <w:sz w:val="24"/>
        </w:rPr>
        <w:t>每次开发完成、准备提交前，对照下面三张清单过一遍，"自查结果"一栏填写"通过"或注明问题。</w:t>
      </w:r>
    </w:p>
    <w:p w14:paraId="408E1E9B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9.1 后端检查项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5D79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E8E8E8"/>
          </w:tcPr>
          <w:p w14:paraId="0DA188AC">
            <w:r>
              <w:rPr>
                <w:rFonts w:ascii="Times New Roman" w:hAnsi="Times New Roman" w:eastAsia="宋体"/>
                <w:b/>
                <w:sz w:val="22"/>
              </w:rPr>
              <w:t>序号</w:t>
            </w:r>
          </w:p>
        </w:tc>
        <w:tc>
          <w:tcPr>
            <w:tcW w:w="2946" w:type="dxa"/>
            <w:shd w:val="clear" w:color="auto" w:fill="E8E8E8"/>
          </w:tcPr>
          <w:p w14:paraId="1721882D">
            <w:r>
              <w:rPr>
                <w:rFonts w:ascii="Times New Roman" w:hAnsi="Times New Roman" w:eastAsia="宋体"/>
                <w:b/>
                <w:sz w:val="22"/>
              </w:rPr>
              <w:t>检查项</w:t>
            </w:r>
          </w:p>
        </w:tc>
        <w:tc>
          <w:tcPr>
            <w:tcW w:w="2946" w:type="dxa"/>
            <w:shd w:val="clear" w:color="auto" w:fill="E8E8E8"/>
          </w:tcPr>
          <w:p w14:paraId="609B8168">
            <w:r>
              <w:rPr>
                <w:rFonts w:ascii="Times New Roman" w:hAnsi="Times New Roman" w:eastAsia="宋体"/>
                <w:b/>
                <w:sz w:val="22"/>
              </w:rPr>
              <w:t>自查结果</w:t>
            </w:r>
          </w:p>
        </w:tc>
      </w:tr>
      <w:tr w14:paraId="0B54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DF18164">
            <w:r>
              <w:rPr>
                <w:rFonts w:ascii="Times New Roman" w:hAnsi="Times New Roman" w:eastAsia="宋体"/>
                <w:sz w:val="22"/>
              </w:rPr>
              <w:t>1</w:t>
            </w:r>
          </w:p>
        </w:tc>
        <w:tc>
          <w:tcPr>
            <w:tcW w:w="2946" w:type="dxa"/>
          </w:tcPr>
          <w:p w14:paraId="70BA53F5">
            <w:r>
              <w:rPr>
                <w:rFonts w:ascii="Times New Roman" w:hAnsi="Times New Roman" w:eastAsia="宋体"/>
                <w:sz w:val="22"/>
              </w:rPr>
              <w:t>阿里编码规约扫描无 Blocker、Critical 级别问题</w:t>
            </w:r>
          </w:p>
        </w:tc>
        <w:tc>
          <w:tcPr>
            <w:tcW w:w="2946" w:type="dxa"/>
          </w:tcPr>
          <w:p w14:paraId="517D7285"/>
        </w:tc>
      </w:tr>
      <w:tr w14:paraId="5F6B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ADAB84F">
            <w:r>
              <w:rPr>
                <w:rFonts w:ascii="Times New Roman" w:hAnsi="Times New Roman" w:eastAsia="宋体"/>
                <w:sz w:val="22"/>
              </w:rPr>
              <w:t>2</w:t>
            </w:r>
            <w:bookmarkStart w:id="0" w:name="_GoBack"/>
            <w:bookmarkEnd w:id="0"/>
          </w:p>
        </w:tc>
        <w:tc>
          <w:tcPr>
            <w:tcW w:w="2946" w:type="dxa"/>
          </w:tcPr>
          <w:p w14:paraId="70B68715">
            <w:r>
              <w:rPr>
                <w:rFonts w:ascii="Times New Roman" w:hAnsi="Times New Roman" w:eastAsia="宋体"/>
                <w:sz w:val="22"/>
              </w:rPr>
              <w:t>魔法数字已抽取为常量，无明显 NPE 风险</w:t>
            </w:r>
          </w:p>
        </w:tc>
        <w:tc>
          <w:tcPr>
            <w:tcW w:w="2946" w:type="dxa"/>
          </w:tcPr>
          <w:p w14:paraId="7EA07E1A"/>
        </w:tc>
      </w:tr>
      <w:tr w14:paraId="7046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DF6D68E"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w="2946" w:type="dxa"/>
          </w:tcPr>
          <w:p w14:paraId="7C4886C0">
            <w:r>
              <w:rPr>
                <w:rFonts w:ascii="Times New Roman" w:hAnsi="Times New Roman" w:eastAsia="宋体"/>
                <w:sz w:val="22"/>
              </w:rPr>
              <w:t>接口权限控制完整，参数校验齐全</w:t>
            </w:r>
          </w:p>
        </w:tc>
        <w:tc>
          <w:tcPr>
            <w:tcW w:w="2946" w:type="dxa"/>
          </w:tcPr>
          <w:p w14:paraId="0D7AC932"/>
        </w:tc>
      </w:tr>
      <w:tr w14:paraId="7C51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7BB1A30"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w="2946" w:type="dxa"/>
          </w:tcPr>
          <w:p w14:paraId="2C6A953E">
            <w:r>
              <w:rPr>
                <w:rFonts w:ascii="Times New Roman" w:hAnsi="Times New Roman" w:eastAsia="宋体"/>
                <w:sz w:val="22"/>
              </w:rPr>
              <w:t>异常处理完整，关键业务有日志</w:t>
            </w:r>
          </w:p>
        </w:tc>
        <w:tc>
          <w:tcPr>
            <w:tcW w:w="2946" w:type="dxa"/>
          </w:tcPr>
          <w:p w14:paraId="065EC7D9"/>
        </w:tc>
      </w:tr>
      <w:tr w14:paraId="2F8C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4F4801F">
            <w:r>
              <w:rPr>
                <w:rFonts w:ascii="Times New Roman" w:hAnsi="Times New Roman" w:eastAsia="宋体"/>
                <w:sz w:val="22"/>
              </w:rPr>
              <w:t>5</w:t>
            </w:r>
          </w:p>
        </w:tc>
        <w:tc>
          <w:tcPr>
            <w:tcW w:w="2946" w:type="dxa"/>
          </w:tcPr>
          <w:p w14:paraId="103C2180">
            <w:r>
              <w:rPr>
                <w:rFonts w:ascii="Times New Roman" w:hAnsi="Times New Roman" w:eastAsia="宋体"/>
                <w:sz w:val="22"/>
              </w:rPr>
              <w:t>数据库脚本可正常执行，表字段带注释</w:t>
            </w:r>
          </w:p>
        </w:tc>
        <w:tc>
          <w:tcPr>
            <w:tcW w:w="2946" w:type="dxa"/>
          </w:tcPr>
          <w:p w14:paraId="78CF2DC0"/>
        </w:tc>
      </w:tr>
      <w:tr w14:paraId="2940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CD707B2">
            <w:r>
              <w:rPr>
                <w:rFonts w:ascii="Times New Roman" w:hAnsi="Times New Roman" w:eastAsia="宋体"/>
                <w:sz w:val="22"/>
              </w:rPr>
              <w:t>6</w:t>
            </w:r>
          </w:p>
        </w:tc>
        <w:tc>
          <w:tcPr>
            <w:tcW w:w="2946" w:type="dxa"/>
          </w:tcPr>
          <w:p w14:paraId="2757D09B">
            <w:r>
              <w:rPr>
                <w:rFonts w:ascii="Times New Roman" w:hAnsi="Times New Roman" w:eastAsia="宋体"/>
                <w:sz w:val="22"/>
              </w:rPr>
              <w:t>类与关键方法注释齐全</w:t>
            </w:r>
          </w:p>
        </w:tc>
        <w:tc>
          <w:tcPr>
            <w:tcW w:w="2946" w:type="dxa"/>
          </w:tcPr>
          <w:p w14:paraId="35236683"/>
        </w:tc>
      </w:tr>
    </w:tbl>
    <w:p w14:paraId="2420D466"/>
    <w:p w14:paraId="6F21CCBA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9.2 前端检查项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5983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E8E8E8"/>
          </w:tcPr>
          <w:p w14:paraId="748AD6C6">
            <w:r>
              <w:rPr>
                <w:rFonts w:ascii="Times New Roman" w:hAnsi="Times New Roman" w:eastAsia="宋体"/>
                <w:b/>
                <w:sz w:val="22"/>
              </w:rPr>
              <w:t>序号</w:t>
            </w:r>
          </w:p>
        </w:tc>
        <w:tc>
          <w:tcPr>
            <w:tcW w:w="2946" w:type="dxa"/>
            <w:shd w:val="clear" w:color="auto" w:fill="E8E8E8"/>
          </w:tcPr>
          <w:p w14:paraId="213C38D0">
            <w:r>
              <w:rPr>
                <w:rFonts w:ascii="Times New Roman" w:hAnsi="Times New Roman" w:eastAsia="宋体"/>
                <w:b/>
                <w:sz w:val="22"/>
              </w:rPr>
              <w:t>检查项</w:t>
            </w:r>
          </w:p>
        </w:tc>
        <w:tc>
          <w:tcPr>
            <w:tcW w:w="2946" w:type="dxa"/>
            <w:shd w:val="clear" w:color="auto" w:fill="E8E8E8"/>
          </w:tcPr>
          <w:p w14:paraId="471097D7">
            <w:r>
              <w:rPr>
                <w:rFonts w:ascii="Times New Roman" w:hAnsi="Times New Roman" w:eastAsia="宋体"/>
                <w:b/>
                <w:sz w:val="22"/>
              </w:rPr>
              <w:t>自查结果</w:t>
            </w:r>
          </w:p>
        </w:tc>
      </w:tr>
      <w:tr w14:paraId="54FB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8A7F0DF">
            <w:r>
              <w:rPr>
                <w:rFonts w:ascii="Times New Roman" w:hAnsi="Times New Roman" w:eastAsia="宋体"/>
                <w:sz w:val="22"/>
              </w:rPr>
              <w:t>1</w:t>
            </w:r>
          </w:p>
        </w:tc>
        <w:tc>
          <w:tcPr>
            <w:tcW w:w="2946" w:type="dxa"/>
          </w:tcPr>
          <w:p w14:paraId="7F613DFA">
            <w:r>
              <w:rPr>
                <w:rFonts w:ascii="Times New Roman" w:hAnsi="Times New Roman" w:eastAsia="宋体"/>
                <w:sz w:val="22"/>
              </w:rPr>
              <w:t>npm run lint 无 error 级别报错</w:t>
            </w:r>
          </w:p>
        </w:tc>
        <w:tc>
          <w:tcPr>
            <w:tcW w:w="2946" w:type="dxa"/>
          </w:tcPr>
          <w:p w14:paraId="2660B65F"/>
        </w:tc>
      </w:tr>
      <w:tr w14:paraId="4CD1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B1C1842"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w="2946" w:type="dxa"/>
          </w:tcPr>
          <w:p w14:paraId="6A484A9B">
            <w:r>
              <w:rPr>
                <w:rFonts w:ascii="Times New Roman" w:hAnsi="Times New Roman" w:eastAsia="宋体"/>
                <w:sz w:val="22"/>
              </w:rPr>
              <w:t>Vue 组件命名规范，无 var，无未定义变量</w:t>
            </w:r>
          </w:p>
        </w:tc>
        <w:tc>
          <w:tcPr>
            <w:tcW w:w="2946" w:type="dxa"/>
          </w:tcPr>
          <w:p w14:paraId="3902DA3B"/>
        </w:tc>
      </w:tr>
      <w:tr w14:paraId="0C1F0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D760040"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w="2946" w:type="dxa"/>
          </w:tcPr>
          <w:p w14:paraId="5612D760">
            <w:r>
              <w:rPr>
                <w:rFonts w:ascii="Times New Roman" w:hAnsi="Times New Roman" w:eastAsia="宋体"/>
                <w:sz w:val="22"/>
              </w:rPr>
              <w:t>接口请求有异常捕获</w:t>
            </w:r>
          </w:p>
        </w:tc>
        <w:tc>
          <w:tcPr>
            <w:tcW w:w="2946" w:type="dxa"/>
          </w:tcPr>
          <w:p w14:paraId="4AE692F7"/>
        </w:tc>
      </w:tr>
      <w:tr w14:paraId="4D5B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2ED85AD"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w="2946" w:type="dxa"/>
          </w:tcPr>
          <w:p w14:paraId="14CAF803">
            <w:r>
              <w:rPr>
                <w:rFonts w:ascii="Times New Roman" w:hAnsi="Times New Roman" w:eastAsia="宋体"/>
                <w:sz w:val="22"/>
              </w:rPr>
              <w:t>无遗留的 console、debugger</w:t>
            </w:r>
          </w:p>
        </w:tc>
        <w:tc>
          <w:tcPr>
            <w:tcW w:w="2946" w:type="dxa"/>
          </w:tcPr>
          <w:p w14:paraId="4D19A6E6"/>
        </w:tc>
      </w:tr>
      <w:tr w14:paraId="5123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F9A8BC4">
            <w:r>
              <w:rPr>
                <w:rFonts w:ascii="Times New Roman" w:hAnsi="Times New Roman" w:eastAsia="宋体"/>
                <w:sz w:val="22"/>
              </w:rPr>
              <w:t>5</w:t>
            </w:r>
          </w:p>
        </w:tc>
        <w:tc>
          <w:tcPr>
            <w:tcW w:w="2946" w:type="dxa"/>
          </w:tcPr>
          <w:p w14:paraId="317C3404">
            <w:r>
              <w:rPr>
                <w:rFonts w:ascii="Times New Roman" w:hAnsi="Times New Roman" w:eastAsia="宋体"/>
                <w:sz w:val="22"/>
              </w:rPr>
              <w:t>组件拆分合理，公共逻辑抽成了工具函数</w:t>
            </w:r>
          </w:p>
        </w:tc>
        <w:tc>
          <w:tcPr>
            <w:tcW w:w="2946" w:type="dxa"/>
          </w:tcPr>
          <w:p w14:paraId="0C59CB85"/>
        </w:tc>
      </w:tr>
    </w:tbl>
    <w:p w14:paraId="7F7406E4"/>
    <w:p w14:paraId="11B622F7">
      <w:pPr>
        <w:pStyle w:val="4"/>
        <w:spacing w:before="200" w:after="120"/>
      </w:pPr>
      <w:r>
        <w:rPr>
          <w:rFonts w:ascii="Arial" w:hAnsi="Arial" w:eastAsia="黑体"/>
          <w:b/>
          <w:color w:val="000000"/>
          <w:sz w:val="28"/>
        </w:rPr>
        <w:t>9.3 公共检查项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525E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E8E8E8"/>
          </w:tcPr>
          <w:p w14:paraId="636E0A6D">
            <w:r>
              <w:rPr>
                <w:rFonts w:ascii="Times New Roman" w:hAnsi="Times New Roman" w:eastAsia="宋体"/>
                <w:b/>
                <w:sz w:val="22"/>
              </w:rPr>
              <w:t>序号</w:t>
            </w:r>
          </w:p>
        </w:tc>
        <w:tc>
          <w:tcPr>
            <w:tcW w:w="2946" w:type="dxa"/>
            <w:shd w:val="clear" w:color="auto" w:fill="E8E8E8"/>
          </w:tcPr>
          <w:p w14:paraId="153E8794">
            <w:r>
              <w:rPr>
                <w:rFonts w:ascii="Times New Roman" w:hAnsi="Times New Roman" w:eastAsia="宋体"/>
                <w:b/>
                <w:sz w:val="22"/>
              </w:rPr>
              <w:t>检查项</w:t>
            </w:r>
          </w:p>
        </w:tc>
        <w:tc>
          <w:tcPr>
            <w:tcW w:w="2946" w:type="dxa"/>
            <w:shd w:val="clear" w:color="auto" w:fill="E8E8E8"/>
          </w:tcPr>
          <w:p w14:paraId="46FCC232">
            <w:r>
              <w:rPr>
                <w:rFonts w:ascii="Times New Roman" w:hAnsi="Times New Roman" w:eastAsia="宋体"/>
                <w:b/>
                <w:sz w:val="22"/>
              </w:rPr>
              <w:t>自查结果</w:t>
            </w:r>
          </w:p>
        </w:tc>
      </w:tr>
      <w:tr w14:paraId="03D4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16A7995">
            <w:r>
              <w:rPr>
                <w:rFonts w:ascii="Times New Roman" w:hAnsi="Times New Roman" w:eastAsia="宋体"/>
                <w:sz w:val="22"/>
              </w:rPr>
              <w:t>1</w:t>
            </w:r>
          </w:p>
        </w:tc>
        <w:tc>
          <w:tcPr>
            <w:tcW w:w="2946" w:type="dxa"/>
          </w:tcPr>
          <w:p w14:paraId="2CE34914">
            <w:r>
              <w:rPr>
                <w:rFonts w:ascii="Times New Roman" w:hAnsi="Times New Roman" w:eastAsia="宋体"/>
                <w:sz w:val="22"/>
              </w:rPr>
              <w:t>代码中没有硬编码的密钥、密码</w:t>
            </w:r>
          </w:p>
        </w:tc>
        <w:tc>
          <w:tcPr>
            <w:tcW w:w="2946" w:type="dxa"/>
          </w:tcPr>
          <w:p w14:paraId="5B344109"/>
        </w:tc>
      </w:tr>
      <w:tr w14:paraId="736A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FD2A157"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w="2946" w:type="dxa"/>
          </w:tcPr>
          <w:p w14:paraId="2793C409">
            <w:r>
              <w:rPr>
                <w:rFonts w:ascii="Times New Roman" w:hAnsi="Times New Roman" w:eastAsia="宋体"/>
                <w:sz w:val="22"/>
              </w:rPr>
              <w:t>目录结构符合第 5 章的约定</w:t>
            </w:r>
          </w:p>
        </w:tc>
        <w:tc>
          <w:tcPr>
            <w:tcW w:w="2946" w:type="dxa"/>
          </w:tcPr>
          <w:p w14:paraId="7A972A20"/>
        </w:tc>
      </w:tr>
      <w:tr w14:paraId="7774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6E618E0"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w="2946" w:type="dxa"/>
          </w:tcPr>
          <w:p w14:paraId="2DA8CCC6">
            <w:r>
              <w:rPr>
                <w:rFonts w:ascii="Times New Roman" w:hAnsi="Times New Roman" w:eastAsia="宋体"/>
                <w:sz w:val="22"/>
              </w:rPr>
              <w:t>gmt_create、gmt_modified 字段正确维护</w:t>
            </w:r>
          </w:p>
        </w:tc>
        <w:tc>
          <w:tcPr>
            <w:tcW w:w="2946" w:type="dxa"/>
          </w:tcPr>
          <w:p w14:paraId="243B0E62"/>
        </w:tc>
      </w:tr>
    </w:tbl>
    <w:p w14:paraId="05927401"/>
    <w:sectPr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18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4076</Words>
  <Characters>5840</Characters>
  <Lines>0</Lines>
  <Paragraphs>0</Paragraphs>
  <TotalTime>1</TotalTime>
  <ScaleCrop>false</ScaleCrop>
  <LinksUpToDate>false</LinksUpToDate>
  <CharactersWithSpaces>6389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0109</cp:lastModifiedBy>
  <dcterms:modified xsi:type="dcterms:W3CDTF">2026-09-13T14:40:02Z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5B8D441A73EC48BCB3F027EC994EB007_13</vt:lpwstr>
  </property>
</Properties>
</file>